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61599" w14:textId="097C994A" w:rsidR="00E97953" w:rsidRDefault="00E97953" w:rsidP="00A3747F">
      <w:pPr>
        <w:rPr>
          <w:rFonts w:cs="Arial"/>
        </w:rPr>
      </w:pPr>
    </w:p>
    <w:p w14:paraId="0C116163" w14:textId="77777777" w:rsidR="00E63243" w:rsidRPr="00516AFF" w:rsidRDefault="00E63243" w:rsidP="00A3747F">
      <w:pPr>
        <w:rPr>
          <w:rFonts w:cs="Arial"/>
        </w:rPr>
      </w:pPr>
    </w:p>
    <w:p w14:paraId="5317778E" w14:textId="77777777" w:rsidR="00F27A0D" w:rsidRPr="00516AFF" w:rsidRDefault="00F27A0D" w:rsidP="00A3747F">
      <w:pPr>
        <w:rPr>
          <w:rFonts w:cs="Arial"/>
        </w:rPr>
      </w:pPr>
    </w:p>
    <w:p w14:paraId="46526EC8" w14:textId="77777777" w:rsidR="00F27A0D" w:rsidRPr="00516AFF" w:rsidRDefault="00F27A0D" w:rsidP="00A3747F">
      <w:pPr>
        <w:rPr>
          <w:rFonts w:cs="Arial"/>
        </w:rPr>
      </w:pPr>
    </w:p>
    <w:p w14:paraId="6370D395" w14:textId="77777777" w:rsidR="00F27A0D" w:rsidRPr="00516AFF" w:rsidRDefault="00F27A0D" w:rsidP="00A3747F">
      <w:pPr>
        <w:rPr>
          <w:rFonts w:cs="Arial"/>
        </w:rPr>
      </w:pPr>
    </w:p>
    <w:p w14:paraId="7A71EEAA" w14:textId="77777777" w:rsidR="000D399D" w:rsidRPr="00516AFF" w:rsidRDefault="000D399D" w:rsidP="00A3747F">
      <w:pPr>
        <w:rPr>
          <w:rFonts w:cs="Arial"/>
        </w:rPr>
      </w:pPr>
    </w:p>
    <w:p w14:paraId="7FDDF367" w14:textId="77777777" w:rsidR="000D399D" w:rsidRPr="00516AFF" w:rsidRDefault="000D399D" w:rsidP="00A3747F">
      <w:pPr>
        <w:rPr>
          <w:rFonts w:cs="Arial"/>
        </w:rPr>
      </w:pPr>
    </w:p>
    <w:p w14:paraId="00CFBC2B" w14:textId="77777777" w:rsidR="000D399D" w:rsidRPr="00516AFF" w:rsidRDefault="000D399D" w:rsidP="00A3747F">
      <w:pPr>
        <w:rPr>
          <w:rFonts w:cs="Arial"/>
        </w:rPr>
      </w:pPr>
    </w:p>
    <w:p w14:paraId="3C7279F0" w14:textId="77777777" w:rsidR="000D399D" w:rsidRPr="00516AFF" w:rsidRDefault="000D399D" w:rsidP="00A3747F">
      <w:pPr>
        <w:rPr>
          <w:rFonts w:cs="Arial"/>
        </w:rPr>
      </w:pPr>
    </w:p>
    <w:p w14:paraId="0EBCCE7F" w14:textId="77777777" w:rsidR="000D399D" w:rsidRPr="00516AFF" w:rsidRDefault="000D399D" w:rsidP="00A3747F">
      <w:pPr>
        <w:rPr>
          <w:rFonts w:cs="Arial"/>
        </w:rPr>
      </w:pPr>
    </w:p>
    <w:p w14:paraId="7C4AA910" w14:textId="77777777" w:rsidR="000D399D" w:rsidRPr="00516AFF" w:rsidRDefault="000D399D" w:rsidP="00A3747F">
      <w:pPr>
        <w:rPr>
          <w:rFonts w:cs="Arial"/>
        </w:rPr>
      </w:pPr>
    </w:p>
    <w:p w14:paraId="5744BD3A" w14:textId="77777777" w:rsidR="000D399D" w:rsidRPr="00516AFF" w:rsidRDefault="000D399D" w:rsidP="00A3747F">
      <w:pPr>
        <w:rPr>
          <w:rFonts w:cs="Arial"/>
        </w:rPr>
      </w:pPr>
    </w:p>
    <w:p w14:paraId="031C4200" w14:textId="77777777" w:rsidR="000D399D" w:rsidRPr="00516AFF" w:rsidRDefault="000D399D" w:rsidP="00A3747F">
      <w:pPr>
        <w:rPr>
          <w:rFonts w:cs="Arial"/>
        </w:rPr>
      </w:pPr>
    </w:p>
    <w:p w14:paraId="6E1CAB00" w14:textId="77777777" w:rsidR="000D399D" w:rsidRPr="00516AFF" w:rsidRDefault="000D399D" w:rsidP="00A3747F">
      <w:pPr>
        <w:rPr>
          <w:rFonts w:cs="Arial"/>
        </w:rPr>
      </w:pPr>
    </w:p>
    <w:p w14:paraId="5CD91743" w14:textId="77777777" w:rsidR="00F27A0D" w:rsidRPr="00516AFF" w:rsidRDefault="00F27A0D" w:rsidP="00A3747F">
      <w:pPr>
        <w:rPr>
          <w:rFonts w:cs="Arial"/>
        </w:rPr>
      </w:pPr>
    </w:p>
    <w:p w14:paraId="0F5E4447" w14:textId="77777777" w:rsidR="00F27A0D" w:rsidRPr="00516AFF" w:rsidRDefault="00F27A0D" w:rsidP="00A3747F">
      <w:pPr>
        <w:rPr>
          <w:rFonts w:cs="Arial"/>
        </w:rPr>
      </w:pPr>
    </w:p>
    <w:p w14:paraId="2E6E1097" w14:textId="77777777" w:rsidR="00F27A0D" w:rsidRPr="00516AFF" w:rsidRDefault="00F27A0D" w:rsidP="00A3747F">
      <w:pPr>
        <w:rPr>
          <w:rFonts w:cs="Arial"/>
        </w:rPr>
      </w:pPr>
    </w:p>
    <w:p w14:paraId="4F7F3E8E" w14:textId="77777777" w:rsidR="00F27A0D" w:rsidRPr="00516AFF" w:rsidRDefault="00F27A0D" w:rsidP="00A3747F">
      <w:pPr>
        <w:rPr>
          <w:rFonts w:cs="Arial"/>
        </w:rPr>
      </w:pPr>
    </w:p>
    <w:p w14:paraId="5F8FB549" w14:textId="282741C8" w:rsidR="00F27A0D" w:rsidRPr="00516AFF" w:rsidRDefault="00F27A0D" w:rsidP="00A3747F">
      <w:pPr>
        <w:ind w:left="1418" w:right="849"/>
        <w:jc w:val="center"/>
        <w:rPr>
          <w:rFonts w:cs="Arial"/>
          <w:b/>
          <w:sz w:val="40"/>
        </w:rPr>
      </w:pPr>
      <w:r w:rsidRPr="00516AFF">
        <w:rPr>
          <w:rFonts w:cs="Arial"/>
          <w:b/>
          <w:sz w:val="40"/>
        </w:rPr>
        <w:t>PRESUPUESTO DE EGRESOS DEL ESTADO DE COLI</w:t>
      </w:r>
      <w:r w:rsidR="00FD44CB" w:rsidRPr="00516AFF">
        <w:rPr>
          <w:rFonts w:cs="Arial"/>
          <w:b/>
          <w:sz w:val="40"/>
        </w:rPr>
        <w:t xml:space="preserve">MA PARA EL </w:t>
      </w:r>
      <w:r w:rsidR="004503F5" w:rsidRPr="00516AFF">
        <w:rPr>
          <w:rFonts w:cs="Arial"/>
          <w:b/>
          <w:sz w:val="40"/>
        </w:rPr>
        <w:t>EJERCICIO FISCAL</w:t>
      </w:r>
      <w:r w:rsidR="00FD44CB" w:rsidRPr="00516AFF">
        <w:rPr>
          <w:rFonts w:cs="Arial"/>
          <w:b/>
          <w:sz w:val="40"/>
        </w:rPr>
        <w:t xml:space="preserve"> </w:t>
      </w:r>
      <w:r w:rsidR="00610D9F" w:rsidRPr="00516AFF">
        <w:rPr>
          <w:rFonts w:cs="Arial"/>
          <w:b/>
          <w:sz w:val="40"/>
        </w:rPr>
        <w:t>202</w:t>
      </w:r>
      <w:r w:rsidR="000F1B6B">
        <w:rPr>
          <w:rFonts w:cs="Arial"/>
          <w:b/>
          <w:sz w:val="40"/>
        </w:rPr>
        <w:t>5</w:t>
      </w:r>
    </w:p>
    <w:p w14:paraId="272A9A59" w14:textId="77777777" w:rsidR="004114BA" w:rsidRPr="00516AFF" w:rsidRDefault="004114BA" w:rsidP="00A3747F">
      <w:pPr>
        <w:rPr>
          <w:rFonts w:cs="Arial"/>
        </w:rPr>
      </w:pPr>
    </w:p>
    <w:p w14:paraId="2870003B" w14:textId="77777777" w:rsidR="00F27A0D" w:rsidRPr="00516AFF" w:rsidRDefault="00F27A0D" w:rsidP="00A3747F">
      <w:pPr>
        <w:rPr>
          <w:rFonts w:cs="Arial"/>
        </w:rPr>
      </w:pPr>
    </w:p>
    <w:p w14:paraId="6BC59E3D" w14:textId="77777777" w:rsidR="00F27A0D" w:rsidRPr="00516AFF" w:rsidRDefault="00F27A0D" w:rsidP="00A3747F">
      <w:pPr>
        <w:rPr>
          <w:rFonts w:cs="Arial"/>
        </w:rPr>
      </w:pPr>
    </w:p>
    <w:p w14:paraId="17547CF4" w14:textId="77777777" w:rsidR="00F27A0D" w:rsidRPr="00516AFF" w:rsidRDefault="00F27A0D" w:rsidP="00A3747F">
      <w:pPr>
        <w:rPr>
          <w:rFonts w:cs="Arial"/>
        </w:rPr>
      </w:pPr>
    </w:p>
    <w:p w14:paraId="1F4A5A9C" w14:textId="77777777" w:rsidR="00F27A0D" w:rsidRPr="00516AFF" w:rsidRDefault="00F27A0D" w:rsidP="00A3747F">
      <w:pPr>
        <w:rPr>
          <w:rFonts w:cs="Arial"/>
        </w:rPr>
      </w:pPr>
    </w:p>
    <w:p w14:paraId="0282CE78" w14:textId="77777777" w:rsidR="00F27A0D" w:rsidRPr="00516AFF" w:rsidRDefault="00F27A0D" w:rsidP="00A3747F">
      <w:pPr>
        <w:rPr>
          <w:rFonts w:cs="Arial"/>
        </w:rPr>
      </w:pPr>
    </w:p>
    <w:p w14:paraId="6F37831E" w14:textId="77777777" w:rsidR="00F27A0D" w:rsidRPr="00516AFF" w:rsidRDefault="00F27A0D" w:rsidP="00A3747F">
      <w:pPr>
        <w:rPr>
          <w:rFonts w:cs="Arial"/>
        </w:rPr>
      </w:pPr>
    </w:p>
    <w:p w14:paraId="3FAE1893" w14:textId="77777777" w:rsidR="00F27A0D" w:rsidRPr="00516AFF" w:rsidRDefault="00F27A0D" w:rsidP="00A3747F">
      <w:pPr>
        <w:rPr>
          <w:rFonts w:cs="Arial"/>
        </w:rPr>
      </w:pPr>
    </w:p>
    <w:p w14:paraId="14F1A7EE" w14:textId="77777777" w:rsidR="00F27A0D" w:rsidRPr="00516AFF" w:rsidRDefault="00F27A0D" w:rsidP="00A3747F">
      <w:pPr>
        <w:rPr>
          <w:rFonts w:cs="Arial"/>
        </w:rPr>
      </w:pPr>
    </w:p>
    <w:p w14:paraId="15C417DA" w14:textId="77777777" w:rsidR="00F27A0D" w:rsidRPr="00516AFF" w:rsidRDefault="00F27A0D" w:rsidP="00A3747F">
      <w:pPr>
        <w:rPr>
          <w:rFonts w:cs="Arial"/>
        </w:rPr>
      </w:pPr>
    </w:p>
    <w:p w14:paraId="1ED3B720" w14:textId="77777777" w:rsidR="00F27A0D" w:rsidRPr="00516AFF" w:rsidRDefault="00F27A0D" w:rsidP="00A3747F">
      <w:pPr>
        <w:rPr>
          <w:rFonts w:cs="Arial"/>
        </w:rPr>
      </w:pPr>
    </w:p>
    <w:p w14:paraId="3B25118E" w14:textId="77777777" w:rsidR="00F27A0D" w:rsidRPr="00516AFF" w:rsidRDefault="00F27A0D" w:rsidP="00A3747F">
      <w:pPr>
        <w:rPr>
          <w:rFonts w:cs="Arial"/>
        </w:rPr>
      </w:pPr>
    </w:p>
    <w:p w14:paraId="181F40A4" w14:textId="77777777" w:rsidR="00F27A0D" w:rsidRPr="00516AFF" w:rsidRDefault="00F27A0D" w:rsidP="00A3747F">
      <w:pPr>
        <w:rPr>
          <w:rFonts w:cs="Arial"/>
        </w:rPr>
      </w:pPr>
    </w:p>
    <w:p w14:paraId="01FF9512" w14:textId="77777777" w:rsidR="00F27A0D" w:rsidRPr="00516AFF" w:rsidRDefault="00F27A0D" w:rsidP="00A3747F">
      <w:pPr>
        <w:rPr>
          <w:rFonts w:cs="Arial"/>
        </w:rPr>
      </w:pPr>
    </w:p>
    <w:p w14:paraId="45067D93" w14:textId="77777777" w:rsidR="00F27A0D" w:rsidRPr="00516AFF" w:rsidRDefault="00F27A0D" w:rsidP="00A3747F">
      <w:pPr>
        <w:rPr>
          <w:rFonts w:cs="Arial"/>
        </w:rPr>
      </w:pPr>
    </w:p>
    <w:p w14:paraId="250C466D" w14:textId="77777777" w:rsidR="00E42E69" w:rsidRPr="00516AFF" w:rsidRDefault="00E42E69" w:rsidP="00A3747F">
      <w:pPr>
        <w:rPr>
          <w:rFonts w:cs="Arial"/>
        </w:rPr>
      </w:pPr>
      <w:r w:rsidRPr="00516AFF">
        <w:rPr>
          <w:rFonts w:cs="Arial"/>
        </w:rPr>
        <w:br w:type="page"/>
      </w:r>
    </w:p>
    <w:p w14:paraId="318D3AA9" w14:textId="25B9AA6F" w:rsidR="003D40E2" w:rsidRPr="00516AFF" w:rsidRDefault="003D40E2" w:rsidP="003D40E2">
      <w:pPr>
        <w:autoSpaceDE w:val="0"/>
        <w:autoSpaceDN w:val="0"/>
        <w:adjustRightInd w:val="0"/>
        <w:rPr>
          <w:rFonts w:eastAsia="Times New Roman" w:cs="Arial"/>
          <w:b/>
        </w:rPr>
      </w:pPr>
      <w:r w:rsidRPr="00516AFF">
        <w:rPr>
          <w:rFonts w:eastAsia="Times New Roman" w:cs="Arial"/>
          <w:b/>
        </w:rPr>
        <w:lastRenderedPageBreak/>
        <w:t>CC. DIPUTADA PRESIDENTA, DIPUTAD</w:t>
      </w:r>
      <w:r w:rsidR="0053359B">
        <w:rPr>
          <w:rFonts w:eastAsia="Times New Roman" w:cs="Arial"/>
          <w:b/>
        </w:rPr>
        <w:t>A</w:t>
      </w:r>
      <w:r w:rsidRPr="00516AFF">
        <w:rPr>
          <w:rFonts w:eastAsia="Times New Roman" w:cs="Arial"/>
          <w:b/>
        </w:rPr>
        <w:t>S SECRETARI</w:t>
      </w:r>
      <w:r w:rsidR="0053359B">
        <w:rPr>
          <w:rFonts w:eastAsia="Times New Roman" w:cs="Arial"/>
          <w:b/>
        </w:rPr>
        <w:t>A</w:t>
      </w:r>
      <w:r w:rsidRPr="00516AFF">
        <w:rPr>
          <w:rFonts w:eastAsia="Times New Roman" w:cs="Arial"/>
          <w:b/>
        </w:rPr>
        <w:t>S DE LA MESA DIRECTIVA DEL H. CONGRESO DEL ESTADO DE COLIMA.</w:t>
      </w:r>
    </w:p>
    <w:p w14:paraId="12102E9A" w14:textId="77777777" w:rsidR="003D40E2" w:rsidRPr="00516AFF" w:rsidRDefault="003D40E2" w:rsidP="003D40E2">
      <w:pPr>
        <w:autoSpaceDE w:val="0"/>
        <w:autoSpaceDN w:val="0"/>
        <w:adjustRightInd w:val="0"/>
        <w:rPr>
          <w:rFonts w:eastAsia="Times New Roman" w:cs="Arial"/>
          <w:b/>
        </w:rPr>
      </w:pPr>
      <w:r w:rsidRPr="00516AFF">
        <w:rPr>
          <w:rFonts w:eastAsia="Times New Roman" w:cs="Arial"/>
          <w:b/>
        </w:rPr>
        <w:t>PRESENTES. -</w:t>
      </w:r>
    </w:p>
    <w:p w14:paraId="11D88F2F" w14:textId="77777777" w:rsidR="003D40E2" w:rsidRPr="00516AFF" w:rsidRDefault="003D40E2" w:rsidP="003D40E2">
      <w:pPr>
        <w:autoSpaceDE w:val="0"/>
        <w:autoSpaceDN w:val="0"/>
        <w:adjustRightInd w:val="0"/>
        <w:rPr>
          <w:rFonts w:eastAsia="Times New Roman" w:cs="Arial"/>
          <w:b/>
        </w:rPr>
      </w:pPr>
    </w:p>
    <w:p w14:paraId="3BF9AB42" w14:textId="2B1D281C" w:rsidR="003D40E2" w:rsidRPr="00516AFF" w:rsidRDefault="003D40E2" w:rsidP="003D40E2">
      <w:pPr>
        <w:autoSpaceDE w:val="0"/>
        <w:autoSpaceDN w:val="0"/>
        <w:adjustRightInd w:val="0"/>
        <w:rPr>
          <w:rFonts w:eastAsia="Times New Roman" w:cs="Arial"/>
        </w:rPr>
      </w:pPr>
      <w:r w:rsidRPr="00516AFF">
        <w:rPr>
          <w:rFonts w:eastAsia="Times New Roman" w:cs="Arial"/>
          <w:b/>
        </w:rPr>
        <w:t>INDIRA VIZCAINO SILVA, Gobernadora Constitucional del Estado Libre y Soberano de Colima</w:t>
      </w:r>
      <w:r w:rsidRPr="00516AFF">
        <w:rPr>
          <w:rFonts w:eastAsia="Times New Roman" w:cs="Arial"/>
        </w:rPr>
        <w:t>, en ejercicio de la facultad que me confiere el artículo 58, fracción XIX, en relación a lo estipulado en el artículo 35, fracción II de la Constitución Política del Estado Libre y Soberano de Colima, y en cumplimiento del artículo 16</w:t>
      </w:r>
      <w:r>
        <w:rPr>
          <w:rFonts w:eastAsia="Times New Roman" w:cs="Arial"/>
        </w:rPr>
        <w:t>, numeral 1 fracción I</w:t>
      </w:r>
      <w:r w:rsidRPr="00516AFF">
        <w:rPr>
          <w:rFonts w:eastAsia="Times New Roman" w:cs="Arial"/>
        </w:rPr>
        <w:t xml:space="preserve"> de la Ley de Presupuesto y Responsabilidad Hacendaria del Estado de Colima, tengo a bien presentar y poner a consideración de esta Sexagésima Legislatura, la presente </w:t>
      </w:r>
      <w:r w:rsidRPr="00516AFF">
        <w:rPr>
          <w:rFonts w:eastAsia="Times New Roman" w:cs="Arial"/>
          <w:b/>
        </w:rPr>
        <w:t>Iniciativa con Proyecto de Decreto por la que se expide el PRESUPUESTO DE EGRESOS DEL ESTADO DE COLIMA PARA EL EJERCICIO FISCAL 202</w:t>
      </w:r>
      <w:r w:rsidR="000F1B6B">
        <w:rPr>
          <w:rFonts w:eastAsia="Times New Roman" w:cs="Arial"/>
          <w:b/>
        </w:rPr>
        <w:t>5</w:t>
      </w:r>
      <w:r w:rsidRPr="00516AFF">
        <w:rPr>
          <w:rFonts w:eastAsia="Times New Roman" w:cs="Arial"/>
        </w:rPr>
        <w:t>, de conformidad con lo siguiente:</w:t>
      </w:r>
    </w:p>
    <w:p w14:paraId="742BCAC1" w14:textId="77777777" w:rsidR="003D40E2" w:rsidRPr="00516AFF" w:rsidRDefault="003D40E2" w:rsidP="003D40E2">
      <w:pPr>
        <w:rPr>
          <w:rFonts w:cs="Arial"/>
        </w:rPr>
      </w:pPr>
    </w:p>
    <w:p w14:paraId="4F0E4EC4" w14:textId="77777777" w:rsidR="003D40E2" w:rsidRPr="00516AFF" w:rsidRDefault="003D40E2" w:rsidP="003D40E2">
      <w:pPr>
        <w:pStyle w:val="Ttulo1"/>
        <w:spacing w:before="0"/>
        <w:jc w:val="center"/>
        <w:rPr>
          <w:rFonts w:cs="Arial"/>
          <w:b w:val="0"/>
          <w:sz w:val="24"/>
          <w:szCs w:val="22"/>
        </w:rPr>
      </w:pPr>
      <w:r w:rsidRPr="00516AFF">
        <w:rPr>
          <w:rFonts w:cs="Arial"/>
          <w:sz w:val="24"/>
          <w:szCs w:val="22"/>
        </w:rPr>
        <w:t>1. EXPOSICIÓN DE MOTIVOS</w:t>
      </w:r>
    </w:p>
    <w:p w14:paraId="72F08A65" w14:textId="77777777" w:rsidR="003D40E2" w:rsidRPr="00516AFF" w:rsidRDefault="003D40E2" w:rsidP="003D40E2">
      <w:pPr>
        <w:rPr>
          <w:rFonts w:cs="Arial"/>
          <w:b/>
          <w:bCs/>
        </w:rPr>
      </w:pPr>
    </w:p>
    <w:p w14:paraId="10FA32B0" w14:textId="582D67D9" w:rsidR="003D40E2" w:rsidRPr="008259F3" w:rsidRDefault="003D40E2" w:rsidP="003D40E2">
      <w:pPr>
        <w:rPr>
          <w:rFonts w:cs="Arial"/>
          <w:bCs/>
        </w:rPr>
      </w:pPr>
      <w:r w:rsidRPr="008259F3">
        <w:rPr>
          <w:rFonts w:cs="Arial"/>
          <w:bCs/>
        </w:rPr>
        <w:t xml:space="preserve">El Proyecto de Presupuesto de Egresos que se remite para su análisis, discusión y en su caso aprobación a esa Honorable Soberanía, </w:t>
      </w:r>
      <w:r w:rsidR="00A04DD8" w:rsidRPr="008259F3">
        <w:rPr>
          <w:rFonts w:cs="Arial"/>
          <w:bCs/>
        </w:rPr>
        <w:t xml:space="preserve">encuentra su base en los </w:t>
      </w:r>
      <w:r w:rsidRPr="008259F3">
        <w:rPr>
          <w:rFonts w:cs="Arial"/>
          <w:bCs/>
        </w:rPr>
        <w:t>principios de austeridad, eficiencia, eficacia, economía, transparencia en el uso y destino de los recursos públicos</w:t>
      </w:r>
      <w:r w:rsidR="00A04DD8" w:rsidRPr="008259F3">
        <w:rPr>
          <w:rFonts w:cs="Arial"/>
          <w:bCs/>
        </w:rPr>
        <w:t xml:space="preserve"> para seguir buscando el bienestar de los colimenses y continuar con generación de valor público que permita sembrar la paz</w:t>
      </w:r>
      <w:r w:rsidRPr="008259F3">
        <w:rPr>
          <w:rFonts w:cs="Arial"/>
          <w:bCs/>
        </w:rPr>
        <w:t>, de la misma forma, es congruente con las estimaciones contenidas en la iniciativa de Ley de Ingresos del Estado de Colima para el Ejercicio Fiscal 202</w:t>
      </w:r>
      <w:r w:rsidR="00DB68A7" w:rsidRPr="008259F3">
        <w:rPr>
          <w:rFonts w:cs="Arial"/>
          <w:bCs/>
        </w:rPr>
        <w:t>5</w:t>
      </w:r>
      <w:r w:rsidRPr="008259F3">
        <w:rPr>
          <w:rFonts w:cs="Arial"/>
          <w:bCs/>
        </w:rPr>
        <w:t xml:space="preserve"> así como en los </w:t>
      </w:r>
      <w:r w:rsidR="00F02351" w:rsidRPr="008259F3">
        <w:rPr>
          <w:rFonts w:cs="Arial"/>
          <w:bCs/>
        </w:rPr>
        <w:t>Pre-</w:t>
      </w:r>
      <w:r w:rsidRPr="008259F3">
        <w:rPr>
          <w:rFonts w:cs="Arial"/>
          <w:bCs/>
        </w:rPr>
        <w:t>Criterios Generales de Política Económica correspondientes al Ejercicio Fiscal 202</w:t>
      </w:r>
      <w:r w:rsidR="00DB68A7" w:rsidRPr="008259F3">
        <w:rPr>
          <w:rFonts w:cs="Arial"/>
          <w:bCs/>
        </w:rPr>
        <w:t>5</w:t>
      </w:r>
      <w:r w:rsidRPr="008259F3">
        <w:rPr>
          <w:rFonts w:cs="Arial"/>
          <w:bCs/>
        </w:rPr>
        <w:t xml:space="preserve"> emitidos por la Secretaría de Hacienda y Crédito Público.  </w:t>
      </w:r>
    </w:p>
    <w:p w14:paraId="6977564A" w14:textId="77777777" w:rsidR="003D40E2" w:rsidRPr="008259F3" w:rsidRDefault="003D40E2" w:rsidP="003D40E2">
      <w:pPr>
        <w:rPr>
          <w:rFonts w:cs="Arial"/>
          <w:bCs/>
        </w:rPr>
      </w:pPr>
    </w:p>
    <w:p w14:paraId="2236323F" w14:textId="0AF3F8AB" w:rsidR="003D40E2" w:rsidRPr="008259F3" w:rsidRDefault="003D40E2" w:rsidP="003D40E2">
      <w:pPr>
        <w:rPr>
          <w:rFonts w:cs="Arial"/>
          <w:bCs/>
        </w:rPr>
      </w:pPr>
      <w:r w:rsidRPr="008259F3">
        <w:rPr>
          <w:rFonts w:cs="Arial"/>
          <w:bCs/>
        </w:rPr>
        <w:t>El Presupuesto de Egresos del Estado de Colima es el documento de política económica más importante, pues en él se ven reflejadas las prioridades de gasto que el Ejecutivo Estatal pone a consideración de las y los diputados locales así como las propuestas de gasto del Poder Legislativo y Judicial, de los Órganos Autónomos así como de los Organismos Públicos Descentralizados del Estado, su ejecución tiene impacto en todos los sectores de la economía</w:t>
      </w:r>
      <w:r w:rsidR="00A04DD8" w:rsidRPr="008259F3">
        <w:rPr>
          <w:rFonts w:cs="Arial"/>
          <w:bCs/>
        </w:rPr>
        <w:t xml:space="preserve"> de nuestro estado</w:t>
      </w:r>
      <w:r w:rsidRPr="008259F3">
        <w:rPr>
          <w:rFonts w:cs="Arial"/>
          <w:bCs/>
        </w:rPr>
        <w:t xml:space="preserve"> y demuestra la política de gasto que se deberá seguir durante el año 202</w:t>
      </w:r>
      <w:r w:rsidR="00F1573D" w:rsidRPr="008259F3">
        <w:rPr>
          <w:rFonts w:cs="Arial"/>
          <w:bCs/>
        </w:rPr>
        <w:t>5</w:t>
      </w:r>
      <w:r w:rsidR="00F8732D">
        <w:rPr>
          <w:rFonts w:cs="Arial"/>
          <w:bCs/>
        </w:rPr>
        <w:t>.</w:t>
      </w:r>
    </w:p>
    <w:p w14:paraId="14325ACE" w14:textId="77777777" w:rsidR="003D40E2" w:rsidRPr="008259F3" w:rsidRDefault="003D40E2" w:rsidP="003D40E2">
      <w:pPr>
        <w:rPr>
          <w:rFonts w:cs="Arial"/>
          <w:bCs/>
        </w:rPr>
      </w:pPr>
    </w:p>
    <w:p w14:paraId="6AD241FD" w14:textId="7CFC4D95" w:rsidR="003D40E2" w:rsidRPr="008259F3" w:rsidRDefault="003D40E2" w:rsidP="003D40E2">
      <w:pPr>
        <w:rPr>
          <w:rFonts w:cs="Arial"/>
          <w:bCs/>
        </w:rPr>
      </w:pPr>
      <w:r w:rsidRPr="008259F3">
        <w:rPr>
          <w:rFonts w:cs="Arial"/>
          <w:bCs/>
        </w:rPr>
        <w:t>La aprobación del documento bajo análisis permitirá continuar con la transformación de nuestra Colima, construyendo las bases para recuperar el Colima que merecemos</w:t>
      </w:r>
      <w:r w:rsidR="00FD73DB" w:rsidRPr="008259F3">
        <w:rPr>
          <w:rFonts w:cs="Arial"/>
          <w:bCs/>
        </w:rPr>
        <w:t>,</w:t>
      </w:r>
      <w:r w:rsidR="00A04DD8" w:rsidRPr="008259F3">
        <w:rPr>
          <w:rFonts w:cs="Arial"/>
          <w:bCs/>
        </w:rPr>
        <w:t xml:space="preserve"> como se ha demostrado poco a poco nos encontramos retomando el rumbo, para ello la contención del gasto público y </w:t>
      </w:r>
      <w:r w:rsidR="00F8732D">
        <w:rPr>
          <w:rFonts w:cs="Arial"/>
          <w:bCs/>
        </w:rPr>
        <w:t xml:space="preserve">el </w:t>
      </w:r>
      <w:r w:rsidR="00F66762" w:rsidRPr="008259F3">
        <w:rPr>
          <w:rFonts w:cs="Arial"/>
          <w:bCs/>
        </w:rPr>
        <w:t>adecuado manejo de los recursos ha sido pieza fundamental</w:t>
      </w:r>
      <w:r w:rsidR="00F8732D">
        <w:rPr>
          <w:rFonts w:cs="Arial"/>
          <w:bCs/>
        </w:rPr>
        <w:t>, este Proyecto de Presupuesto muestra cifras pr</w:t>
      </w:r>
      <w:r w:rsidR="0051429E">
        <w:rPr>
          <w:rFonts w:cs="Arial"/>
          <w:bCs/>
        </w:rPr>
        <w:t>udentes y reservadas que permite</w:t>
      </w:r>
      <w:r w:rsidR="00F8732D">
        <w:rPr>
          <w:rFonts w:cs="Arial"/>
          <w:bCs/>
        </w:rPr>
        <w:t xml:space="preserve">n mantener un Balance Presupuestario Sostenible en un ejercicio de responsabilidad hacendaria. </w:t>
      </w:r>
    </w:p>
    <w:p w14:paraId="1F3A66BF" w14:textId="77777777" w:rsidR="003D40E2" w:rsidRPr="008259F3" w:rsidRDefault="003D40E2" w:rsidP="003D40E2">
      <w:pPr>
        <w:rPr>
          <w:rFonts w:cs="Arial"/>
          <w:bCs/>
        </w:rPr>
      </w:pPr>
    </w:p>
    <w:p w14:paraId="1E846D27" w14:textId="485D4657" w:rsidR="003D40E2" w:rsidRPr="00CF1013" w:rsidRDefault="003D40E2" w:rsidP="003D40E2">
      <w:pPr>
        <w:rPr>
          <w:rFonts w:cs="Arial"/>
          <w:bCs/>
        </w:rPr>
      </w:pPr>
      <w:r w:rsidRPr="008259F3">
        <w:rPr>
          <w:rFonts w:cs="Arial"/>
          <w:bCs/>
        </w:rPr>
        <w:lastRenderedPageBreak/>
        <w:t xml:space="preserve">El manejo honesto y eficiente de los recursos de los que dispone el Estado ha permitido, durante este Ejercicio Fiscal que entra ya en su último trimestre, generar </w:t>
      </w:r>
      <w:r w:rsidR="00F66762" w:rsidRPr="008259F3">
        <w:rPr>
          <w:rFonts w:cs="Arial"/>
          <w:bCs/>
        </w:rPr>
        <w:t xml:space="preserve">y mantener </w:t>
      </w:r>
      <w:r w:rsidRPr="008259F3">
        <w:rPr>
          <w:rFonts w:cs="Arial"/>
          <w:bCs/>
        </w:rPr>
        <w:t>programas sociales como los denominados “</w:t>
      </w:r>
      <w:proofErr w:type="spellStart"/>
      <w:r w:rsidRPr="008259F3">
        <w:rPr>
          <w:rFonts w:cs="Arial"/>
          <w:bCs/>
        </w:rPr>
        <w:t>Colibecas</w:t>
      </w:r>
      <w:proofErr w:type="spellEnd"/>
      <w:r w:rsidRPr="008259F3">
        <w:rPr>
          <w:rFonts w:cs="Arial"/>
          <w:bCs/>
        </w:rPr>
        <w:t>” que busca</w:t>
      </w:r>
      <w:r w:rsidR="0051429E">
        <w:rPr>
          <w:rFonts w:cs="Arial"/>
          <w:bCs/>
        </w:rPr>
        <w:t>n</w:t>
      </w:r>
      <w:r w:rsidRPr="008259F3">
        <w:rPr>
          <w:rFonts w:cs="Arial"/>
          <w:bCs/>
        </w:rPr>
        <w:t xml:space="preserve"> contribuir</w:t>
      </w:r>
      <w:r w:rsidR="00F66762" w:rsidRPr="008259F3">
        <w:rPr>
          <w:rFonts w:cs="Arial"/>
          <w:bCs/>
        </w:rPr>
        <w:t>,</w:t>
      </w:r>
      <w:r w:rsidRPr="008259F3">
        <w:rPr>
          <w:rFonts w:cs="Arial"/>
          <w:bCs/>
        </w:rPr>
        <w:t xml:space="preserve"> en el corto </w:t>
      </w:r>
      <w:r w:rsidRPr="00CF1013">
        <w:rPr>
          <w:rFonts w:cs="Arial"/>
          <w:bCs/>
        </w:rPr>
        <w:t>plazo</w:t>
      </w:r>
      <w:r w:rsidR="00F66762" w:rsidRPr="00CF1013">
        <w:rPr>
          <w:rFonts w:cs="Arial"/>
          <w:bCs/>
        </w:rPr>
        <w:t>,</w:t>
      </w:r>
      <w:r w:rsidRPr="00CF1013">
        <w:rPr>
          <w:rFonts w:cs="Arial"/>
          <w:bCs/>
        </w:rPr>
        <w:t xml:space="preserve"> a reducir la deserción escolar y que este se refleje en el tiempo con más profesionistas que </w:t>
      </w:r>
      <w:r w:rsidR="00F66762" w:rsidRPr="00CF1013">
        <w:rPr>
          <w:rFonts w:cs="Arial"/>
          <w:bCs/>
        </w:rPr>
        <w:t>generen</w:t>
      </w:r>
      <w:r w:rsidRPr="00CF1013">
        <w:rPr>
          <w:rFonts w:cs="Arial"/>
          <w:bCs/>
        </w:rPr>
        <w:t xml:space="preserve"> mejores</w:t>
      </w:r>
      <w:r w:rsidR="0051429E">
        <w:rPr>
          <w:rFonts w:cs="Arial"/>
          <w:bCs/>
        </w:rPr>
        <w:t xml:space="preserve"> condiciones</w:t>
      </w:r>
      <w:r w:rsidR="00F66762" w:rsidRPr="00CF1013">
        <w:rPr>
          <w:rFonts w:cs="Arial"/>
          <w:bCs/>
        </w:rPr>
        <w:t xml:space="preserve"> </w:t>
      </w:r>
      <w:r w:rsidRPr="00CF1013">
        <w:rPr>
          <w:rFonts w:cs="Arial"/>
          <w:bCs/>
        </w:rPr>
        <w:t>económicas, ello sin descuidar los compromisos institucionales que fueron heredados</w:t>
      </w:r>
      <w:r w:rsidR="00F66762" w:rsidRPr="00CF1013">
        <w:rPr>
          <w:rFonts w:cs="Arial"/>
          <w:bCs/>
        </w:rPr>
        <w:t xml:space="preserve">, </w:t>
      </w:r>
      <w:r w:rsidRPr="00CF1013">
        <w:rPr>
          <w:rFonts w:cs="Arial"/>
          <w:bCs/>
        </w:rPr>
        <w:t xml:space="preserve">que representado y siguen siendo una carga financiera importante, como lo es el pago de créditos fiscales </w:t>
      </w:r>
      <w:r w:rsidR="00C758B3" w:rsidRPr="00CF1013">
        <w:rPr>
          <w:rFonts w:cs="Arial"/>
          <w:bCs/>
        </w:rPr>
        <w:t xml:space="preserve">que continúan </w:t>
      </w:r>
      <w:r w:rsidR="00F66762" w:rsidRPr="00CF1013">
        <w:rPr>
          <w:rFonts w:cs="Arial"/>
          <w:bCs/>
        </w:rPr>
        <w:t>fincándose</w:t>
      </w:r>
      <w:r w:rsidR="00C758B3" w:rsidRPr="00CF1013">
        <w:rPr>
          <w:rFonts w:cs="Arial"/>
          <w:bCs/>
        </w:rPr>
        <w:t xml:space="preserve"> </w:t>
      </w:r>
      <w:r w:rsidRPr="00CF1013">
        <w:rPr>
          <w:rFonts w:cs="Arial"/>
          <w:bCs/>
        </w:rPr>
        <w:t>por parte del Sistema de Administración Tributaria (SAT)</w:t>
      </w:r>
      <w:r w:rsidR="00CF1013" w:rsidRPr="00CF1013">
        <w:rPr>
          <w:rFonts w:cs="Arial"/>
          <w:bCs/>
        </w:rPr>
        <w:t xml:space="preserve"> y el </w:t>
      </w:r>
      <w:r w:rsidR="00CF1013">
        <w:rPr>
          <w:rFonts w:cs="Arial"/>
          <w:bCs/>
        </w:rPr>
        <w:t>Instituto de Seguridad y Servicios Sociales de los Trabajadores del Estado (</w:t>
      </w:r>
      <w:r w:rsidR="00CF1013" w:rsidRPr="00CF1013">
        <w:rPr>
          <w:rFonts w:cs="Arial"/>
          <w:bCs/>
        </w:rPr>
        <w:t>ISSSTE</w:t>
      </w:r>
      <w:r w:rsidR="00CF1013">
        <w:rPr>
          <w:rFonts w:cs="Arial"/>
          <w:bCs/>
        </w:rPr>
        <w:t>)</w:t>
      </w:r>
      <w:r w:rsidRPr="00CF1013">
        <w:rPr>
          <w:rFonts w:cs="Arial"/>
          <w:bCs/>
        </w:rPr>
        <w:t xml:space="preserve"> a diversos organismos descentralizados del Gobierno del Estado</w:t>
      </w:r>
      <w:r w:rsidR="00C758B3" w:rsidRPr="00CF1013">
        <w:rPr>
          <w:rFonts w:cs="Arial"/>
          <w:bCs/>
        </w:rPr>
        <w:t>, Poderes del Estado y Órganos Autónomos</w:t>
      </w:r>
      <w:r w:rsidRPr="00CF1013">
        <w:rPr>
          <w:rFonts w:cs="Arial"/>
          <w:bCs/>
        </w:rPr>
        <w:t xml:space="preserve">, </w:t>
      </w:r>
      <w:r w:rsidR="00F66762" w:rsidRPr="00CF1013">
        <w:rPr>
          <w:rFonts w:cs="Arial"/>
          <w:bCs/>
        </w:rPr>
        <w:t>y por supuesto el</w:t>
      </w:r>
      <w:r w:rsidRPr="00CF1013">
        <w:rPr>
          <w:rFonts w:cs="Arial"/>
          <w:bCs/>
        </w:rPr>
        <w:t xml:space="preserve"> pago de la Deuda Pública</w:t>
      </w:r>
      <w:r w:rsidR="00F66762" w:rsidRPr="00CF1013">
        <w:rPr>
          <w:rFonts w:cs="Arial"/>
          <w:bCs/>
        </w:rPr>
        <w:t>, que a pesar del refinanciamiento autorizado por esa Soberanía, continua siendo un lastre de aproximadamente 500 millones de pesos anuales</w:t>
      </w:r>
      <w:r w:rsidRPr="00CF1013">
        <w:rPr>
          <w:rFonts w:cs="Arial"/>
          <w:bCs/>
        </w:rPr>
        <w:t xml:space="preserve">. </w:t>
      </w:r>
    </w:p>
    <w:p w14:paraId="595C3ABF" w14:textId="77777777" w:rsidR="003D40E2" w:rsidRPr="00CF1013" w:rsidRDefault="003D40E2" w:rsidP="003D40E2">
      <w:pPr>
        <w:rPr>
          <w:rFonts w:cs="Arial"/>
          <w:bCs/>
        </w:rPr>
      </w:pPr>
    </w:p>
    <w:p w14:paraId="42469976" w14:textId="72E7060B" w:rsidR="003D40E2" w:rsidRPr="00CF1013" w:rsidRDefault="003D40E2" w:rsidP="003D40E2">
      <w:pPr>
        <w:rPr>
          <w:rFonts w:cs="Arial"/>
          <w:bCs/>
        </w:rPr>
      </w:pPr>
      <w:r w:rsidRPr="00CF1013">
        <w:rPr>
          <w:rFonts w:cs="Arial"/>
          <w:bCs/>
        </w:rPr>
        <w:t>De esta forma</w:t>
      </w:r>
      <w:r w:rsidR="00F66762" w:rsidRPr="00CF1013">
        <w:rPr>
          <w:rFonts w:cs="Arial"/>
          <w:bCs/>
        </w:rPr>
        <w:t>,</w:t>
      </w:r>
      <w:r w:rsidRPr="00CF1013">
        <w:rPr>
          <w:rFonts w:cs="Arial"/>
          <w:bCs/>
        </w:rPr>
        <w:t xml:space="preserve"> el Proyecto de Presupuesto de Egresos del Estado de Colima para el Ejercicio Fiscal 202</w:t>
      </w:r>
      <w:r w:rsidR="00F1573D" w:rsidRPr="00CF1013">
        <w:rPr>
          <w:rFonts w:cs="Arial"/>
          <w:bCs/>
        </w:rPr>
        <w:t>5</w:t>
      </w:r>
      <w:r w:rsidRPr="00CF1013">
        <w:rPr>
          <w:rFonts w:cs="Arial"/>
          <w:bCs/>
        </w:rPr>
        <w:t xml:space="preserve"> </w:t>
      </w:r>
      <w:r w:rsidR="00F66762" w:rsidRPr="00CF1013">
        <w:rPr>
          <w:rFonts w:cs="Arial"/>
          <w:bCs/>
        </w:rPr>
        <w:t>continúa</w:t>
      </w:r>
      <w:r w:rsidRPr="00CF1013">
        <w:rPr>
          <w:rFonts w:cs="Arial"/>
          <w:bCs/>
        </w:rPr>
        <w:t xml:space="preserve"> atendiendo las necesidades más sentidas de los ciudadanos, mismas que se consagran en el Plan Estatal de Desarrollo 2021-2027, y toma como base en sus cálculos la información y estimaciones contenidas en los </w:t>
      </w:r>
      <w:r w:rsidR="00F66762" w:rsidRPr="00CF1013">
        <w:rPr>
          <w:rFonts w:cs="Arial"/>
          <w:bCs/>
        </w:rPr>
        <w:t>Pre-Criterios Generales de Política Económica correspondientes al Ejercicio Fiscal 2025, manteniendo en todo momento un balance presupuestario sostenible</w:t>
      </w:r>
      <w:r w:rsidRPr="00CF1013">
        <w:rPr>
          <w:rFonts w:cs="Arial"/>
          <w:bCs/>
        </w:rPr>
        <w:t>.</w:t>
      </w:r>
    </w:p>
    <w:p w14:paraId="297A292C" w14:textId="77777777" w:rsidR="003D40E2" w:rsidRPr="00CF1013" w:rsidRDefault="003D40E2" w:rsidP="003D40E2">
      <w:pPr>
        <w:rPr>
          <w:rFonts w:cs="Arial"/>
          <w:bCs/>
        </w:rPr>
      </w:pPr>
    </w:p>
    <w:p w14:paraId="4E8A46A3" w14:textId="4FA01D7A" w:rsidR="003D40E2" w:rsidRPr="00CF1013" w:rsidRDefault="003D40E2" w:rsidP="003D40E2">
      <w:pPr>
        <w:rPr>
          <w:rFonts w:cs="Arial"/>
          <w:bCs/>
        </w:rPr>
      </w:pPr>
      <w:r w:rsidRPr="00CF1013">
        <w:rPr>
          <w:rFonts w:cs="Arial"/>
          <w:bCs/>
        </w:rPr>
        <w:t xml:space="preserve">Los retos que </w:t>
      </w:r>
      <w:r w:rsidR="00F66762" w:rsidRPr="00CF1013">
        <w:rPr>
          <w:rFonts w:cs="Arial"/>
          <w:bCs/>
        </w:rPr>
        <w:t xml:space="preserve">seguimos </w:t>
      </w:r>
      <w:r w:rsidRPr="00CF1013">
        <w:rPr>
          <w:rFonts w:cs="Arial"/>
          <w:bCs/>
        </w:rPr>
        <w:t>enfrenta</w:t>
      </w:r>
      <w:r w:rsidR="00F66762" w:rsidRPr="00CF1013">
        <w:rPr>
          <w:rFonts w:cs="Arial"/>
          <w:bCs/>
        </w:rPr>
        <w:t>ndo</w:t>
      </w:r>
      <w:r w:rsidRPr="00CF1013">
        <w:rPr>
          <w:rFonts w:cs="Arial"/>
          <w:bCs/>
        </w:rPr>
        <w:t xml:space="preserve"> </w:t>
      </w:r>
      <w:r w:rsidR="00F66762" w:rsidRPr="00CF1013">
        <w:rPr>
          <w:rFonts w:cs="Arial"/>
          <w:bCs/>
        </w:rPr>
        <w:t>como</w:t>
      </w:r>
      <w:r w:rsidRPr="00CF1013">
        <w:rPr>
          <w:rFonts w:cs="Arial"/>
          <w:bCs/>
        </w:rPr>
        <w:t xml:space="preserve"> estado en materia financiera, seguridad pública, económica y social siguen siendo grandes, es por ello que la </w:t>
      </w:r>
      <w:r w:rsidR="00236939" w:rsidRPr="00CF1013">
        <w:rPr>
          <w:rFonts w:cs="Arial"/>
          <w:bCs/>
        </w:rPr>
        <w:t>Planeación</w:t>
      </w:r>
      <w:r w:rsidR="002176A4" w:rsidRPr="00CF1013">
        <w:rPr>
          <w:rFonts w:cs="Arial"/>
          <w:bCs/>
        </w:rPr>
        <w:t xml:space="preserve"> d</w:t>
      </w:r>
      <w:r w:rsidR="00236939" w:rsidRPr="00CF1013">
        <w:rPr>
          <w:rFonts w:cs="Arial"/>
          <w:bCs/>
        </w:rPr>
        <w:t>el Desarrollo</w:t>
      </w:r>
      <w:r w:rsidRPr="00CF1013">
        <w:rPr>
          <w:rFonts w:cs="Arial"/>
          <w:bCs/>
        </w:rPr>
        <w:t xml:space="preserve"> sirve para la instrumentación de políticas públicas a corto, mediano y largo plazo, mismas que se ven plasmadas en los Programas Sectoriales, Especiales, Regionales e Institucionales, los cuales fueron creados a partir de lo establecido en el Plan Estatal de Desarrollo 2021-2027, y que gradualmente permitirán ir recuperando el rumbo de nuestra Colima.</w:t>
      </w:r>
    </w:p>
    <w:p w14:paraId="29C4CA43" w14:textId="77777777" w:rsidR="003D40E2" w:rsidRPr="008259F3" w:rsidRDefault="003D40E2" w:rsidP="003D40E2">
      <w:pPr>
        <w:rPr>
          <w:rFonts w:cs="Arial"/>
          <w:bCs/>
        </w:rPr>
      </w:pPr>
    </w:p>
    <w:p w14:paraId="7D902728" w14:textId="37F775F6" w:rsidR="003D40E2" w:rsidRPr="008259F3" w:rsidRDefault="003D40E2" w:rsidP="003D40E2">
      <w:pPr>
        <w:rPr>
          <w:rFonts w:cs="Arial"/>
          <w:bCs/>
        </w:rPr>
      </w:pPr>
      <w:r w:rsidRPr="008259F3">
        <w:rPr>
          <w:rFonts w:cs="Arial"/>
          <w:bCs/>
        </w:rPr>
        <w:t xml:space="preserve">El fortalecimiento a la Seguridad Pública, en el presente Proyecto de Presupuesto, representa una prioridad, para el </w:t>
      </w:r>
      <w:r w:rsidR="00871A76" w:rsidRPr="008259F3">
        <w:rPr>
          <w:rFonts w:cs="Arial"/>
          <w:bCs/>
        </w:rPr>
        <w:t>e</w:t>
      </w:r>
      <w:r w:rsidRPr="008259F3">
        <w:rPr>
          <w:rFonts w:cs="Arial"/>
          <w:bCs/>
        </w:rPr>
        <w:t xml:space="preserve">jercicio </w:t>
      </w:r>
      <w:r w:rsidR="00871A76" w:rsidRPr="008259F3">
        <w:rPr>
          <w:rFonts w:cs="Arial"/>
          <w:bCs/>
        </w:rPr>
        <w:t>f</w:t>
      </w:r>
      <w:r w:rsidRPr="008259F3">
        <w:rPr>
          <w:rFonts w:cs="Arial"/>
          <w:bCs/>
        </w:rPr>
        <w:t>iscal</w:t>
      </w:r>
      <w:r w:rsidR="00871A76" w:rsidRPr="008259F3">
        <w:rPr>
          <w:rFonts w:cs="Arial"/>
          <w:bCs/>
        </w:rPr>
        <w:t xml:space="preserve"> 2025</w:t>
      </w:r>
      <w:r w:rsidRPr="008259F3">
        <w:rPr>
          <w:rFonts w:cs="Arial"/>
          <w:bCs/>
        </w:rPr>
        <w:t xml:space="preserve"> se propone que nuestras instituciones destinadas a salvaguardar la integridad de todos y todas reciban 1,</w:t>
      </w:r>
      <w:r w:rsidR="000C448A" w:rsidRPr="008259F3">
        <w:rPr>
          <w:rFonts w:cs="Arial"/>
          <w:bCs/>
        </w:rPr>
        <w:t>212</w:t>
      </w:r>
      <w:r w:rsidRPr="008259F3">
        <w:rPr>
          <w:rFonts w:cs="Arial"/>
          <w:bCs/>
        </w:rPr>
        <w:t>,</w:t>
      </w:r>
      <w:r w:rsidR="000C448A" w:rsidRPr="008259F3">
        <w:rPr>
          <w:rFonts w:cs="Arial"/>
          <w:bCs/>
        </w:rPr>
        <w:t>332</w:t>
      </w:r>
      <w:r w:rsidRPr="008259F3">
        <w:rPr>
          <w:rFonts w:cs="Arial"/>
          <w:bCs/>
        </w:rPr>
        <w:t>,</w:t>
      </w:r>
      <w:r w:rsidR="000C448A" w:rsidRPr="008259F3">
        <w:rPr>
          <w:rFonts w:cs="Arial"/>
          <w:bCs/>
        </w:rPr>
        <w:t>082</w:t>
      </w:r>
      <w:r w:rsidR="00236939" w:rsidRPr="008259F3">
        <w:rPr>
          <w:rFonts w:cs="Arial"/>
          <w:bCs/>
        </w:rPr>
        <w:t xml:space="preserve"> pesos,</w:t>
      </w:r>
      <w:r w:rsidRPr="008259F3">
        <w:rPr>
          <w:rFonts w:cs="Arial"/>
          <w:bCs/>
        </w:rPr>
        <w:t xml:space="preserve"> que representa</w:t>
      </w:r>
      <w:r w:rsidR="00322162">
        <w:rPr>
          <w:rFonts w:cs="Arial"/>
          <w:bCs/>
        </w:rPr>
        <w:t>n</w:t>
      </w:r>
      <w:r w:rsidRPr="008259F3">
        <w:rPr>
          <w:rFonts w:cs="Arial"/>
          <w:bCs/>
        </w:rPr>
        <w:t xml:space="preserve"> cerca de </w:t>
      </w:r>
      <w:r w:rsidR="000C448A" w:rsidRPr="008259F3">
        <w:rPr>
          <w:rFonts w:cs="Arial"/>
          <w:bCs/>
        </w:rPr>
        <w:t>62.3</w:t>
      </w:r>
      <w:r w:rsidRPr="008259F3">
        <w:rPr>
          <w:rFonts w:cs="Arial"/>
          <w:bCs/>
        </w:rPr>
        <w:t xml:space="preserve"> </w:t>
      </w:r>
      <w:r w:rsidR="000C448A" w:rsidRPr="008259F3">
        <w:rPr>
          <w:rFonts w:cs="Arial"/>
          <w:bCs/>
        </w:rPr>
        <w:t>millones de pesos</w:t>
      </w:r>
      <w:r w:rsidRPr="008259F3">
        <w:rPr>
          <w:rFonts w:cs="Arial"/>
          <w:bCs/>
        </w:rPr>
        <w:t xml:space="preserve"> adicionales, lo que les</w:t>
      </w:r>
      <w:r w:rsidR="00236939" w:rsidRPr="008259F3">
        <w:rPr>
          <w:rFonts w:cs="Arial"/>
          <w:bCs/>
        </w:rPr>
        <w:t xml:space="preserve"> </w:t>
      </w:r>
      <w:r w:rsidRPr="008259F3">
        <w:rPr>
          <w:rFonts w:cs="Arial"/>
          <w:bCs/>
        </w:rPr>
        <w:t>permitirá mejorar su desempeño y entrega de resultados para la ciudadanía</w:t>
      </w:r>
      <w:r w:rsidR="000C448A" w:rsidRPr="008259F3">
        <w:rPr>
          <w:rFonts w:cs="Arial"/>
          <w:bCs/>
        </w:rPr>
        <w:t>.</w:t>
      </w:r>
      <w:r w:rsidRPr="008259F3">
        <w:rPr>
          <w:rFonts w:cs="Arial"/>
          <w:bCs/>
        </w:rPr>
        <w:t xml:space="preserve"> </w:t>
      </w:r>
    </w:p>
    <w:p w14:paraId="1E3B19ED" w14:textId="77777777" w:rsidR="003D40E2" w:rsidRPr="008259F3" w:rsidRDefault="003D40E2" w:rsidP="003D40E2">
      <w:pPr>
        <w:rPr>
          <w:rFonts w:cs="Arial"/>
          <w:bCs/>
        </w:rPr>
      </w:pPr>
    </w:p>
    <w:p w14:paraId="5C5E5E41" w14:textId="66112AE9" w:rsidR="003D40E2" w:rsidRPr="00CF1013" w:rsidRDefault="003D40E2" w:rsidP="003D40E2">
      <w:pPr>
        <w:rPr>
          <w:rFonts w:cs="Arial"/>
          <w:bCs/>
        </w:rPr>
      </w:pPr>
      <w:r w:rsidRPr="008259F3">
        <w:rPr>
          <w:rFonts w:cs="Arial"/>
          <w:bCs/>
        </w:rPr>
        <w:t xml:space="preserve">En este orden de ideas, el sector educativo recibirá cerca de </w:t>
      </w:r>
      <w:r w:rsidR="008C2A7F" w:rsidRPr="008259F3">
        <w:rPr>
          <w:rFonts w:cs="Arial"/>
          <w:bCs/>
        </w:rPr>
        <w:t>235</w:t>
      </w:r>
      <w:r w:rsidRPr="008259F3">
        <w:rPr>
          <w:rFonts w:cs="Arial"/>
          <w:bCs/>
        </w:rPr>
        <w:t xml:space="preserve"> millones de pesos adicionales para el </w:t>
      </w:r>
      <w:r w:rsidR="00871A76" w:rsidRPr="008259F3">
        <w:rPr>
          <w:rFonts w:cs="Arial"/>
          <w:bCs/>
        </w:rPr>
        <w:t xml:space="preserve">ejercicio fiscal </w:t>
      </w:r>
      <w:r w:rsidRPr="008259F3">
        <w:rPr>
          <w:rFonts w:cs="Arial"/>
          <w:bCs/>
        </w:rPr>
        <w:t>202</w:t>
      </w:r>
      <w:r w:rsidR="00F1573D" w:rsidRPr="008259F3">
        <w:rPr>
          <w:rFonts w:cs="Arial"/>
          <w:bCs/>
        </w:rPr>
        <w:t>5</w:t>
      </w:r>
      <w:r w:rsidRPr="008259F3">
        <w:rPr>
          <w:rFonts w:cs="Arial"/>
          <w:bCs/>
        </w:rPr>
        <w:t xml:space="preserve">, ello con el firme compromiso de fortalecer los servicios educativos en nuestra </w:t>
      </w:r>
      <w:r w:rsidR="00871A76" w:rsidRPr="008259F3">
        <w:rPr>
          <w:rFonts w:cs="Arial"/>
          <w:bCs/>
        </w:rPr>
        <w:t>Entidad</w:t>
      </w:r>
      <w:r w:rsidRPr="008259F3">
        <w:rPr>
          <w:rFonts w:cs="Arial"/>
          <w:bCs/>
        </w:rPr>
        <w:t>, considerado como uno de los pilares fundamentales para el desarrollo económico y la paz social. Dentro de este rubro, la máxima casa de estudios, la Universidad de Colima recibirá cerca de 2,5</w:t>
      </w:r>
      <w:r w:rsidR="008C2A7F" w:rsidRPr="008259F3">
        <w:rPr>
          <w:rFonts w:cs="Arial"/>
          <w:bCs/>
        </w:rPr>
        <w:t>60</w:t>
      </w:r>
      <w:r w:rsidR="00455AE0" w:rsidRPr="008259F3">
        <w:rPr>
          <w:rFonts w:cs="Arial"/>
          <w:bCs/>
        </w:rPr>
        <w:t>.</w:t>
      </w:r>
      <w:r w:rsidR="008C2A7F" w:rsidRPr="008259F3">
        <w:rPr>
          <w:rFonts w:cs="Arial"/>
          <w:bCs/>
        </w:rPr>
        <w:t>2</w:t>
      </w:r>
      <w:r w:rsidRPr="008259F3">
        <w:rPr>
          <w:rFonts w:cs="Arial"/>
          <w:bCs/>
        </w:rPr>
        <w:t xml:space="preserve"> millones de pesos, refrendando el fuerte compromiso de la actual administración para </w:t>
      </w:r>
      <w:r w:rsidRPr="00CF1013">
        <w:rPr>
          <w:rFonts w:cs="Arial"/>
          <w:bCs/>
        </w:rPr>
        <w:t xml:space="preserve">con todas y todos los estudiantes y el sector educativo de nuestra entidad. </w:t>
      </w:r>
    </w:p>
    <w:p w14:paraId="3BA80DFA" w14:textId="3789904D" w:rsidR="008C2A7F" w:rsidRPr="00CF1013" w:rsidRDefault="008C2A7F" w:rsidP="003D40E2">
      <w:pPr>
        <w:rPr>
          <w:rFonts w:cs="Arial"/>
          <w:bCs/>
        </w:rPr>
      </w:pPr>
    </w:p>
    <w:p w14:paraId="2B52D68E" w14:textId="3C426F60" w:rsidR="003D40E2" w:rsidRDefault="00326448" w:rsidP="003D40E2">
      <w:pPr>
        <w:rPr>
          <w:rFonts w:cs="Arial"/>
          <w:bCs/>
        </w:rPr>
      </w:pPr>
      <w:r>
        <w:rPr>
          <w:rFonts w:cs="Arial"/>
          <w:bCs/>
        </w:rPr>
        <w:t xml:space="preserve">Por otro lado, </w:t>
      </w:r>
      <w:r w:rsidRPr="00326448">
        <w:rPr>
          <w:rFonts w:cs="Arial"/>
          <w:bCs/>
        </w:rPr>
        <w:t>derivado de la transición y OPD-IMSS Bienestar y el fortalecimiento</w:t>
      </w:r>
      <w:r w:rsidR="004647CD">
        <w:rPr>
          <w:rFonts w:cs="Arial"/>
          <w:bCs/>
        </w:rPr>
        <w:t xml:space="preserve"> a</w:t>
      </w:r>
      <w:r w:rsidRPr="00326448">
        <w:rPr>
          <w:rFonts w:cs="Arial"/>
          <w:bCs/>
        </w:rPr>
        <w:t xml:space="preserve"> la atención médica  </w:t>
      </w:r>
      <w:r>
        <w:rPr>
          <w:rFonts w:cs="Arial"/>
          <w:bCs/>
        </w:rPr>
        <w:t>para el</w:t>
      </w:r>
      <w:r w:rsidRPr="00326448">
        <w:rPr>
          <w:rFonts w:cs="Arial"/>
          <w:bCs/>
        </w:rPr>
        <w:t xml:space="preserve"> avance en la implementación de este convenio de colaboración, el presente documento prevé el importe de 1,391.4 millones de pesos provenientes del Gobierno Federal, en </w:t>
      </w:r>
      <w:r>
        <w:rPr>
          <w:rFonts w:cs="Arial"/>
          <w:bCs/>
        </w:rPr>
        <w:t>suma</w:t>
      </w:r>
      <w:r w:rsidRPr="00326448">
        <w:rPr>
          <w:rFonts w:cs="Arial"/>
          <w:bCs/>
        </w:rPr>
        <w:t xml:space="preserve"> el Estado estima ejercer en m</w:t>
      </w:r>
      <w:r w:rsidR="004647CD">
        <w:rPr>
          <w:rFonts w:cs="Arial"/>
          <w:bCs/>
        </w:rPr>
        <w:t>ateria de salud 2,505,979,102</w:t>
      </w:r>
      <w:r>
        <w:rPr>
          <w:rFonts w:cs="Arial"/>
          <w:bCs/>
        </w:rPr>
        <w:t xml:space="preserve"> pesos</w:t>
      </w:r>
      <w:r w:rsidRPr="00326448">
        <w:rPr>
          <w:rFonts w:cs="Arial"/>
          <w:bCs/>
        </w:rPr>
        <w:t xml:space="preserve">, </w:t>
      </w:r>
      <w:r>
        <w:rPr>
          <w:rFonts w:cs="Arial"/>
          <w:bCs/>
        </w:rPr>
        <w:t>reforzando</w:t>
      </w:r>
      <w:r w:rsidRPr="00326448">
        <w:rPr>
          <w:rFonts w:cs="Arial"/>
          <w:bCs/>
        </w:rPr>
        <w:t xml:space="preserve"> al personal del área médica, paramédica y enfermería</w:t>
      </w:r>
      <w:r>
        <w:rPr>
          <w:rFonts w:cs="Arial"/>
          <w:bCs/>
        </w:rPr>
        <w:t>,</w:t>
      </w:r>
      <w:r w:rsidRPr="00326448">
        <w:rPr>
          <w:rFonts w:cs="Arial"/>
          <w:bCs/>
        </w:rPr>
        <w:t xml:space="preserve"> </w:t>
      </w:r>
      <w:r>
        <w:rPr>
          <w:rFonts w:cs="Arial"/>
          <w:bCs/>
        </w:rPr>
        <w:t xml:space="preserve">así como </w:t>
      </w:r>
      <w:r w:rsidRPr="00326448">
        <w:rPr>
          <w:rFonts w:cs="Arial"/>
          <w:bCs/>
        </w:rPr>
        <w:t>el abasto de medicamentos e insumos y servicios para dar una atención universal a las personas sin seguridad social de nuestro estado.</w:t>
      </w:r>
    </w:p>
    <w:p w14:paraId="70F79D34" w14:textId="77777777" w:rsidR="00326448" w:rsidRPr="00CF1013" w:rsidRDefault="00326448" w:rsidP="003D40E2">
      <w:pPr>
        <w:rPr>
          <w:rFonts w:cs="Arial"/>
          <w:bCs/>
        </w:rPr>
      </w:pPr>
    </w:p>
    <w:p w14:paraId="3A4682CB" w14:textId="586A19C5" w:rsidR="003D40E2" w:rsidRPr="00CF1013" w:rsidRDefault="003D40E2" w:rsidP="003D40E2">
      <w:pPr>
        <w:rPr>
          <w:rFonts w:cs="Arial"/>
          <w:bCs/>
        </w:rPr>
      </w:pPr>
      <w:r w:rsidRPr="00CF1013">
        <w:rPr>
          <w:rFonts w:cs="Arial"/>
          <w:bCs/>
        </w:rPr>
        <w:t xml:space="preserve">En lo que respecta a bienestar social, </w:t>
      </w:r>
      <w:r w:rsidR="00CF1013" w:rsidRPr="00CF1013">
        <w:rPr>
          <w:rFonts w:cs="Arial"/>
          <w:bCs/>
        </w:rPr>
        <w:t xml:space="preserve">se continua apostando por su </w:t>
      </w:r>
      <w:r w:rsidRPr="00CF1013">
        <w:rPr>
          <w:rFonts w:cs="Arial"/>
          <w:bCs/>
        </w:rPr>
        <w:t>fortalecimiento, al mantener e incrementar programas sociales como la entrega de laptops a estudiantes de secundaria y licenciatura, la dotación uniformes escolares a preescolar, primaria y secundaria</w:t>
      </w:r>
      <w:r w:rsidR="00CF1013" w:rsidRPr="00CF1013">
        <w:rPr>
          <w:rFonts w:cs="Arial"/>
          <w:bCs/>
        </w:rPr>
        <w:t xml:space="preserve">, </w:t>
      </w:r>
      <w:r w:rsidRPr="00CF1013">
        <w:rPr>
          <w:rFonts w:cs="Arial"/>
          <w:bCs/>
        </w:rPr>
        <w:t>la Universalidad de la Pensión para el Bienestar de las Personas con Discapacidad en el Estado</w:t>
      </w:r>
      <w:r w:rsidR="00CF1013" w:rsidRPr="00CF1013">
        <w:rPr>
          <w:rFonts w:cs="Arial"/>
          <w:bCs/>
        </w:rPr>
        <w:t xml:space="preserve"> en coinversión con el Gobierno Federal</w:t>
      </w:r>
      <w:r w:rsidRPr="00CF1013">
        <w:rPr>
          <w:rFonts w:cs="Arial"/>
          <w:bCs/>
        </w:rPr>
        <w:t xml:space="preserve">, con el que se brinda una pensión a todas las personas en esta situación de vulnerabilidad desde los 30 hasta los 64 años, </w:t>
      </w:r>
      <w:r w:rsidR="00CF1013" w:rsidRPr="00CF1013">
        <w:rPr>
          <w:rFonts w:cs="Arial"/>
          <w:bCs/>
        </w:rPr>
        <w:t xml:space="preserve">el </w:t>
      </w:r>
      <w:r w:rsidRPr="00CF1013">
        <w:rPr>
          <w:rFonts w:cs="Arial"/>
          <w:bCs/>
        </w:rPr>
        <w:t>Programa de Beca Económica para Estudiantes de Preescolar y Primaria</w:t>
      </w:r>
      <w:r w:rsidR="00CF1013" w:rsidRPr="00CF1013">
        <w:rPr>
          <w:rFonts w:cs="Arial"/>
          <w:bCs/>
        </w:rPr>
        <w:t xml:space="preserve"> y la propuesta de beca de transporte escolar</w:t>
      </w:r>
      <w:r w:rsidRPr="00CF1013">
        <w:rPr>
          <w:rFonts w:cs="Arial"/>
          <w:bCs/>
        </w:rPr>
        <w:t xml:space="preserve">. </w:t>
      </w:r>
    </w:p>
    <w:p w14:paraId="3E147B04" w14:textId="77777777" w:rsidR="003D40E2" w:rsidRPr="00F47F81" w:rsidRDefault="003D40E2" w:rsidP="003D40E2">
      <w:pPr>
        <w:rPr>
          <w:rFonts w:cs="Arial"/>
          <w:bCs/>
        </w:rPr>
      </w:pPr>
    </w:p>
    <w:p w14:paraId="32C0170E" w14:textId="3DD43C80" w:rsidR="003D40E2" w:rsidRDefault="003D40E2" w:rsidP="003D40E2">
      <w:pPr>
        <w:rPr>
          <w:rFonts w:cs="Arial"/>
          <w:bCs/>
        </w:rPr>
      </w:pPr>
      <w:r w:rsidRPr="00F47F81">
        <w:rPr>
          <w:rFonts w:cs="Arial"/>
          <w:bCs/>
        </w:rPr>
        <w:t xml:space="preserve">Por su parte, el gasto operativo del Poder Ejecutivo, en lo que refiere a </w:t>
      </w:r>
      <w:r w:rsidR="00871A76" w:rsidRPr="00F47F81">
        <w:rPr>
          <w:rFonts w:cs="Arial"/>
          <w:bCs/>
        </w:rPr>
        <w:t xml:space="preserve">materiales y suministros y servicios generales </w:t>
      </w:r>
      <w:r w:rsidR="00CF1013" w:rsidRPr="00F47F81">
        <w:rPr>
          <w:rFonts w:cs="Arial"/>
          <w:bCs/>
        </w:rPr>
        <w:t>presenta una contracción cercana al uno por ciento, lo que representa 5.5 millones de pesos</w:t>
      </w:r>
      <w:r w:rsidRPr="00F47F81">
        <w:rPr>
          <w:rFonts w:cs="Arial"/>
          <w:bCs/>
        </w:rPr>
        <w:t xml:space="preserve"> en recursos no etiquetados, </w:t>
      </w:r>
      <w:r w:rsidR="00F47F81" w:rsidRPr="00F47F81">
        <w:rPr>
          <w:rFonts w:cs="Arial"/>
          <w:bCs/>
        </w:rPr>
        <w:t xml:space="preserve">demostrando el compromiso de esta Administración de generar presupuestos acordes a la realidad y únicamente en la cuantía justa para el otorgamiento de </w:t>
      </w:r>
      <w:r w:rsidR="00F47F81">
        <w:rPr>
          <w:rFonts w:cs="Arial"/>
          <w:bCs/>
        </w:rPr>
        <w:t xml:space="preserve">bienes y servicios adecuados a la población, erradicando todos aquellos gastos que otrora parecían irreductibles. </w:t>
      </w:r>
    </w:p>
    <w:p w14:paraId="1221D7B7" w14:textId="375D3975" w:rsidR="00B72E0F" w:rsidRDefault="00B72E0F" w:rsidP="003D40E2">
      <w:pPr>
        <w:rPr>
          <w:rFonts w:cs="Arial"/>
          <w:bCs/>
        </w:rPr>
      </w:pPr>
    </w:p>
    <w:p w14:paraId="4AD9726C" w14:textId="2A6F0E9F" w:rsidR="00B72E0F" w:rsidRDefault="00B72E0F" w:rsidP="00B72E0F">
      <w:pPr>
        <w:rPr>
          <w:rFonts w:cs="Arial"/>
          <w:bCs/>
        </w:rPr>
      </w:pPr>
      <w:r w:rsidRPr="00BA51CF">
        <w:rPr>
          <w:rFonts w:cs="Arial"/>
          <w:bCs/>
        </w:rPr>
        <w:t>Por otro lado, derivado de dos contratos de Asociaciones Público Privadas, se presupuestan 322</w:t>
      </w:r>
      <w:r w:rsidR="004E7205" w:rsidRPr="00BA51CF">
        <w:rPr>
          <w:rFonts w:cs="Arial"/>
          <w:bCs/>
        </w:rPr>
        <w:t>.</w:t>
      </w:r>
      <w:r w:rsidRPr="00BA51CF">
        <w:rPr>
          <w:rFonts w:cs="Arial"/>
          <w:bCs/>
        </w:rPr>
        <w:t>9 millones de pesos para conservación y mantenimiento de carreteras, en total</w:t>
      </w:r>
      <w:r w:rsidR="004647CD">
        <w:rPr>
          <w:rFonts w:cs="Arial"/>
          <w:bCs/>
        </w:rPr>
        <w:t>,</w:t>
      </w:r>
      <w:r w:rsidRPr="00BA51CF">
        <w:rPr>
          <w:rFonts w:cs="Arial"/>
          <w:bCs/>
        </w:rPr>
        <w:t xml:space="preserve"> este Proyecto de Presupuesto de Egresos considera 401.3 millones de pesos para Inversión Pública, una cifra histórica en los últimos años, considerando que 85 pesos de cada 100</w:t>
      </w:r>
      <w:r w:rsidR="004647CD">
        <w:rPr>
          <w:rFonts w:cs="Arial"/>
          <w:bCs/>
        </w:rPr>
        <w:t xml:space="preserve"> pesos</w:t>
      </w:r>
      <w:r w:rsidRPr="00BA51CF">
        <w:rPr>
          <w:rFonts w:cs="Arial"/>
          <w:bCs/>
        </w:rPr>
        <w:t xml:space="preserve"> invertidos son recursos de Libre Disposición.</w:t>
      </w:r>
      <w:r>
        <w:rPr>
          <w:rFonts w:cs="Arial"/>
          <w:bCs/>
        </w:rPr>
        <w:t xml:space="preserve"> </w:t>
      </w:r>
    </w:p>
    <w:p w14:paraId="0E413C52" w14:textId="7B9CB049" w:rsidR="003D40E2" w:rsidRPr="00F47F81" w:rsidRDefault="008259F3" w:rsidP="003D40E2">
      <w:pPr>
        <w:rPr>
          <w:rFonts w:cs="Arial"/>
          <w:bCs/>
        </w:rPr>
      </w:pPr>
      <w:r>
        <w:rPr>
          <w:rFonts w:cs="Arial"/>
          <w:bCs/>
        </w:rPr>
        <w:t xml:space="preserve"> </w:t>
      </w:r>
    </w:p>
    <w:p w14:paraId="77B3CD28" w14:textId="4F03E0EA" w:rsidR="003D40E2" w:rsidRPr="00F47F81" w:rsidRDefault="003D40E2" w:rsidP="003D40E2">
      <w:pPr>
        <w:rPr>
          <w:rFonts w:cs="Arial"/>
          <w:bCs/>
        </w:rPr>
      </w:pPr>
      <w:r w:rsidRPr="00F47F81">
        <w:rPr>
          <w:rFonts w:cs="Arial"/>
          <w:bCs/>
        </w:rPr>
        <w:t>En lo que refiere a los municipios de la Entidad, en el Proyecto de Presupuesto de Egresos de la Federación</w:t>
      </w:r>
      <w:r w:rsidR="004647CD">
        <w:rPr>
          <w:rFonts w:cs="Arial"/>
          <w:bCs/>
        </w:rPr>
        <w:t xml:space="preserve"> próximo a presentarse por el Ejecutivo Federal, </w:t>
      </w:r>
      <w:r w:rsidRPr="00F47F81">
        <w:rPr>
          <w:rFonts w:cs="Arial"/>
          <w:bCs/>
        </w:rPr>
        <w:t xml:space="preserve">se </w:t>
      </w:r>
      <w:r w:rsidR="004647CD">
        <w:rPr>
          <w:rFonts w:cs="Arial"/>
          <w:bCs/>
        </w:rPr>
        <w:t>estima se prevea</w:t>
      </w:r>
      <w:r w:rsidR="004647CD" w:rsidRPr="00F47F81">
        <w:rPr>
          <w:rFonts w:cs="Arial"/>
          <w:bCs/>
        </w:rPr>
        <w:t>n</w:t>
      </w:r>
      <w:r w:rsidR="004647CD">
        <w:rPr>
          <w:rFonts w:cs="Arial"/>
          <w:bCs/>
        </w:rPr>
        <w:t xml:space="preserve"> recursos</w:t>
      </w:r>
      <w:r w:rsidRPr="00F47F81">
        <w:rPr>
          <w:rFonts w:cs="Arial"/>
          <w:bCs/>
        </w:rPr>
        <w:t xml:space="preserve"> </w:t>
      </w:r>
      <w:r w:rsidRPr="008259F3">
        <w:rPr>
          <w:rFonts w:cs="Arial"/>
          <w:bCs/>
        </w:rPr>
        <w:t>económicos para los 10 municipios de nuestra entidad, quienes en su conjunto recibirán cerca de 3,3</w:t>
      </w:r>
      <w:r w:rsidR="00F47F81" w:rsidRPr="008259F3">
        <w:rPr>
          <w:rFonts w:cs="Arial"/>
          <w:bCs/>
        </w:rPr>
        <w:t>34</w:t>
      </w:r>
      <w:r w:rsidR="00EE6098" w:rsidRPr="008259F3">
        <w:rPr>
          <w:rFonts w:cs="Arial"/>
          <w:bCs/>
        </w:rPr>
        <w:t>.4</w:t>
      </w:r>
      <w:r w:rsidRPr="008259F3">
        <w:rPr>
          <w:rFonts w:cs="Arial"/>
          <w:bCs/>
        </w:rPr>
        <w:t xml:space="preserve"> millones de pesos principalmente provenientes de recursos del Ramo 33 </w:t>
      </w:r>
      <w:r w:rsidR="00305520" w:rsidRPr="008259F3">
        <w:rPr>
          <w:rFonts w:cs="Arial"/>
          <w:bCs/>
        </w:rPr>
        <w:t>Aportaciones y</w:t>
      </w:r>
      <w:r w:rsidRPr="008259F3">
        <w:rPr>
          <w:rFonts w:cs="Arial"/>
          <w:bCs/>
        </w:rPr>
        <w:t xml:space="preserve"> 28 </w:t>
      </w:r>
      <w:r w:rsidRPr="00F47F81">
        <w:rPr>
          <w:rFonts w:cs="Arial"/>
          <w:bCs/>
        </w:rPr>
        <w:t xml:space="preserve">Participaciones. </w:t>
      </w:r>
    </w:p>
    <w:p w14:paraId="47D280A6" w14:textId="77777777" w:rsidR="003D40E2" w:rsidRPr="00F47F81" w:rsidRDefault="003D40E2" w:rsidP="003D40E2">
      <w:pPr>
        <w:rPr>
          <w:rFonts w:cs="Arial"/>
          <w:bCs/>
        </w:rPr>
      </w:pPr>
    </w:p>
    <w:p w14:paraId="719E49BA" w14:textId="53EF6194" w:rsidR="003D40E2" w:rsidRDefault="003D40E2" w:rsidP="003D40E2">
      <w:pPr>
        <w:rPr>
          <w:rFonts w:cs="Arial"/>
          <w:bCs/>
        </w:rPr>
      </w:pPr>
      <w:r w:rsidRPr="00F47F81">
        <w:rPr>
          <w:rFonts w:cs="Arial"/>
          <w:bCs/>
        </w:rPr>
        <w:t>El Proyecto que se somete a la</w:t>
      </w:r>
      <w:r w:rsidR="004647CD">
        <w:rPr>
          <w:rFonts w:cs="Arial"/>
          <w:bCs/>
        </w:rPr>
        <w:t xml:space="preserve"> consideración de esa Honorable</w:t>
      </w:r>
      <w:r w:rsidRPr="00F47F81">
        <w:rPr>
          <w:rFonts w:cs="Arial"/>
          <w:bCs/>
        </w:rPr>
        <w:t xml:space="preserve"> Soberanía, además toma en cuenta </w:t>
      </w:r>
      <w:r w:rsidR="00DE689F">
        <w:rPr>
          <w:rFonts w:cs="Arial"/>
          <w:bCs/>
        </w:rPr>
        <w:t xml:space="preserve">los Pre-Criterios de Política Económica 2025 </w:t>
      </w:r>
      <w:r w:rsidRPr="00F47F81">
        <w:rPr>
          <w:rFonts w:cs="Arial"/>
          <w:bCs/>
        </w:rPr>
        <w:t xml:space="preserve">y es congruente con el </w:t>
      </w:r>
      <w:r w:rsidR="00F563E3">
        <w:rPr>
          <w:rFonts w:cs="Arial"/>
          <w:bCs/>
        </w:rPr>
        <w:t>siguiente panorama económico</w:t>
      </w:r>
      <w:r w:rsidRPr="00F47F81">
        <w:rPr>
          <w:rFonts w:cs="Arial"/>
          <w:bCs/>
        </w:rPr>
        <w:t>.</w:t>
      </w:r>
      <w:r w:rsidRPr="00B0441C">
        <w:rPr>
          <w:rFonts w:cs="Arial"/>
          <w:bCs/>
        </w:rPr>
        <w:t xml:space="preserve">  </w:t>
      </w:r>
    </w:p>
    <w:p w14:paraId="607F5436" w14:textId="77777777" w:rsidR="003D40E2" w:rsidRPr="00516AFF" w:rsidRDefault="003D40E2" w:rsidP="003D40E2">
      <w:pPr>
        <w:pStyle w:val="Ttulo1"/>
        <w:rPr>
          <w:rFonts w:cs="Arial"/>
        </w:rPr>
      </w:pPr>
      <w:bookmarkStart w:id="0" w:name="_Hlk180574923"/>
      <w:r w:rsidRPr="00516AFF">
        <w:rPr>
          <w:rFonts w:cs="Arial"/>
        </w:rPr>
        <w:lastRenderedPageBreak/>
        <w:t>1. Panorama Económico</w:t>
      </w:r>
    </w:p>
    <w:p w14:paraId="0FCE8E56" w14:textId="77777777" w:rsidR="003D40E2" w:rsidRPr="00516AFF" w:rsidRDefault="003D40E2" w:rsidP="003D40E2">
      <w:pPr>
        <w:pStyle w:val="Ttulo2"/>
        <w:rPr>
          <w:rFonts w:cs="Arial"/>
        </w:rPr>
      </w:pPr>
      <w:r w:rsidRPr="00516AFF">
        <w:rPr>
          <w:rFonts w:cs="Arial"/>
        </w:rPr>
        <w:t xml:space="preserve">1.I Economía Global. </w:t>
      </w:r>
    </w:p>
    <w:p w14:paraId="0237303E" w14:textId="77777777" w:rsidR="003D40E2" w:rsidRDefault="003D40E2" w:rsidP="003D40E2">
      <w:pPr>
        <w:rPr>
          <w:rFonts w:cs="Arial"/>
          <w:bCs/>
        </w:rPr>
      </w:pPr>
    </w:p>
    <w:p w14:paraId="48DE2483" w14:textId="77777777" w:rsidR="001659C3" w:rsidRDefault="001659C3" w:rsidP="001659C3">
      <w:pPr>
        <w:rPr>
          <w:rFonts w:cs="Arial"/>
          <w:bCs/>
        </w:rPr>
      </w:pPr>
      <w:r w:rsidRPr="00F47FD0">
        <w:rPr>
          <w:rFonts w:cs="Arial"/>
          <w:b/>
        </w:rPr>
        <w:t>Actividad Económica</w:t>
      </w:r>
      <w:r>
        <w:rPr>
          <w:rFonts w:cs="Arial"/>
          <w:b/>
        </w:rPr>
        <w:t xml:space="preserve">. </w:t>
      </w:r>
      <w:r w:rsidRPr="00F47FD0">
        <w:rPr>
          <w:rFonts w:cs="Arial"/>
          <w:bCs/>
        </w:rPr>
        <w:t>Para 2023 la actividad económica global mostró un mejor desempeño de lo que se esperaba gracias al crecimiento de los Estados Unidos por arriba de lo proyectado, cuyo crecimiento real fue de 2.5</w:t>
      </w:r>
      <w:r>
        <w:rPr>
          <w:rFonts w:cs="Arial"/>
          <w:bCs/>
        </w:rPr>
        <w:t xml:space="preserve"> por ciento</w:t>
      </w:r>
      <w:r w:rsidRPr="00F47FD0">
        <w:rPr>
          <w:rFonts w:cs="Arial"/>
          <w:bCs/>
        </w:rPr>
        <w:t xml:space="preserve"> en comparación con el 1.9</w:t>
      </w:r>
      <w:r>
        <w:rPr>
          <w:rFonts w:cs="Arial"/>
          <w:bCs/>
        </w:rPr>
        <w:t xml:space="preserve"> por ciento </w:t>
      </w:r>
      <w:r w:rsidRPr="00F47FD0">
        <w:rPr>
          <w:rFonts w:cs="Arial"/>
          <w:bCs/>
        </w:rPr>
        <w:t>que se tenía previsto, lo anterior impulsado por el consumo privado gracias al aumento en la creación de empleos, salarios reales y solidificación del balance de los hogares.</w:t>
      </w:r>
    </w:p>
    <w:p w14:paraId="0D2B93EE" w14:textId="77777777" w:rsidR="001659C3" w:rsidRPr="00F47FD0" w:rsidRDefault="001659C3" w:rsidP="001659C3">
      <w:pPr>
        <w:rPr>
          <w:rFonts w:cs="Arial"/>
          <w:bCs/>
        </w:rPr>
      </w:pPr>
    </w:p>
    <w:p w14:paraId="5BD6B8DF" w14:textId="62B5C49A" w:rsidR="001659C3" w:rsidRDefault="001659C3" w:rsidP="001659C3">
      <w:pPr>
        <w:rPr>
          <w:rFonts w:cs="Arial"/>
          <w:bCs/>
        </w:rPr>
      </w:pPr>
      <w:r w:rsidRPr="00F47FD0">
        <w:rPr>
          <w:rFonts w:cs="Arial"/>
          <w:bCs/>
        </w:rPr>
        <w:t xml:space="preserve">En cuanto a la </w:t>
      </w:r>
      <w:r w:rsidR="00871A76" w:rsidRPr="00F47FD0">
        <w:rPr>
          <w:rFonts w:cs="Arial"/>
          <w:bCs/>
        </w:rPr>
        <w:t>Zona Euro</w:t>
      </w:r>
      <w:r w:rsidRPr="00F47FD0">
        <w:rPr>
          <w:rFonts w:cs="Arial"/>
          <w:bCs/>
        </w:rPr>
        <w:t>, el crecimiento del</w:t>
      </w:r>
      <w:r>
        <w:rPr>
          <w:rFonts w:cs="Arial"/>
          <w:bCs/>
        </w:rPr>
        <w:t xml:space="preserve"> Producto Interno Bruto</w:t>
      </w:r>
      <w:r w:rsidRPr="00F47FD0">
        <w:rPr>
          <w:rFonts w:cs="Arial"/>
          <w:bCs/>
        </w:rPr>
        <w:t xml:space="preserve"> </w:t>
      </w:r>
      <w:r>
        <w:rPr>
          <w:rFonts w:cs="Arial"/>
          <w:bCs/>
        </w:rPr>
        <w:t>(</w:t>
      </w:r>
      <w:r w:rsidRPr="00F47FD0">
        <w:rPr>
          <w:rFonts w:cs="Arial"/>
          <w:bCs/>
        </w:rPr>
        <w:t>PIB</w:t>
      </w:r>
      <w:r>
        <w:rPr>
          <w:rFonts w:cs="Arial"/>
          <w:bCs/>
        </w:rPr>
        <w:t>)</w:t>
      </w:r>
      <w:r w:rsidRPr="00F47FD0">
        <w:rPr>
          <w:rFonts w:cs="Arial"/>
          <w:bCs/>
        </w:rPr>
        <w:t xml:space="preserve"> fue de tan solo el 0.5</w:t>
      </w:r>
      <w:r>
        <w:rPr>
          <w:rFonts w:cs="Arial"/>
          <w:bCs/>
        </w:rPr>
        <w:t xml:space="preserve"> por ciento</w:t>
      </w:r>
      <w:r w:rsidRPr="00F47FD0">
        <w:rPr>
          <w:rFonts w:cs="Arial"/>
          <w:bCs/>
        </w:rPr>
        <w:t xml:space="preserve"> en 2023, una desaceleración dado a la disminución del consumo privado y la inversión por los altos precios en los productos energéticos que terminó por afectar la confianza del consumidor. En la misma sintonía</w:t>
      </w:r>
      <w:r>
        <w:rPr>
          <w:rFonts w:cs="Arial"/>
          <w:bCs/>
        </w:rPr>
        <w:t xml:space="preserve">, </w:t>
      </w:r>
      <w:r w:rsidRPr="00F47FD0">
        <w:rPr>
          <w:rFonts w:cs="Arial"/>
          <w:bCs/>
        </w:rPr>
        <w:t>la economía de China si bien tuvo un crecimiento de su PIB de 5.2</w:t>
      </w:r>
      <w:r>
        <w:rPr>
          <w:rFonts w:cs="Arial"/>
          <w:bCs/>
        </w:rPr>
        <w:t xml:space="preserve"> por ciento</w:t>
      </w:r>
      <w:r w:rsidRPr="00F47FD0">
        <w:rPr>
          <w:rFonts w:cs="Arial"/>
          <w:bCs/>
        </w:rPr>
        <w:t xml:space="preserve"> en 2023, se ha observado una desaceleración en la última década por el derrumbe del sector inmobiliario y el limitado consumo privado.  </w:t>
      </w:r>
    </w:p>
    <w:p w14:paraId="577F31AE" w14:textId="77777777" w:rsidR="001659C3" w:rsidRDefault="001659C3" w:rsidP="001659C3">
      <w:pPr>
        <w:rPr>
          <w:rFonts w:cs="Arial"/>
          <w:bCs/>
        </w:rPr>
      </w:pPr>
    </w:p>
    <w:p w14:paraId="45A1C4EA" w14:textId="77777777" w:rsidR="001659C3" w:rsidRDefault="001659C3" w:rsidP="001659C3">
      <w:pPr>
        <w:rPr>
          <w:rFonts w:cs="Arial"/>
          <w:bCs/>
        </w:rPr>
      </w:pPr>
      <w:r w:rsidRPr="00F47FD0">
        <w:rPr>
          <w:rFonts w:cs="Arial"/>
          <w:b/>
        </w:rPr>
        <w:t>Empleo</w:t>
      </w:r>
      <w:r>
        <w:rPr>
          <w:rFonts w:cs="Arial"/>
          <w:bCs/>
        </w:rPr>
        <w:t xml:space="preserve">. </w:t>
      </w:r>
      <w:r w:rsidRPr="00F47FD0">
        <w:rPr>
          <w:rFonts w:cs="Arial"/>
          <w:bCs/>
        </w:rPr>
        <w:t>En cuestiones de empleo, se observó un aumento en la participación laboral y moderación en la demanda de trabajo en economías avanzadas.</w:t>
      </w:r>
    </w:p>
    <w:p w14:paraId="6A0C23A4" w14:textId="77777777" w:rsidR="001659C3" w:rsidRPr="00F47FD0" w:rsidRDefault="001659C3" w:rsidP="001659C3">
      <w:pPr>
        <w:rPr>
          <w:rFonts w:cs="Arial"/>
          <w:bCs/>
        </w:rPr>
      </w:pPr>
    </w:p>
    <w:p w14:paraId="6EC03439" w14:textId="3F5C956D" w:rsidR="001659C3" w:rsidRDefault="001659C3" w:rsidP="001659C3">
      <w:pPr>
        <w:rPr>
          <w:rFonts w:cs="Arial"/>
          <w:bCs/>
        </w:rPr>
      </w:pPr>
      <w:r w:rsidRPr="00F47FD0">
        <w:rPr>
          <w:rFonts w:cs="Arial"/>
          <w:bCs/>
        </w:rPr>
        <w:t>Para el caso de Estados Unidos, la tasa de desempleo cerró en 3.7</w:t>
      </w:r>
      <w:r>
        <w:rPr>
          <w:rFonts w:cs="Arial"/>
          <w:bCs/>
        </w:rPr>
        <w:t xml:space="preserve"> por ciento</w:t>
      </w:r>
      <w:r w:rsidRPr="00F47FD0">
        <w:rPr>
          <w:rFonts w:cs="Arial"/>
          <w:bCs/>
        </w:rPr>
        <w:t xml:space="preserve"> para 2023, 2 puntos porcentuales </w:t>
      </w:r>
      <w:r w:rsidR="00871A76">
        <w:rPr>
          <w:rFonts w:cs="Arial"/>
          <w:bCs/>
        </w:rPr>
        <w:t>más que el ejercicio inmediato anterior;</w:t>
      </w:r>
      <w:r w:rsidRPr="00F47FD0">
        <w:rPr>
          <w:rFonts w:cs="Arial"/>
          <w:bCs/>
        </w:rPr>
        <w:t xml:space="preserve"> sin embargo, y a pesar de que existió una desaceleración en la creación de empleos respecto al 2022, la creación de empleo en Estados Unidos en 2023 aún ésta por encima del promedio histórico (2000-2019)</w:t>
      </w:r>
      <w:r>
        <w:rPr>
          <w:rFonts w:cs="Arial"/>
          <w:bCs/>
        </w:rPr>
        <w:t xml:space="preserve">, </w:t>
      </w:r>
      <w:r w:rsidRPr="00F47FD0">
        <w:rPr>
          <w:rFonts w:cs="Arial"/>
          <w:bCs/>
        </w:rPr>
        <w:t>además de que hubo un incremento en la oferta de trabajo para el grupo de población más productiva (25-54 años) y crecimiento del 0.4</w:t>
      </w:r>
      <w:r>
        <w:rPr>
          <w:rFonts w:cs="Arial"/>
          <w:bCs/>
        </w:rPr>
        <w:t xml:space="preserve"> por ciento</w:t>
      </w:r>
      <w:r w:rsidRPr="00F47FD0">
        <w:rPr>
          <w:rFonts w:cs="Arial"/>
          <w:bCs/>
        </w:rPr>
        <w:t xml:space="preserve"> en los salarios reales.</w:t>
      </w:r>
    </w:p>
    <w:p w14:paraId="5EA07341" w14:textId="77777777" w:rsidR="001659C3" w:rsidRPr="00F47FD0" w:rsidRDefault="001659C3" w:rsidP="001659C3">
      <w:pPr>
        <w:rPr>
          <w:rFonts w:cs="Arial"/>
          <w:bCs/>
        </w:rPr>
      </w:pPr>
    </w:p>
    <w:p w14:paraId="4C726AE4" w14:textId="0FC25A96" w:rsidR="001659C3" w:rsidRDefault="001659C3" w:rsidP="001659C3">
      <w:pPr>
        <w:rPr>
          <w:rFonts w:cs="Arial"/>
          <w:bCs/>
        </w:rPr>
      </w:pPr>
      <w:r w:rsidRPr="00F47FD0">
        <w:rPr>
          <w:rFonts w:cs="Arial"/>
          <w:bCs/>
        </w:rPr>
        <w:t xml:space="preserve">En la </w:t>
      </w:r>
      <w:r w:rsidR="00871A76" w:rsidRPr="00F47FD0">
        <w:rPr>
          <w:rFonts w:cs="Arial"/>
          <w:bCs/>
        </w:rPr>
        <w:t>Zona Euro</w:t>
      </w:r>
      <w:r w:rsidRPr="00F47FD0">
        <w:rPr>
          <w:rFonts w:cs="Arial"/>
          <w:bCs/>
        </w:rPr>
        <w:t>, la tasa de desempleo alcanzó un mínimo histórico de 6.4</w:t>
      </w:r>
      <w:r>
        <w:rPr>
          <w:rFonts w:cs="Arial"/>
          <w:bCs/>
        </w:rPr>
        <w:t xml:space="preserve"> por ciento</w:t>
      </w:r>
      <w:r w:rsidRPr="00F47FD0">
        <w:rPr>
          <w:rFonts w:cs="Arial"/>
          <w:bCs/>
        </w:rPr>
        <w:t xml:space="preserve"> en diciembre de 2023, 0.3 puntos porcentuales por debajo del mismo mes del año anterior. Así también, los salarios reales se incrementaron con una variación positiva de 0.3 puntos porcentuales a partir de la segunda mitad del año.  </w:t>
      </w:r>
    </w:p>
    <w:p w14:paraId="5C7B8458" w14:textId="77777777" w:rsidR="001659C3" w:rsidRPr="00F47FD0" w:rsidRDefault="001659C3" w:rsidP="001659C3">
      <w:pPr>
        <w:rPr>
          <w:rFonts w:cs="Arial"/>
          <w:bCs/>
        </w:rPr>
      </w:pPr>
    </w:p>
    <w:p w14:paraId="099103CE" w14:textId="77777777" w:rsidR="001659C3" w:rsidRDefault="001659C3" w:rsidP="001659C3">
      <w:pPr>
        <w:rPr>
          <w:rFonts w:cs="Arial"/>
          <w:bCs/>
        </w:rPr>
      </w:pPr>
      <w:r w:rsidRPr="00F47FD0">
        <w:rPr>
          <w:rFonts w:cs="Arial"/>
          <w:bCs/>
        </w:rPr>
        <w:t>Para China, los temas de empleos no fueron positivos dado a la alta tasa de desempleo en la población más productiva, los jóvenes.</w:t>
      </w:r>
      <w:r>
        <w:rPr>
          <w:rFonts w:cs="Arial"/>
          <w:bCs/>
        </w:rPr>
        <w:t xml:space="preserve"> </w:t>
      </w:r>
    </w:p>
    <w:p w14:paraId="1B4BB587" w14:textId="77777777" w:rsidR="001659C3" w:rsidRDefault="001659C3" w:rsidP="001659C3">
      <w:pPr>
        <w:rPr>
          <w:rFonts w:cs="Arial"/>
          <w:bCs/>
        </w:rPr>
      </w:pPr>
    </w:p>
    <w:p w14:paraId="427FBEA8" w14:textId="4662BF36" w:rsidR="001659C3" w:rsidRDefault="001659C3" w:rsidP="001659C3">
      <w:pPr>
        <w:rPr>
          <w:rFonts w:cs="Arial"/>
          <w:bCs/>
        </w:rPr>
      </w:pPr>
      <w:r w:rsidRPr="00F47FD0">
        <w:rPr>
          <w:rFonts w:cs="Arial"/>
          <w:b/>
        </w:rPr>
        <w:t>Inflación</w:t>
      </w:r>
      <w:r>
        <w:rPr>
          <w:rFonts w:cs="Arial"/>
          <w:bCs/>
        </w:rPr>
        <w:t xml:space="preserve">. </w:t>
      </w:r>
      <w:r w:rsidRPr="00F47FD0">
        <w:rPr>
          <w:rFonts w:cs="Arial"/>
          <w:bCs/>
        </w:rPr>
        <w:t>La inflación continua con su trayectoria a la baja, aunque por encima de las metas de la mayoría de los bancos centrales, gracias a la disminución de los efectos de la guerra Rusia</w:t>
      </w:r>
      <w:r w:rsidR="00871A76">
        <w:rPr>
          <w:rFonts w:cs="Arial"/>
          <w:bCs/>
        </w:rPr>
        <w:t xml:space="preserve"> – </w:t>
      </w:r>
      <w:r w:rsidRPr="00F47FD0">
        <w:rPr>
          <w:rFonts w:cs="Arial"/>
          <w:bCs/>
        </w:rPr>
        <w:t>Ucrania, disminución de las presiones de las cadenas de suministro, los choques de oferta acumulados y disminución en los precios de materias primas, aunque la evolución de la inflación puede cambiar de su rumbo actual si los choques geopolíticos y las condiciones climáticas se intensifican.</w:t>
      </w:r>
      <w:r>
        <w:rPr>
          <w:rFonts w:cs="Arial"/>
          <w:bCs/>
        </w:rPr>
        <w:t xml:space="preserve"> </w:t>
      </w:r>
    </w:p>
    <w:p w14:paraId="39C1F8DD" w14:textId="77777777" w:rsidR="001659C3" w:rsidRPr="00F47FD0" w:rsidRDefault="001659C3" w:rsidP="001659C3">
      <w:pPr>
        <w:rPr>
          <w:rFonts w:cs="Arial"/>
          <w:bCs/>
        </w:rPr>
      </w:pPr>
    </w:p>
    <w:p w14:paraId="61751B36" w14:textId="77777777" w:rsidR="001659C3" w:rsidRDefault="001659C3" w:rsidP="001659C3">
      <w:pPr>
        <w:rPr>
          <w:rFonts w:cs="Arial"/>
          <w:bCs/>
        </w:rPr>
      </w:pPr>
      <w:r w:rsidRPr="00F47FD0">
        <w:rPr>
          <w:rFonts w:cs="Arial"/>
          <w:bCs/>
        </w:rPr>
        <w:lastRenderedPageBreak/>
        <w:t>El índice Nacional de Precios al Consumidor (INPC) en Estados Unidos pasó de 6.4</w:t>
      </w:r>
      <w:r>
        <w:rPr>
          <w:rFonts w:cs="Arial"/>
          <w:bCs/>
        </w:rPr>
        <w:t xml:space="preserve"> por ciento</w:t>
      </w:r>
      <w:r w:rsidRPr="00F47FD0">
        <w:rPr>
          <w:rFonts w:cs="Arial"/>
          <w:bCs/>
        </w:rPr>
        <w:t xml:space="preserve"> en enero a 3.4</w:t>
      </w:r>
      <w:r>
        <w:rPr>
          <w:rFonts w:cs="Arial"/>
          <w:bCs/>
        </w:rPr>
        <w:t xml:space="preserve"> por ciento</w:t>
      </w:r>
      <w:r w:rsidRPr="00F47FD0">
        <w:rPr>
          <w:rFonts w:cs="Arial"/>
          <w:bCs/>
        </w:rPr>
        <w:t xml:space="preserve"> en diciembre para 2023; es decir, la inflación tuvo una trayectoria descendente explicado por la disminución en los choques de oferta, normalización de las cadenas de suministro y  menores precios de materias primas, así como por la disminución en la brecha entre la demanda y la oferta de trabajo; aunado a lo anterior, la inflación subyacente  se mantuvo en sintonía con el INPC, pasando de 5.6</w:t>
      </w:r>
      <w:r>
        <w:rPr>
          <w:rFonts w:cs="Arial"/>
          <w:bCs/>
        </w:rPr>
        <w:t xml:space="preserve"> por ciento</w:t>
      </w:r>
      <w:r w:rsidRPr="00F47FD0">
        <w:rPr>
          <w:rFonts w:cs="Arial"/>
          <w:bCs/>
        </w:rPr>
        <w:t xml:space="preserve"> en 2022 a 3.9</w:t>
      </w:r>
      <w:r>
        <w:rPr>
          <w:rFonts w:cs="Arial"/>
          <w:bCs/>
        </w:rPr>
        <w:t xml:space="preserve"> por ciento</w:t>
      </w:r>
      <w:r w:rsidRPr="00F47FD0">
        <w:rPr>
          <w:rFonts w:cs="Arial"/>
          <w:bCs/>
        </w:rPr>
        <w:t xml:space="preserve"> en 2023. </w:t>
      </w:r>
    </w:p>
    <w:p w14:paraId="64A1DA28" w14:textId="77777777" w:rsidR="001659C3" w:rsidRPr="00F47FD0" w:rsidRDefault="001659C3" w:rsidP="001659C3">
      <w:pPr>
        <w:rPr>
          <w:rFonts w:cs="Arial"/>
          <w:bCs/>
        </w:rPr>
      </w:pPr>
    </w:p>
    <w:p w14:paraId="303B0DD1" w14:textId="3A808D5D" w:rsidR="001659C3" w:rsidRDefault="001659C3" w:rsidP="001659C3">
      <w:pPr>
        <w:rPr>
          <w:rFonts w:cs="Arial"/>
          <w:bCs/>
        </w:rPr>
      </w:pPr>
      <w:r w:rsidRPr="00F47FD0">
        <w:rPr>
          <w:rFonts w:cs="Arial"/>
          <w:bCs/>
        </w:rPr>
        <w:t xml:space="preserve">En la </w:t>
      </w:r>
      <w:r w:rsidR="00871A76" w:rsidRPr="00F47FD0">
        <w:rPr>
          <w:rFonts w:cs="Arial"/>
          <w:bCs/>
        </w:rPr>
        <w:t xml:space="preserve">Zona Euro </w:t>
      </w:r>
      <w:r w:rsidRPr="00F47FD0">
        <w:rPr>
          <w:rFonts w:cs="Arial"/>
          <w:bCs/>
        </w:rPr>
        <w:t>la inflación pasó de 8.6</w:t>
      </w:r>
      <w:r>
        <w:rPr>
          <w:rFonts w:cs="Arial"/>
          <w:bCs/>
        </w:rPr>
        <w:t xml:space="preserve"> por ciento</w:t>
      </w:r>
      <w:r w:rsidRPr="00F47FD0">
        <w:rPr>
          <w:rFonts w:cs="Arial"/>
          <w:bCs/>
        </w:rPr>
        <w:t xml:space="preserve"> en enero a tan solo el 2.9</w:t>
      </w:r>
      <w:r>
        <w:rPr>
          <w:rFonts w:cs="Arial"/>
          <w:bCs/>
        </w:rPr>
        <w:t xml:space="preserve"> por ciento</w:t>
      </w:r>
      <w:r w:rsidRPr="00F47FD0">
        <w:rPr>
          <w:rFonts w:cs="Arial"/>
          <w:bCs/>
        </w:rPr>
        <w:t xml:space="preserve"> a diciembre del 2023 como consecuencia de la disminución en los precios energéticos. De igual manera la inflación subyacente pasó de 5.3</w:t>
      </w:r>
      <w:r>
        <w:rPr>
          <w:rFonts w:cs="Arial"/>
          <w:bCs/>
        </w:rPr>
        <w:t xml:space="preserve"> por ciento</w:t>
      </w:r>
      <w:r w:rsidRPr="00F47FD0">
        <w:rPr>
          <w:rFonts w:cs="Arial"/>
          <w:bCs/>
        </w:rPr>
        <w:t xml:space="preserve"> a 3.4</w:t>
      </w:r>
      <w:r>
        <w:rPr>
          <w:rFonts w:cs="Arial"/>
          <w:bCs/>
        </w:rPr>
        <w:t xml:space="preserve"> por ciento</w:t>
      </w:r>
      <w:r w:rsidRPr="00F47FD0">
        <w:rPr>
          <w:rFonts w:cs="Arial"/>
          <w:bCs/>
        </w:rPr>
        <w:t xml:space="preserve"> en el mismo periodo dado a elevadas presiones salariales (aumento en los salarios) y una menor productividad laboral. </w:t>
      </w:r>
    </w:p>
    <w:p w14:paraId="648DEA3C" w14:textId="77777777" w:rsidR="001659C3" w:rsidRPr="00F47FD0" w:rsidRDefault="001659C3" w:rsidP="001659C3">
      <w:pPr>
        <w:rPr>
          <w:rFonts w:cs="Arial"/>
          <w:bCs/>
        </w:rPr>
      </w:pPr>
    </w:p>
    <w:p w14:paraId="335FDB6F" w14:textId="77777777" w:rsidR="001659C3" w:rsidRDefault="001659C3" w:rsidP="001659C3">
      <w:pPr>
        <w:rPr>
          <w:rFonts w:cs="Arial"/>
          <w:bCs/>
        </w:rPr>
      </w:pPr>
      <w:r w:rsidRPr="00F47FD0">
        <w:rPr>
          <w:rFonts w:cs="Arial"/>
          <w:bCs/>
        </w:rPr>
        <w:t>Por su parte China experimentó un fenómeno de deflación que culminó en una caída del 0.3</w:t>
      </w:r>
      <w:r>
        <w:rPr>
          <w:rFonts w:cs="Arial"/>
          <w:bCs/>
        </w:rPr>
        <w:t xml:space="preserve"> por ciento</w:t>
      </w:r>
      <w:r w:rsidRPr="00F47FD0">
        <w:rPr>
          <w:rFonts w:cs="Arial"/>
          <w:bCs/>
        </w:rPr>
        <w:t xml:space="preserve"> de los precios en 2023 dado a los menores precios de alimentos, el transporte y las comunicaciones, así como la caída del 81.7</w:t>
      </w:r>
      <w:r>
        <w:rPr>
          <w:rFonts w:cs="Arial"/>
          <w:bCs/>
        </w:rPr>
        <w:t xml:space="preserve"> por ciento</w:t>
      </w:r>
      <w:r w:rsidRPr="00F47FD0">
        <w:rPr>
          <w:rFonts w:cs="Arial"/>
          <w:bCs/>
        </w:rPr>
        <w:t xml:space="preserve"> en la</w:t>
      </w:r>
      <w:r>
        <w:rPr>
          <w:rFonts w:cs="Arial"/>
          <w:bCs/>
        </w:rPr>
        <w:t xml:space="preserve"> Inversión Extranjera Directa</w:t>
      </w:r>
      <w:r w:rsidRPr="00F47FD0">
        <w:rPr>
          <w:rFonts w:cs="Arial"/>
          <w:bCs/>
        </w:rPr>
        <w:t xml:space="preserve"> </w:t>
      </w:r>
      <w:r>
        <w:rPr>
          <w:rFonts w:cs="Arial"/>
          <w:bCs/>
        </w:rPr>
        <w:t>(</w:t>
      </w:r>
      <w:r w:rsidRPr="00F47FD0">
        <w:rPr>
          <w:rFonts w:cs="Arial"/>
          <w:bCs/>
        </w:rPr>
        <w:t>IED</w:t>
      </w:r>
      <w:r>
        <w:rPr>
          <w:rFonts w:cs="Arial"/>
          <w:bCs/>
        </w:rPr>
        <w:t>)</w:t>
      </w:r>
      <w:r w:rsidRPr="00F47FD0">
        <w:rPr>
          <w:rFonts w:cs="Arial"/>
          <w:bCs/>
        </w:rPr>
        <w:t>.</w:t>
      </w:r>
      <w:r>
        <w:rPr>
          <w:rFonts w:cs="Arial"/>
          <w:bCs/>
        </w:rPr>
        <w:t xml:space="preserve"> </w:t>
      </w:r>
    </w:p>
    <w:p w14:paraId="7F7210C8" w14:textId="77777777" w:rsidR="001659C3" w:rsidRDefault="001659C3" w:rsidP="001659C3">
      <w:pPr>
        <w:rPr>
          <w:rFonts w:cs="Arial"/>
          <w:bCs/>
        </w:rPr>
      </w:pPr>
    </w:p>
    <w:p w14:paraId="55FAB23B" w14:textId="77777777" w:rsidR="001659C3" w:rsidRDefault="001659C3" w:rsidP="001659C3">
      <w:pPr>
        <w:rPr>
          <w:rFonts w:cs="Arial"/>
          <w:bCs/>
        </w:rPr>
      </w:pPr>
      <w:r w:rsidRPr="00F47FD0">
        <w:rPr>
          <w:rFonts w:cs="Arial"/>
          <w:b/>
        </w:rPr>
        <w:t>Política Monetaria</w:t>
      </w:r>
      <w:r>
        <w:rPr>
          <w:rFonts w:cs="Arial"/>
          <w:bCs/>
        </w:rPr>
        <w:t xml:space="preserve">. </w:t>
      </w:r>
      <w:r w:rsidRPr="00F47FD0">
        <w:rPr>
          <w:rFonts w:cs="Arial"/>
          <w:bCs/>
        </w:rPr>
        <w:t xml:space="preserve">En cuestiones de política monetaria para 2023, las políticas fueron restrictivas en la mayoría de los bancos centrales a nivel global, sin embargo, se tiene la expectativa del fin del periodo restrictivo y el inicio del relajamiento monetario por parte de los participantes de los mercados. </w:t>
      </w:r>
    </w:p>
    <w:p w14:paraId="0D9458BA" w14:textId="77777777" w:rsidR="001659C3" w:rsidRPr="00F47FD0" w:rsidRDefault="001659C3" w:rsidP="001659C3">
      <w:pPr>
        <w:rPr>
          <w:rFonts w:cs="Arial"/>
          <w:bCs/>
        </w:rPr>
      </w:pPr>
    </w:p>
    <w:p w14:paraId="0F1CA280" w14:textId="77E0043E" w:rsidR="001659C3" w:rsidRDefault="001659C3" w:rsidP="001659C3">
      <w:pPr>
        <w:rPr>
          <w:rFonts w:cs="Arial"/>
          <w:bCs/>
        </w:rPr>
      </w:pPr>
      <w:r>
        <w:rPr>
          <w:rFonts w:cs="Arial"/>
          <w:bCs/>
        </w:rPr>
        <w:t>El</w:t>
      </w:r>
      <w:r w:rsidRPr="00F47FD0">
        <w:rPr>
          <w:rFonts w:cs="Arial"/>
          <w:bCs/>
        </w:rPr>
        <w:t xml:space="preserve"> </w:t>
      </w:r>
      <w:r w:rsidR="00871A76" w:rsidRPr="00F47FD0">
        <w:rPr>
          <w:rFonts w:cs="Arial"/>
          <w:bCs/>
        </w:rPr>
        <w:t xml:space="preserve">Banco Central </w:t>
      </w:r>
      <w:r w:rsidRPr="00F47FD0">
        <w:rPr>
          <w:rFonts w:cs="Arial"/>
          <w:bCs/>
        </w:rPr>
        <w:t>de Estados Unidos,</w:t>
      </w:r>
      <w:r>
        <w:rPr>
          <w:rFonts w:cs="Arial"/>
          <w:bCs/>
        </w:rPr>
        <w:t xml:space="preserve"> FED por si siglas en inglés,</w:t>
      </w:r>
      <w:r w:rsidRPr="00F47FD0">
        <w:rPr>
          <w:rFonts w:cs="Arial"/>
          <w:bCs/>
        </w:rPr>
        <w:t xml:space="preserve"> incrementó sus tasas de referencia situándolas en un rango de 5.25</w:t>
      </w:r>
      <w:r>
        <w:rPr>
          <w:rFonts w:cs="Arial"/>
          <w:bCs/>
        </w:rPr>
        <w:t xml:space="preserve"> por ciento</w:t>
      </w:r>
      <w:r w:rsidRPr="00F47FD0">
        <w:rPr>
          <w:rFonts w:cs="Arial"/>
          <w:bCs/>
        </w:rPr>
        <w:t xml:space="preserve"> hasta 5.50</w:t>
      </w:r>
      <w:r>
        <w:rPr>
          <w:rFonts w:cs="Arial"/>
          <w:bCs/>
        </w:rPr>
        <w:t xml:space="preserve"> por ciento</w:t>
      </w:r>
      <w:r w:rsidRPr="00F47FD0">
        <w:rPr>
          <w:rFonts w:cs="Arial"/>
          <w:bCs/>
        </w:rPr>
        <w:t>, cuyos niveles no se habían visto desde hace 15 años. A pesar de la rápida disminución de las presiones inflacionarias y las expectativas de inflación, la FED decidió mantener sin cambios su tasa de política monetaria, del 5.50</w:t>
      </w:r>
      <w:r>
        <w:rPr>
          <w:rFonts w:cs="Arial"/>
          <w:bCs/>
        </w:rPr>
        <w:t xml:space="preserve"> por ciento</w:t>
      </w:r>
      <w:r w:rsidRPr="00F47FD0">
        <w:rPr>
          <w:rFonts w:cs="Arial"/>
          <w:bCs/>
        </w:rPr>
        <w:t xml:space="preserve">, desde la reunión del 26 de septiembre de 2023. </w:t>
      </w:r>
    </w:p>
    <w:p w14:paraId="5892D48D" w14:textId="77777777" w:rsidR="001659C3" w:rsidRPr="00F47FD0" w:rsidRDefault="001659C3" w:rsidP="001659C3">
      <w:pPr>
        <w:rPr>
          <w:rFonts w:cs="Arial"/>
          <w:bCs/>
        </w:rPr>
      </w:pPr>
    </w:p>
    <w:p w14:paraId="13F10D14" w14:textId="77777777" w:rsidR="001659C3" w:rsidRDefault="001659C3" w:rsidP="001659C3">
      <w:pPr>
        <w:rPr>
          <w:rFonts w:cs="Arial"/>
          <w:bCs/>
        </w:rPr>
      </w:pPr>
      <w:r w:rsidRPr="00F47FD0">
        <w:rPr>
          <w:rFonts w:cs="Arial"/>
          <w:bCs/>
        </w:rPr>
        <w:t>Por su parte el Banco Central Europeo</w:t>
      </w:r>
      <w:r>
        <w:rPr>
          <w:rFonts w:cs="Arial"/>
          <w:bCs/>
        </w:rPr>
        <w:t xml:space="preserve"> (BCE)</w:t>
      </w:r>
      <w:r w:rsidRPr="00F47FD0">
        <w:rPr>
          <w:rFonts w:cs="Arial"/>
          <w:bCs/>
        </w:rPr>
        <w:t xml:space="preserve"> elevo sus tres tasas de interés dentro de la cuál destacó la tasa de depósitos que se situó en un nivel del 4.0</w:t>
      </w:r>
      <w:r>
        <w:rPr>
          <w:rFonts w:cs="Arial"/>
          <w:bCs/>
        </w:rPr>
        <w:t xml:space="preserve"> por ciento</w:t>
      </w:r>
      <w:r w:rsidRPr="00F47FD0">
        <w:rPr>
          <w:rFonts w:cs="Arial"/>
          <w:bCs/>
        </w:rPr>
        <w:t xml:space="preserve"> cuyo nivel no se había observado desde que se creó esta institución en 1999 y que se mantuvo sin cambios desde la reunión del 17 de octubre de 2023. </w:t>
      </w:r>
    </w:p>
    <w:p w14:paraId="218F624D" w14:textId="77777777" w:rsidR="001659C3" w:rsidRPr="00F47FD0" w:rsidRDefault="001659C3" w:rsidP="001659C3">
      <w:pPr>
        <w:rPr>
          <w:rFonts w:cs="Arial"/>
          <w:bCs/>
        </w:rPr>
      </w:pPr>
    </w:p>
    <w:p w14:paraId="14BAF9FE" w14:textId="58D482F0" w:rsidR="001659C3" w:rsidRDefault="001659C3" w:rsidP="001659C3">
      <w:pPr>
        <w:rPr>
          <w:rFonts w:cs="Arial"/>
          <w:bCs/>
        </w:rPr>
      </w:pPr>
      <w:r w:rsidRPr="00F47FD0">
        <w:rPr>
          <w:rFonts w:cs="Arial"/>
          <w:bCs/>
        </w:rPr>
        <w:t>Los bancos centrales latinoamericanos por su parte disminuyeron sus tasas de política monetaria en 2023, en parte explicado por la tendencia decreciente de las presiones inflacionarias, las expectativas de inflación y, en algunos casos, para tomar medidas que aumenten su actividad económica.</w:t>
      </w:r>
    </w:p>
    <w:p w14:paraId="6BB01E6E" w14:textId="77777777" w:rsidR="00702C1C" w:rsidRDefault="00702C1C" w:rsidP="001659C3">
      <w:pPr>
        <w:rPr>
          <w:rFonts w:cs="Arial"/>
          <w:bCs/>
        </w:rPr>
      </w:pPr>
    </w:p>
    <w:p w14:paraId="64154CD4" w14:textId="77777777" w:rsidR="001659C3" w:rsidRDefault="001659C3" w:rsidP="001659C3">
      <w:pPr>
        <w:rPr>
          <w:rFonts w:cs="Arial"/>
          <w:bCs/>
        </w:rPr>
      </w:pPr>
    </w:p>
    <w:p w14:paraId="20314CC4" w14:textId="3D5FCAFA" w:rsidR="001659C3" w:rsidRDefault="001659C3" w:rsidP="001659C3">
      <w:pPr>
        <w:rPr>
          <w:rFonts w:cs="Arial"/>
          <w:bCs/>
        </w:rPr>
      </w:pPr>
      <w:r w:rsidRPr="00F47FD0">
        <w:rPr>
          <w:rFonts w:cs="Arial"/>
          <w:b/>
        </w:rPr>
        <w:lastRenderedPageBreak/>
        <w:t>Evolución Variables Financieras</w:t>
      </w:r>
      <w:r>
        <w:rPr>
          <w:rFonts w:cs="Arial"/>
          <w:bCs/>
        </w:rPr>
        <w:t xml:space="preserve">. </w:t>
      </w:r>
      <w:r w:rsidRPr="00F47FD0">
        <w:rPr>
          <w:rFonts w:cs="Arial"/>
          <w:bCs/>
        </w:rPr>
        <w:t>Se mostraron comportamientos más restrictivos en las condiciones financieras respecto el año anterior; es decir</w:t>
      </w:r>
      <w:r>
        <w:rPr>
          <w:rFonts w:cs="Arial"/>
          <w:bCs/>
        </w:rPr>
        <w:t>,</w:t>
      </w:r>
      <w:r w:rsidRPr="00F47FD0">
        <w:rPr>
          <w:rFonts w:cs="Arial"/>
          <w:bCs/>
        </w:rPr>
        <w:t xml:space="preserve"> que las condiciones para obtener financiamiento se han vuelto más difíciles dado a las políticas monetarias restrictivas de los países.  Las curvas de rendimiento en Estados Unidos y Europa se vieron al alza, es decir que los rendimientos crecieron, pero se generaron episodios de volatilidad en los mercados financieros dado a la quiebra de algunos bancos regionales de Estados Unidos y a los resultados por encima de lo esperado en materia de empleo e inflación del mismo país en 2023. </w:t>
      </w:r>
    </w:p>
    <w:p w14:paraId="1E5AB653" w14:textId="77777777" w:rsidR="001659C3" w:rsidRPr="00F47FD0" w:rsidRDefault="001659C3" w:rsidP="001659C3">
      <w:pPr>
        <w:rPr>
          <w:rFonts w:cs="Arial"/>
          <w:bCs/>
        </w:rPr>
      </w:pPr>
    </w:p>
    <w:p w14:paraId="19114DB2" w14:textId="77777777" w:rsidR="001659C3" w:rsidRDefault="001659C3" w:rsidP="001659C3">
      <w:pPr>
        <w:rPr>
          <w:rFonts w:cs="Arial"/>
          <w:bCs/>
        </w:rPr>
      </w:pPr>
      <w:r w:rsidRPr="00F47FD0">
        <w:rPr>
          <w:rFonts w:cs="Arial"/>
          <w:bCs/>
        </w:rPr>
        <w:t>El dólar por su parte se apreció un 7.2</w:t>
      </w:r>
      <w:r>
        <w:rPr>
          <w:rFonts w:cs="Arial"/>
          <w:bCs/>
        </w:rPr>
        <w:t xml:space="preserve"> por ciento</w:t>
      </w:r>
      <w:r w:rsidRPr="00F47FD0">
        <w:rPr>
          <w:rFonts w:cs="Arial"/>
          <w:bCs/>
        </w:rPr>
        <w:t xml:space="preserve"> en octubre de 2023, alcanzando su nivel más alto respecto a su nivel más bajo que fue en julio del mismo año. </w:t>
      </w:r>
    </w:p>
    <w:p w14:paraId="47DE5A57" w14:textId="77777777" w:rsidR="001659C3" w:rsidRPr="00F47FD0" w:rsidRDefault="001659C3" w:rsidP="001659C3">
      <w:pPr>
        <w:rPr>
          <w:rFonts w:cs="Arial"/>
          <w:bCs/>
        </w:rPr>
      </w:pPr>
    </w:p>
    <w:p w14:paraId="383C89AE" w14:textId="2A553CCB" w:rsidR="001659C3" w:rsidRDefault="001659C3" w:rsidP="001659C3">
      <w:pPr>
        <w:rPr>
          <w:rFonts w:cs="Arial"/>
          <w:bCs/>
        </w:rPr>
      </w:pPr>
      <w:r w:rsidRPr="00F47FD0">
        <w:rPr>
          <w:rFonts w:cs="Arial"/>
          <w:bCs/>
        </w:rPr>
        <w:t xml:space="preserve">El </w:t>
      </w:r>
      <w:r w:rsidR="00871A76" w:rsidRPr="00F47FD0">
        <w:rPr>
          <w:rFonts w:cs="Arial"/>
          <w:bCs/>
        </w:rPr>
        <w:t>Índice</w:t>
      </w:r>
      <w:r w:rsidR="00871A76">
        <w:rPr>
          <w:rFonts w:cs="Arial"/>
          <w:bCs/>
        </w:rPr>
        <w:t xml:space="preserve"> </w:t>
      </w:r>
      <w:r>
        <w:rPr>
          <w:rFonts w:cs="Arial"/>
          <w:bCs/>
        </w:rPr>
        <w:t xml:space="preserve">Standard &amp; </w:t>
      </w:r>
      <w:proofErr w:type="spellStart"/>
      <w:r>
        <w:rPr>
          <w:rFonts w:cs="Arial"/>
          <w:bCs/>
        </w:rPr>
        <w:t>Poor’s</w:t>
      </w:r>
      <w:proofErr w:type="spellEnd"/>
      <w:r>
        <w:rPr>
          <w:rFonts w:cs="Arial"/>
          <w:bCs/>
        </w:rPr>
        <w:t xml:space="preserve"> 500 </w:t>
      </w:r>
      <w:r w:rsidRPr="00F47FD0">
        <w:rPr>
          <w:rFonts w:cs="Arial"/>
          <w:bCs/>
        </w:rPr>
        <w:t>(S&amp;P 500</w:t>
      </w:r>
      <w:r>
        <w:rPr>
          <w:rFonts w:cs="Arial"/>
          <w:bCs/>
        </w:rPr>
        <w:t>)</w:t>
      </w:r>
      <w:r w:rsidRPr="00F47FD0">
        <w:rPr>
          <w:rFonts w:cs="Arial"/>
          <w:bCs/>
        </w:rPr>
        <w:t xml:space="preserve"> registró al cierre de 2023 su mejor resultado desde 2021, al aumentar 24</w:t>
      </w:r>
      <w:r>
        <w:rPr>
          <w:rFonts w:cs="Arial"/>
          <w:bCs/>
        </w:rPr>
        <w:t>.0 por ciento</w:t>
      </w:r>
      <w:r w:rsidRPr="00F47FD0">
        <w:rPr>
          <w:rFonts w:cs="Arial"/>
          <w:bCs/>
        </w:rPr>
        <w:t xml:space="preserve"> con respecto al 2022 en parte gracias a la calma en la volatilidad debido al optimismo generado por la moderación de los choques de oferta y la disminución de las presiones inflacionarias en Estados Unidos, sin que esto afectara el desempeño de su economía. </w:t>
      </w:r>
    </w:p>
    <w:p w14:paraId="01435F76" w14:textId="77777777" w:rsidR="003D40E2" w:rsidRPr="00516AFF" w:rsidRDefault="003D40E2" w:rsidP="003D40E2">
      <w:pPr>
        <w:rPr>
          <w:rFonts w:cs="Arial"/>
        </w:rPr>
      </w:pPr>
    </w:p>
    <w:p w14:paraId="67DD82E2" w14:textId="434606FE" w:rsidR="003D40E2" w:rsidRDefault="003D40E2" w:rsidP="003D40E2">
      <w:pPr>
        <w:pStyle w:val="Ttulo2"/>
        <w:rPr>
          <w:rFonts w:cs="Arial"/>
        </w:rPr>
      </w:pPr>
      <w:r w:rsidRPr="00516AFF">
        <w:rPr>
          <w:rFonts w:cs="Arial"/>
        </w:rPr>
        <w:t>1.II Economía Nacional</w:t>
      </w:r>
    </w:p>
    <w:p w14:paraId="37F2FB3C" w14:textId="77777777" w:rsidR="003D40E2" w:rsidRDefault="003D40E2" w:rsidP="003D40E2"/>
    <w:p w14:paraId="29E0A0C1" w14:textId="77777777" w:rsidR="00293EDB" w:rsidRDefault="00293EDB" w:rsidP="00293EDB">
      <w:pPr>
        <w:rPr>
          <w:rFonts w:cs="Arial"/>
        </w:rPr>
      </w:pPr>
      <w:r w:rsidRPr="00F47FD0">
        <w:rPr>
          <w:rFonts w:cs="Arial"/>
          <w:b/>
          <w:bCs/>
        </w:rPr>
        <w:t>Actividad Económica</w:t>
      </w:r>
      <w:r>
        <w:rPr>
          <w:rFonts w:cs="Arial"/>
        </w:rPr>
        <w:t xml:space="preserve">. </w:t>
      </w:r>
      <w:r w:rsidRPr="00F47FD0">
        <w:rPr>
          <w:rFonts w:cs="Arial"/>
        </w:rPr>
        <w:t>La economía mexicana registró en 2023 un crecimiento del 4</w:t>
      </w:r>
      <w:r>
        <w:rPr>
          <w:rFonts w:cs="Arial"/>
        </w:rPr>
        <w:t>.</w:t>
      </w:r>
      <w:r w:rsidRPr="00F47FD0">
        <w:rPr>
          <w:rFonts w:cs="Arial"/>
        </w:rPr>
        <w:t>3</w:t>
      </w:r>
      <w:r>
        <w:rPr>
          <w:rFonts w:cs="Arial"/>
        </w:rPr>
        <w:t xml:space="preserve"> por ciento</w:t>
      </w:r>
      <w:r w:rsidRPr="00F47FD0">
        <w:rPr>
          <w:rFonts w:cs="Arial"/>
        </w:rPr>
        <w:t xml:space="preserve"> que derivó del crecimiento de la inversión privada, la cual creció 19.5</w:t>
      </w:r>
      <w:r>
        <w:rPr>
          <w:rFonts w:cs="Arial"/>
        </w:rPr>
        <w:t xml:space="preserve"> por ciento</w:t>
      </w:r>
      <w:r w:rsidRPr="00F47FD0">
        <w:rPr>
          <w:rFonts w:cs="Arial"/>
        </w:rPr>
        <w:t xml:space="preserve"> en 2023; aunado a lo anterior, la inversión pública también fue clave pues su crecimiento fue el efecto de las obras públicas para la refinación del petróleo y la conectividad mayor de la región sur-este. Por otro lado, el consumo privado creció 4.3</w:t>
      </w:r>
      <w:r>
        <w:rPr>
          <w:rFonts w:cs="Arial"/>
        </w:rPr>
        <w:t xml:space="preserve"> por ciento</w:t>
      </w:r>
      <w:r w:rsidRPr="00F47FD0">
        <w:rPr>
          <w:rFonts w:cs="Arial"/>
        </w:rPr>
        <w:t xml:space="preserve"> en 2023 por el incremento en la confianza del consumidor y la demanda del crédito por consumo gracias al crecimiento real de las remuneraciones, mejora de condiciones laborales, así como por la creación de empleos.</w:t>
      </w:r>
      <w:r>
        <w:rPr>
          <w:rFonts w:cs="Arial"/>
        </w:rPr>
        <w:t xml:space="preserve"> </w:t>
      </w:r>
    </w:p>
    <w:p w14:paraId="2983D1B9" w14:textId="77777777" w:rsidR="00293EDB" w:rsidRPr="00F47FD0" w:rsidRDefault="00293EDB" w:rsidP="00293EDB">
      <w:pPr>
        <w:rPr>
          <w:rFonts w:cs="Arial"/>
        </w:rPr>
      </w:pPr>
    </w:p>
    <w:p w14:paraId="4111763B" w14:textId="77777777" w:rsidR="00293EDB" w:rsidRDefault="00293EDB" w:rsidP="00293EDB">
      <w:pPr>
        <w:rPr>
          <w:rFonts w:cs="Arial"/>
        </w:rPr>
      </w:pPr>
      <w:r w:rsidRPr="00F47FD0">
        <w:rPr>
          <w:rFonts w:cs="Arial"/>
        </w:rPr>
        <w:t>En cuanto al comportamiento de los sectores económicos. Las actividades crecieron un 1.9</w:t>
      </w:r>
      <w:r>
        <w:rPr>
          <w:rFonts w:cs="Arial"/>
        </w:rPr>
        <w:t xml:space="preserve"> por ciento</w:t>
      </w:r>
      <w:r w:rsidRPr="00F47FD0">
        <w:rPr>
          <w:rFonts w:cs="Arial"/>
        </w:rPr>
        <w:t xml:space="preserve"> en 2023, 0.3</w:t>
      </w:r>
      <w:r>
        <w:rPr>
          <w:rFonts w:cs="Arial"/>
        </w:rPr>
        <w:t xml:space="preserve"> por ciento</w:t>
      </w:r>
      <w:r w:rsidRPr="00F47FD0">
        <w:rPr>
          <w:rFonts w:cs="Arial"/>
        </w:rPr>
        <w:t xml:space="preserve"> más que el año anterior gracias el buen desempeño de las actividades de la agricultura y la ganadería, las cuáles presentaron un crecimiento del 2</w:t>
      </w:r>
      <w:r>
        <w:rPr>
          <w:rFonts w:cs="Arial"/>
        </w:rPr>
        <w:t xml:space="preserve"> por ciento</w:t>
      </w:r>
      <w:r w:rsidRPr="00F47FD0">
        <w:rPr>
          <w:rFonts w:cs="Arial"/>
        </w:rPr>
        <w:t xml:space="preserve"> y 1.9</w:t>
      </w:r>
      <w:r>
        <w:rPr>
          <w:rFonts w:cs="Arial"/>
        </w:rPr>
        <w:t xml:space="preserve"> por ciento</w:t>
      </w:r>
      <w:r w:rsidRPr="00F47FD0">
        <w:rPr>
          <w:rFonts w:cs="Arial"/>
        </w:rPr>
        <w:t xml:space="preserve"> respectivamente. </w:t>
      </w:r>
    </w:p>
    <w:p w14:paraId="55F18EF9" w14:textId="77777777" w:rsidR="00293EDB" w:rsidRPr="00F47FD0" w:rsidRDefault="00293EDB" w:rsidP="00293EDB">
      <w:pPr>
        <w:rPr>
          <w:rFonts w:cs="Arial"/>
        </w:rPr>
      </w:pPr>
    </w:p>
    <w:p w14:paraId="2F06C29F" w14:textId="77777777" w:rsidR="00293EDB" w:rsidRDefault="00293EDB" w:rsidP="00293EDB">
      <w:pPr>
        <w:rPr>
          <w:rFonts w:cs="Arial"/>
        </w:rPr>
      </w:pPr>
      <w:r w:rsidRPr="00F47FD0">
        <w:rPr>
          <w:rFonts w:cs="Arial"/>
        </w:rPr>
        <w:t>Las actividades secundarias también registraron crecimiento, 3.5</w:t>
      </w:r>
      <w:r>
        <w:rPr>
          <w:rFonts w:cs="Arial"/>
        </w:rPr>
        <w:t xml:space="preserve"> por ciento</w:t>
      </w:r>
      <w:r w:rsidRPr="00F47FD0">
        <w:rPr>
          <w:rFonts w:cs="Arial"/>
        </w:rPr>
        <w:t xml:space="preserve"> en 2023, sin embargo, éstas se desaceleraron, pues su crecimiento fue menor que lo registrado en 2022, que fue del 5.3</w:t>
      </w:r>
      <w:r>
        <w:rPr>
          <w:rFonts w:cs="Arial"/>
        </w:rPr>
        <w:t xml:space="preserve"> por ciento</w:t>
      </w:r>
      <w:r w:rsidRPr="00F47FD0">
        <w:rPr>
          <w:rFonts w:cs="Arial"/>
        </w:rPr>
        <w:t>. Lo anterior se explica dado a desaceleración del subsector minero y el casi nulo crecimiento de las manufacturas, cuyo crecimiento para 2023 fue del 0.9</w:t>
      </w:r>
      <w:r>
        <w:rPr>
          <w:rFonts w:cs="Arial"/>
        </w:rPr>
        <w:t xml:space="preserve"> por ciento</w:t>
      </w:r>
      <w:r w:rsidRPr="00F47FD0">
        <w:rPr>
          <w:rFonts w:cs="Arial"/>
        </w:rPr>
        <w:t xml:space="preserve"> en comparación con el 6.3</w:t>
      </w:r>
      <w:r>
        <w:rPr>
          <w:rFonts w:cs="Arial"/>
        </w:rPr>
        <w:t xml:space="preserve"> por ciento</w:t>
      </w:r>
      <w:r w:rsidRPr="00F47FD0">
        <w:rPr>
          <w:rFonts w:cs="Arial"/>
        </w:rPr>
        <w:t xml:space="preserve"> del año pasado. </w:t>
      </w:r>
    </w:p>
    <w:p w14:paraId="31651146" w14:textId="26E1E066" w:rsidR="00293EDB" w:rsidRDefault="00293EDB" w:rsidP="00293EDB">
      <w:pPr>
        <w:rPr>
          <w:rFonts w:cs="Arial"/>
        </w:rPr>
      </w:pPr>
    </w:p>
    <w:p w14:paraId="426A611A" w14:textId="77777777" w:rsidR="00382F53" w:rsidRPr="00F47FD0" w:rsidRDefault="00382F53" w:rsidP="00293EDB">
      <w:pPr>
        <w:rPr>
          <w:rFonts w:cs="Arial"/>
        </w:rPr>
      </w:pPr>
    </w:p>
    <w:p w14:paraId="0D547729" w14:textId="77777777" w:rsidR="00293EDB" w:rsidRDefault="00293EDB" w:rsidP="00293EDB">
      <w:pPr>
        <w:rPr>
          <w:rFonts w:cs="Arial"/>
        </w:rPr>
      </w:pPr>
      <w:r w:rsidRPr="00F47FD0">
        <w:rPr>
          <w:rFonts w:cs="Arial"/>
        </w:rPr>
        <w:lastRenderedPageBreak/>
        <w:t>En la misma sintonía, las actividades terciarias crecieron un 3.1</w:t>
      </w:r>
      <w:r>
        <w:rPr>
          <w:rFonts w:cs="Arial"/>
        </w:rPr>
        <w:t xml:space="preserve"> por ciento</w:t>
      </w:r>
      <w:r w:rsidRPr="00F47FD0">
        <w:rPr>
          <w:rFonts w:cs="Arial"/>
        </w:rPr>
        <w:t xml:space="preserve"> en 2023, sin embargo, la tasa de crecimiento se mantuvo nula ya que estas actividades también crecieron 3.1</w:t>
      </w:r>
      <w:r>
        <w:rPr>
          <w:rFonts w:cs="Arial"/>
        </w:rPr>
        <w:t xml:space="preserve"> por ciento</w:t>
      </w:r>
      <w:r w:rsidRPr="00F47FD0">
        <w:rPr>
          <w:rFonts w:cs="Arial"/>
        </w:rPr>
        <w:t xml:space="preserve"> en 2023, a pesar de ello el resultado es positivo ya que 14 de sus 15 subsectores presentaron crecimiento, siendo solo el subsector de servicios de apoyo a negocios el que decreció (-5.2</w:t>
      </w:r>
      <w:r>
        <w:rPr>
          <w:rFonts w:cs="Arial"/>
        </w:rPr>
        <w:t xml:space="preserve"> por ciento</w:t>
      </w:r>
      <w:r w:rsidRPr="00F47FD0">
        <w:rPr>
          <w:rFonts w:cs="Arial"/>
        </w:rPr>
        <w:t xml:space="preserve">). </w:t>
      </w:r>
    </w:p>
    <w:p w14:paraId="7C6C135E" w14:textId="77777777" w:rsidR="00293EDB" w:rsidRDefault="00293EDB" w:rsidP="00293EDB">
      <w:pPr>
        <w:rPr>
          <w:rFonts w:cs="Arial"/>
        </w:rPr>
      </w:pPr>
    </w:p>
    <w:p w14:paraId="1EBE9433" w14:textId="454DE35E" w:rsidR="00293EDB" w:rsidRDefault="00293EDB" w:rsidP="00293EDB">
      <w:pPr>
        <w:rPr>
          <w:rFonts w:cs="Arial"/>
        </w:rPr>
      </w:pPr>
      <w:r w:rsidRPr="00CA356D">
        <w:rPr>
          <w:rFonts w:cs="Arial"/>
          <w:b/>
          <w:bCs/>
        </w:rPr>
        <w:t>Empleo</w:t>
      </w:r>
      <w:r>
        <w:rPr>
          <w:rFonts w:cs="Arial"/>
        </w:rPr>
        <w:t xml:space="preserve">. </w:t>
      </w:r>
      <w:r w:rsidRPr="00CA356D">
        <w:rPr>
          <w:rFonts w:cs="Arial"/>
        </w:rPr>
        <w:t>El desempeño del mercado laboral para 2023 fue bueno, la población ocupada promedio creció en el año 1</w:t>
      </w:r>
      <w:r w:rsidR="00C648F0">
        <w:rPr>
          <w:rFonts w:cs="Arial"/>
        </w:rPr>
        <w:t xml:space="preserve">.4 </w:t>
      </w:r>
      <w:r w:rsidR="00003379">
        <w:rPr>
          <w:rFonts w:cs="Arial"/>
        </w:rPr>
        <w:t>m</w:t>
      </w:r>
      <w:r w:rsidR="00C648F0">
        <w:rPr>
          <w:rFonts w:cs="Arial"/>
        </w:rPr>
        <w:t>illones de</w:t>
      </w:r>
      <w:r w:rsidRPr="00CA356D">
        <w:rPr>
          <w:rFonts w:cs="Arial"/>
        </w:rPr>
        <w:t xml:space="preserve"> personas. La tasa de participación laboral fue en promedio del 60.4</w:t>
      </w:r>
      <w:r>
        <w:rPr>
          <w:rFonts w:cs="Arial"/>
        </w:rPr>
        <w:t xml:space="preserve"> por ciento</w:t>
      </w:r>
      <w:r w:rsidRPr="00CA356D">
        <w:rPr>
          <w:rFonts w:cs="Arial"/>
        </w:rPr>
        <w:t xml:space="preserve"> para el término del año 2023, siendo la tasa más alta desde el 2012, y en el cuál las mujeres continuaron aumentando su participación en este mercado logrando una tasa de participación del 46.2</w:t>
      </w:r>
      <w:r>
        <w:rPr>
          <w:rFonts w:cs="Arial"/>
        </w:rPr>
        <w:t xml:space="preserve"> por ciento</w:t>
      </w:r>
      <w:r w:rsidRPr="00CA356D">
        <w:rPr>
          <w:rFonts w:cs="Arial"/>
        </w:rPr>
        <w:t>. La informalidad laboral en 2023 alcanzó una tasa promedio del 55</w:t>
      </w:r>
      <w:r>
        <w:rPr>
          <w:rFonts w:cs="Arial"/>
        </w:rPr>
        <w:t xml:space="preserve"> por ciento</w:t>
      </w:r>
      <w:r w:rsidRPr="00CA356D">
        <w:rPr>
          <w:rFonts w:cs="Arial"/>
        </w:rPr>
        <w:t>; en relación con lo anterior, los empleos formales registrados ante el IMMS aumentaron en 651 mil plazas respecto al 2022. Por su parte la tasa de desempleo alcanzó un nivel del 2.8</w:t>
      </w:r>
      <w:r>
        <w:rPr>
          <w:rFonts w:cs="Arial"/>
        </w:rPr>
        <w:t xml:space="preserve"> por ciento</w:t>
      </w:r>
      <w:r w:rsidRPr="00CA356D">
        <w:rPr>
          <w:rFonts w:cs="Arial"/>
        </w:rPr>
        <w:t xml:space="preserve">, el nivel más bajo desde el 2005. </w:t>
      </w:r>
    </w:p>
    <w:p w14:paraId="10482C0A" w14:textId="77777777" w:rsidR="00293EDB" w:rsidRDefault="00293EDB" w:rsidP="00293EDB">
      <w:pPr>
        <w:rPr>
          <w:rFonts w:cs="Arial"/>
        </w:rPr>
      </w:pPr>
    </w:p>
    <w:p w14:paraId="3BCE485C" w14:textId="77777777" w:rsidR="00293EDB" w:rsidRDefault="00293EDB" w:rsidP="00293EDB">
      <w:pPr>
        <w:jc w:val="center"/>
        <w:rPr>
          <w:rFonts w:cs="Arial"/>
        </w:rPr>
      </w:pPr>
      <w:r w:rsidRPr="00983C7C">
        <w:rPr>
          <w:rFonts w:cs="Arial"/>
          <w:noProof/>
        </w:rPr>
        <w:drawing>
          <wp:inline distT="0" distB="0" distL="0" distR="0" wp14:anchorId="37A7EC52" wp14:editId="4021EA31">
            <wp:extent cx="4176399" cy="1907213"/>
            <wp:effectExtent l="0" t="0" r="0" b="0"/>
            <wp:docPr id="945234995" name="Imagen 1"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34995" name="Imagen 1" descr="Gráfico&#10;&#10;Descripción generada automáticamente con confianza media"/>
                    <pic:cNvPicPr/>
                  </pic:nvPicPr>
                  <pic:blipFill>
                    <a:blip r:embed="rId8"/>
                    <a:stretch>
                      <a:fillRect/>
                    </a:stretch>
                  </pic:blipFill>
                  <pic:spPr>
                    <a:xfrm>
                      <a:off x="0" y="0"/>
                      <a:ext cx="4193084" cy="1914832"/>
                    </a:xfrm>
                    <a:prstGeom prst="rect">
                      <a:avLst/>
                    </a:prstGeom>
                  </pic:spPr>
                </pic:pic>
              </a:graphicData>
            </a:graphic>
          </wp:inline>
        </w:drawing>
      </w:r>
    </w:p>
    <w:p w14:paraId="73BACB42" w14:textId="77777777" w:rsidR="00293EDB" w:rsidRDefault="00293EDB" w:rsidP="00293EDB">
      <w:pPr>
        <w:rPr>
          <w:rFonts w:cs="Arial"/>
        </w:rPr>
      </w:pPr>
    </w:p>
    <w:p w14:paraId="60149B03" w14:textId="77777777" w:rsidR="00293EDB" w:rsidRDefault="00293EDB" w:rsidP="00293EDB">
      <w:pPr>
        <w:rPr>
          <w:rFonts w:cs="Arial"/>
        </w:rPr>
      </w:pPr>
      <w:r w:rsidRPr="00CA356D">
        <w:rPr>
          <w:rFonts w:cs="Arial"/>
        </w:rPr>
        <w:t>Aunado a lo anterior, la tasa de subocupación mostró una reducción al alcanzar un nivel del 7.8</w:t>
      </w:r>
      <w:r>
        <w:rPr>
          <w:rFonts w:cs="Arial"/>
        </w:rPr>
        <w:t xml:space="preserve"> por ciento</w:t>
      </w:r>
      <w:r w:rsidRPr="00CA356D">
        <w:rPr>
          <w:rFonts w:cs="Arial"/>
        </w:rPr>
        <w:t xml:space="preserve"> explicado por la menor subocupación de las personas con alto nivel educativo y los trabajadores del sector servicios.</w:t>
      </w:r>
    </w:p>
    <w:p w14:paraId="118B9BA2" w14:textId="77777777" w:rsidR="00293EDB" w:rsidRPr="00CA356D" w:rsidRDefault="00293EDB" w:rsidP="00293EDB">
      <w:pPr>
        <w:rPr>
          <w:rFonts w:cs="Arial"/>
        </w:rPr>
      </w:pPr>
    </w:p>
    <w:p w14:paraId="33DE4BA7" w14:textId="77777777" w:rsidR="00293EDB" w:rsidRDefault="00293EDB" w:rsidP="00293EDB">
      <w:pPr>
        <w:rPr>
          <w:rFonts w:cs="Arial"/>
        </w:rPr>
      </w:pPr>
      <w:r w:rsidRPr="00CA356D">
        <w:rPr>
          <w:rFonts w:cs="Arial"/>
        </w:rPr>
        <w:t>Finalmente, los salarios reales en 2023 se vieron beneficiados, en parte, gracias a tendencia a la baja de la inflación, de acuerdo con los salarios reales promedio del IMSS, estos crecieron en 5.1</w:t>
      </w:r>
      <w:r>
        <w:rPr>
          <w:rFonts w:cs="Arial"/>
        </w:rPr>
        <w:t xml:space="preserve"> por ciento</w:t>
      </w:r>
      <w:r w:rsidRPr="00CA356D">
        <w:rPr>
          <w:rFonts w:cs="Arial"/>
        </w:rPr>
        <w:t xml:space="preserve"> anual, la mayor alza desde 2001.</w:t>
      </w:r>
    </w:p>
    <w:p w14:paraId="7209092D" w14:textId="77777777" w:rsidR="00293EDB" w:rsidRDefault="00293EDB" w:rsidP="00293EDB">
      <w:pPr>
        <w:rPr>
          <w:rFonts w:cs="Arial"/>
        </w:rPr>
      </w:pPr>
    </w:p>
    <w:p w14:paraId="5FB1F670" w14:textId="77777777" w:rsidR="00293EDB" w:rsidRDefault="00293EDB" w:rsidP="00293EDB">
      <w:pPr>
        <w:rPr>
          <w:rFonts w:cs="Arial"/>
        </w:rPr>
      </w:pPr>
      <w:r w:rsidRPr="00CA356D">
        <w:rPr>
          <w:rFonts w:cs="Arial"/>
          <w:b/>
          <w:bCs/>
        </w:rPr>
        <w:t>Inflación</w:t>
      </w:r>
      <w:r>
        <w:rPr>
          <w:rFonts w:cs="Arial"/>
        </w:rPr>
        <w:t xml:space="preserve">. </w:t>
      </w:r>
      <w:r w:rsidRPr="00CA356D">
        <w:rPr>
          <w:rFonts w:cs="Arial"/>
        </w:rPr>
        <w:t>En sintonía con la tendencia mundial, la inflación del INPC creció a un ritmo menor (se desaceleró) en 2023, lo anterior está explicado por la disminución en los precios internacionales de las materias primas, mayor cantidad de insumos para producir y la apreciación del peso respecto al dólar estadounidense, por lo que la inflación en 2023 cerró en 4.7</w:t>
      </w:r>
      <w:r>
        <w:rPr>
          <w:rFonts w:cs="Arial"/>
        </w:rPr>
        <w:t xml:space="preserve"> por ciento</w:t>
      </w:r>
      <w:r w:rsidRPr="00CA356D">
        <w:rPr>
          <w:rFonts w:cs="Arial"/>
        </w:rPr>
        <w:t>, 3.2 puntos porcentuales por debajo de lo registrado en 2022.</w:t>
      </w:r>
      <w:r>
        <w:rPr>
          <w:rFonts w:cs="Arial"/>
        </w:rPr>
        <w:t xml:space="preserve"> </w:t>
      </w:r>
    </w:p>
    <w:p w14:paraId="49480087" w14:textId="77777777" w:rsidR="00293EDB" w:rsidRPr="00CA356D" w:rsidRDefault="00293EDB" w:rsidP="00293EDB">
      <w:pPr>
        <w:rPr>
          <w:rFonts w:cs="Arial"/>
        </w:rPr>
      </w:pPr>
    </w:p>
    <w:p w14:paraId="6A490CB6" w14:textId="77777777" w:rsidR="00293EDB" w:rsidRDefault="00293EDB" w:rsidP="00293EDB">
      <w:pPr>
        <w:rPr>
          <w:rFonts w:cs="Arial"/>
        </w:rPr>
      </w:pPr>
      <w:r w:rsidRPr="00CA356D">
        <w:rPr>
          <w:rFonts w:cs="Arial"/>
        </w:rPr>
        <w:lastRenderedPageBreak/>
        <w:t>La inflación subyacente cerró en 5.1</w:t>
      </w:r>
      <w:r>
        <w:rPr>
          <w:rFonts w:cs="Arial"/>
        </w:rPr>
        <w:t xml:space="preserve"> por ciento</w:t>
      </w:r>
      <w:r w:rsidRPr="00CA356D">
        <w:rPr>
          <w:rFonts w:cs="Arial"/>
        </w:rPr>
        <w:t xml:space="preserve"> en 2023, 3.3 puntos porcentuales por debajo de lo registrado en 2022, gracias a la disminución de los precios de algunos productos como la tortilla, los aceites comestibles, los detergentes, la leche, el pan dulce y los automóviles. </w:t>
      </w:r>
    </w:p>
    <w:p w14:paraId="0F79A1E0" w14:textId="77777777" w:rsidR="00293EDB" w:rsidRPr="00CA356D" w:rsidRDefault="00293EDB" w:rsidP="00293EDB">
      <w:pPr>
        <w:rPr>
          <w:rFonts w:cs="Arial"/>
        </w:rPr>
      </w:pPr>
    </w:p>
    <w:p w14:paraId="4843B63D" w14:textId="77777777" w:rsidR="00293EDB" w:rsidRDefault="00293EDB" w:rsidP="00293EDB">
      <w:pPr>
        <w:rPr>
          <w:rFonts w:cs="Arial"/>
        </w:rPr>
      </w:pPr>
      <w:r w:rsidRPr="00CA356D">
        <w:rPr>
          <w:rFonts w:cs="Arial"/>
        </w:rPr>
        <w:t>La inflación no subyacente por su parte cerró en 2023 en 3.4</w:t>
      </w:r>
      <w:r>
        <w:rPr>
          <w:rFonts w:cs="Arial"/>
        </w:rPr>
        <w:t xml:space="preserve"> por ciento</w:t>
      </w:r>
      <w:r w:rsidRPr="00CA356D">
        <w:rPr>
          <w:rFonts w:cs="Arial"/>
        </w:rPr>
        <w:t>, 2.9 puntos porcentuales por debajo a lo visto en 2023, gracias a la deflación de los precios de los energéticos durante la primera mitad del 2023, el gas doméstico, la gasolina regular y los productos agropecuarios; aunque, a finales del año aumentó la inflación de los energéticos, las frutas y las verduras.</w:t>
      </w:r>
    </w:p>
    <w:p w14:paraId="68B30DE9" w14:textId="77777777" w:rsidR="00293EDB" w:rsidRDefault="00293EDB" w:rsidP="00293EDB">
      <w:pPr>
        <w:rPr>
          <w:rFonts w:cs="Arial"/>
        </w:rPr>
      </w:pPr>
    </w:p>
    <w:p w14:paraId="382995FC" w14:textId="497D8332" w:rsidR="00293EDB" w:rsidRDefault="00293EDB" w:rsidP="00293EDB">
      <w:pPr>
        <w:rPr>
          <w:rFonts w:cs="Arial"/>
        </w:rPr>
      </w:pPr>
      <w:r w:rsidRPr="00983C7C">
        <w:rPr>
          <w:rFonts w:cs="Arial"/>
          <w:b/>
          <w:bCs/>
        </w:rPr>
        <w:t>Sector Externo</w:t>
      </w:r>
      <w:r>
        <w:rPr>
          <w:rFonts w:cs="Arial"/>
          <w:b/>
          <w:bCs/>
        </w:rPr>
        <w:t xml:space="preserve">. </w:t>
      </w:r>
      <w:r w:rsidRPr="00F47FD0">
        <w:rPr>
          <w:rFonts w:cs="Arial"/>
        </w:rPr>
        <w:t>El sector externo también contribuyó al crecimiento</w:t>
      </w:r>
      <w:r>
        <w:rPr>
          <w:rFonts w:cs="Arial"/>
        </w:rPr>
        <w:t xml:space="preserve"> de la economía mexicana</w:t>
      </w:r>
      <w:r w:rsidRPr="00F47FD0">
        <w:rPr>
          <w:rFonts w:cs="Arial"/>
        </w:rPr>
        <w:t xml:space="preserve">, </w:t>
      </w:r>
      <w:r>
        <w:rPr>
          <w:rFonts w:cs="Arial"/>
        </w:rPr>
        <w:t xml:space="preserve">en 2023 las exportaciones crecieron 3.9 por ciento, por otro lado, las importaciones crecieron 3.1 por ciento. Lo anterior explicó </w:t>
      </w:r>
      <w:r w:rsidR="006F4C65">
        <w:rPr>
          <w:rFonts w:cs="Arial"/>
        </w:rPr>
        <w:t>por qué</w:t>
      </w:r>
      <w:r>
        <w:rPr>
          <w:rFonts w:cs="Arial"/>
        </w:rPr>
        <w:t xml:space="preserve"> la balanza no petrolera (parte de la balanza comercial que no toman en cuenta los productos relacionados con el petróleo) registró un superávit de 13</w:t>
      </w:r>
      <w:r w:rsidR="00003379">
        <w:rPr>
          <w:rFonts w:cs="Arial"/>
        </w:rPr>
        <w:t>,</w:t>
      </w:r>
      <w:r w:rsidR="00C648F0">
        <w:rPr>
          <w:rFonts w:cs="Arial"/>
        </w:rPr>
        <w:t>0</w:t>
      </w:r>
      <w:r>
        <w:rPr>
          <w:rFonts w:cs="Arial"/>
        </w:rPr>
        <w:t>73 millones de dólares, en comparación con los 8</w:t>
      </w:r>
      <w:r w:rsidR="00003379">
        <w:rPr>
          <w:rFonts w:cs="Arial"/>
        </w:rPr>
        <w:t>,</w:t>
      </w:r>
      <w:r>
        <w:rPr>
          <w:rFonts w:cs="Arial"/>
        </w:rPr>
        <w:t xml:space="preserve">263 millones de dólares del 202, pues durante el 2023 el valor de exportaciones manufactureras creció un 4 por ciento. </w:t>
      </w:r>
    </w:p>
    <w:p w14:paraId="2E6BC56E" w14:textId="77777777" w:rsidR="00293EDB" w:rsidRDefault="00293EDB" w:rsidP="00293EDB">
      <w:pPr>
        <w:rPr>
          <w:rFonts w:cs="Arial"/>
        </w:rPr>
      </w:pPr>
    </w:p>
    <w:p w14:paraId="7781E17A" w14:textId="51D9DE38" w:rsidR="00293EDB" w:rsidRDefault="00293EDB" w:rsidP="00293EDB">
      <w:pPr>
        <w:rPr>
          <w:rFonts w:cs="Arial"/>
        </w:rPr>
      </w:pPr>
      <w:r>
        <w:rPr>
          <w:rFonts w:cs="Arial"/>
        </w:rPr>
        <w:t>L</w:t>
      </w:r>
      <w:r w:rsidRPr="00F47FD0">
        <w:rPr>
          <w:rFonts w:cs="Arial"/>
        </w:rPr>
        <w:t>a IED ascendió a 36</w:t>
      </w:r>
      <w:r w:rsidR="00003379">
        <w:rPr>
          <w:rFonts w:cs="Arial"/>
        </w:rPr>
        <w:t>,0</w:t>
      </w:r>
      <w:r w:rsidRPr="00F47FD0">
        <w:rPr>
          <w:rFonts w:cs="Arial"/>
        </w:rPr>
        <w:t>58 millones de dólares en 2023, lo cual posicionó a México en los 4 principales destinos de IED, lo anterior derivado de la reinversión de utilidades. Adicionalmente, la apreciación del tipo de cambio</w:t>
      </w:r>
      <w:r>
        <w:rPr>
          <w:rFonts w:cs="Arial"/>
        </w:rPr>
        <w:t xml:space="preserve"> </w:t>
      </w:r>
      <w:r w:rsidRPr="00F47FD0">
        <w:rPr>
          <w:rFonts w:cs="Arial"/>
        </w:rPr>
        <w:t>dado al aumento de las remesas, ingresos del turismo y el diferencial de tasas entre México y Estados Unidos, permitió abaratar las importaciones y por ende sus precios. Así también gracias al turismo, el ingreso por concepto de los viajeros internacionales alcanzó los 30</w:t>
      </w:r>
      <w:r w:rsidR="00003379">
        <w:rPr>
          <w:rFonts w:cs="Arial"/>
        </w:rPr>
        <w:t>,</w:t>
      </w:r>
      <w:r w:rsidRPr="00F47FD0">
        <w:rPr>
          <w:rFonts w:cs="Arial"/>
        </w:rPr>
        <w:t>809 millones de dólares, un crecimiento del 10</w:t>
      </w:r>
      <w:r>
        <w:rPr>
          <w:rFonts w:cs="Arial"/>
        </w:rPr>
        <w:t xml:space="preserve"> por ciento</w:t>
      </w:r>
      <w:r w:rsidRPr="00F47FD0">
        <w:rPr>
          <w:rFonts w:cs="Arial"/>
        </w:rPr>
        <w:t xml:space="preserve"> respecto al año anterior.</w:t>
      </w:r>
      <w:r>
        <w:rPr>
          <w:rFonts w:cs="Arial"/>
        </w:rPr>
        <w:t xml:space="preserve"> </w:t>
      </w:r>
      <w:r w:rsidRPr="00F47FD0">
        <w:rPr>
          <w:rFonts w:cs="Arial"/>
        </w:rPr>
        <w:t xml:space="preserve"> </w:t>
      </w:r>
    </w:p>
    <w:p w14:paraId="30A3BEAC" w14:textId="77777777" w:rsidR="00293EDB" w:rsidRDefault="00293EDB" w:rsidP="00293EDB">
      <w:pPr>
        <w:rPr>
          <w:rFonts w:cs="Arial"/>
        </w:rPr>
      </w:pPr>
    </w:p>
    <w:p w14:paraId="14D68715" w14:textId="5FF13191" w:rsidR="00293EDB" w:rsidRDefault="00293EDB" w:rsidP="00293EDB">
      <w:pPr>
        <w:rPr>
          <w:rFonts w:cs="Arial"/>
        </w:rPr>
      </w:pPr>
      <w:r w:rsidRPr="00983C7C">
        <w:rPr>
          <w:rFonts w:cs="Arial"/>
          <w:b/>
          <w:bCs/>
        </w:rPr>
        <w:t xml:space="preserve">Sistema </w:t>
      </w:r>
      <w:r w:rsidR="002B14C4" w:rsidRPr="00983C7C">
        <w:rPr>
          <w:rFonts w:cs="Arial"/>
          <w:b/>
          <w:bCs/>
        </w:rPr>
        <w:t>Financiero Mexicano</w:t>
      </w:r>
      <w:r>
        <w:rPr>
          <w:rFonts w:cs="Arial"/>
          <w:b/>
          <w:bCs/>
        </w:rPr>
        <w:t xml:space="preserve">. </w:t>
      </w:r>
      <w:r>
        <w:rPr>
          <w:rFonts w:cs="Arial"/>
        </w:rPr>
        <w:t xml:space="preserve">El sistema financiero mexicano se mantuvo estable a pesar de los periodos de volatilidad generada por la quiebra de algunos bancos locales de los Estados Unidos y la incertidumbre en cuanto al fin de la política monetaria restrictiva por parte de la FED. </w:t>
      </w:r>
    </w:p>
    <w:p w14:paraId="0508E5C2" w14:textId="77777777" w:rsidR="00293EDB" w:rsidRDefault="00293EDB" w:rsidP="00293EDB">
      <w:pPr>
        <w:rPr>
          <w:rFonts w:cs="Arial"/>
        </w:rPr>
      </w:pPr>
    </w:p>
    <w:p w14:paraId="4162EEA3" w14:textId="0F234062" w:rsidR="00293EDB" w:rsidRDefault="00293EDB" w:rsidP="00293EDB">
      <w:pPr>
        <w:rPr>
          <w:rFonts w:cs="Arial"/>
        </w:rPr>
      </w:pPr>
      <w:r>
        <w:rPr>
          <w:rFonts w:cs="Arial"/>
        </w:rPr>
        <w:t xml:space="preserve">El tipo de cambio se situó en promedio en el año en 17.7 pesos MXN por dólar lo </w:t>
      </w:r>
      <w:r w:rsidR="002B14C4">
        <w:rPr>
          <w:rFonts w:cs="Arial"/>
        </w:rPr>
        <w:t>cual</w:t>
      </w:r>
      <w:r>
        <w:rPr>
          <w:rFonts w:cs="Arial"/>
        </w:rPr>
        <w:t xml:space="preserve"> quiere decir que la moneda mexicana se apreció 13.4 por ciento respecto al año anterior. </w:t>
      </w:r>
    </w:p>
    <w:p w14:paraId="0B69AEAC" w14:textId="77777777" w:rsidR="00293EDB" w:rsidRDefault="00293EDB" w:rsidP="00293EDB">
      <w:pPr>
        <w:rPr>
          <w:rFonts w:cs="Arial"/>
        </w:rPr>
      </w:pPr>
    </w:p>
    <w:p w14:paraId="705EAC96" w14:textId="70D6FBE5" w:rsidR="00293EDB" w:rsidRDefault="00293EDB" w:rsidP="00293EDB">
      <w:pPr>
        <w:rPr>
          <w:rFonts w:cs="Arial"/>
        </w:rPr>
      </w:pPr>
      <w:r>
        <w:rPr>
          <w:rFonts w:cs="Arial"/>
        </w:rPr>
        <w:t xml:space="preserve">El Banco de México mantuvo una política monetaria restrictiva, incrementando en 2 ocasiones la tasa de referencia, 50 puntos base el 9 de febrero y 25 el 30 de marzo dejándola en un nivel del 11.2 por ciento y manteniéndola en ese nivel la junta de gobierno en su reunión del 14 de diciembre. </w:t>
      </w:r>
    </w:p>
    <w:p w14:paraId="7B0FE7DB" w14:textId="77777777" w:rsidR="00293EDB" w:rsidRDefault="00293EDB" w:rsidP="00293EDB">
      <w:pPr>
        <w:rPr>
          <w:rFonts w:cs="Arial"/>
        </w:rPr>
      </w:pPr>
    </w:p>
    <w:p w14:paraId="2C3EB605" w14:textId="1341D8E9" w:rsidR="00293EDB" w:rsidRDefault="00293EDB" w:rsidP="00293EDB">
      <w:pPr>
        <w:rPr>
          <w:rFonts w:cs="Arial"/>
        </w:rPr>
      </w:pPr>
      <w:r>
        <w:rPr>
          <w:rFonts w:cs="Arial"/>
        </w:rPr>
        <w:t>La percepción de riesgo país en 2023, medido por el EMBI + (</w:t>
      </w:r>
      <w:proofErr w:type="spellStart"/>
      <w:r w:rsidRPr="007E1EA9">
        <w:rPr>
          <w:rFonts w:cs="Arial"/>
        </w:rPr>
        <w:t>Emerging</w:t>
      </w:r>
      <w:proofErr w:type="spellEnd"/>
      <w:r w:rsidRPr="007E1EA9">
        <w:rPr>
          <w:rFonts w:cs="Arial"/>
        </w:rPr>
        <w:t xml:space="preserve"> </w:t>
      </w:r>
      <w:proofErr w:type="spellStart"/>
      <w:r w:rsidRPr="007E1EA9">
        <w:rPr>
          <w:rFonts w:cs="Arial"/>
        </w:rPr>
        <w:t>Markets</w:t>
      </w:r>
      <w:proofErr w:type="spellEnd"/>
      <w:r w:rsidRPr="007E1EA9">
        <w:rPr>
          <w:rFonts w:cs="Arial"/>
        </w:rPr>
        <w:t xml:space="preserve"> Bond </w:t>
      </w:r>
      <w:proofErr w:type="spellStart"/>
      <w:r w:rsidRPr="007E1EA9">
        <w:rPr>
          <w:rFonts w:cs="Arial"/>
        </w:rPr>
        <w:t>Index</w:t>
      </w:r>
      <w:proofErr w:type="spellEnd"/>
      <w:r w:rsidRPr="007E1EA9">
        <w:rPr>
          <w:rFonts w:cs="Arial"/>
        </w:rPr>
        <w:t xml:space="preserve"> Plus</w:t>
      </w:r>
      <w:r>
        <w:rPr>
          <w:rFonts w:cs="Arial"/>
        </w:rPr>
        <w:t xml:space="preserve">) disminuyó para nuestro país 36 puntos respecto al 2022. Por su parte, el Índice de </w:t>
      </w:r>
      <w:r>
        <w:rPr>
          <w:rFonts w:cs="Arial"/>
        </w:rPr>
        <w:lastRenderedPageBreak/>
        <w:t xml:space="preserve">Precios y Cotizaciones (IPC) cerró en 2023 en máximos en 57 mil 386 unidades, lo </w:t>
      </w:r>
      <w:r w:rsidR="00275FB7">
        <w:rPr>
          <w:rFonts w:cs="Arial"/>
        </w:rPr>
        <w:t>cual</w:t>
      </w:r>
      <w:r>
        <w:rPr>
          <w:rFonts w:cs="Arial"/>
        </w:rPr>
        <w:t xml:space="preserve"> representa un aumento del 18.4 por ciento respecto al 2022. </w:t>
      </w:r>
    </w:p>
    <w:p w14:paraId="7CD9A239" w14:textId="77777777" w:rsidR="00293EDB" w:rsidRDefault="00293EDB" w:rsidP="00293EDB">
      <w:pPr>
        <w:rPr>
          <w:rFonts w:cs="Arial"/>
        </w:rPr>
      </w:pPr>
    </w:p>
    <w:p w14:paraId="44315EB1" w14:textId="21E0C7BB" w:rsidR="00293EDB" w:rsidRDefault="00293EDB" w:rsidP="00293EDB">
      <w:pPr>
        <w:rPr>
          <w:rFonts w:cs="Arial"/>
        </w:rPr>
      </w:pPr>
      <w:r w:rsidRPr="00983C7C">
        <w:rPr>
          <w:rFonts w:cs="Arial"/>
          <w:b/>
          <w:bCs/>
        </w:rPr>
        <w:t>Marco macroeconómico</w:t>
      </w:r>
      <w:r>
        <w:rPr>
          <w:rFonts w:cs="Arial"/>
          <w:b/>
          <w:bCs/>
        </w:rPr>
        <w:t xml:space="preserve">. </w:t>
      </w:r>
      <w:r w:rsidRPr="0023059F">
        <w:rPr>
          <w:rFonts w:cs="Arial"/>
        </w:rPr>
        <w:t xml:space="preserve">En 2024 y 2025, se anticipa que la economía mexicana continúe creciendo por arriba </w:t>
      </w:r>
      <w:r>
        <w:rPr>
          <w:rFonts w:cs="Arial"/>
        </w:rPr>
        <w:t>de</w:t>
      </w:r>
      <w:r w:rsidRPr="0023059F">
        <w:rPr>
          <w:rFonts w:cs="Arial"/>
        </w:rPr>
        <w:t xml:space="preserve"> su promedio histórico impulsada, principalmente, por una demanda interna sólida y un mercado laboral dinámico</w:t>
      </w:r>
      <w:r>
        <w:rPr>
          <w:rFonts w:cs="Arial"/>
        </w:rPr>
        <w:t xml:space="preserve">. </w:t>
      </w:r>
    </w:p>
    <w:p w14:paraId="475B0A2E" w14:textId="77777777" w:rsidR="00FC1484" w:rsidRDefault="00FC1484" w:rsidP="00293EDB">
      <w:pPr>
        <w:rPr>
          <w:rFonts w:cs="Arial"/>
        </w:rPr>
      </w:pPr>
    </w:p>
    <w:p w14:paraId="350A7B0D" w14:textId="0AA257DD" w:rsidR="00293EDB" w:rsidRDefault="00293EDB" w:rsidP="00293EDB">
      <w:pPr>
        <w:pStyle w:val="Prrafodelista"/>
        <w:numPr>
          <w:ilvl w:val="0"/>
          <w:numId w:val="33"/>
        </w:numPr>
        <w:ind w:left="426"/>
        <w:rPr>
          <w:rFonts w:cs="Arial"/>
        </w:rPr>
      </w:pPr>
      <w:r w:rsidRPr="00AF7B0E">
        <w:rPr>
          <w:rFonts w:cs="Arial"/>
          <w:i/>
          <w:iCs/>
          <w:u w:val="single"/>
        </w:rPr>
        <w:t>Crecimiento económico</w:t>
      </w:r>
      <w:r w:rsidRPr="00AF7B0E">
        <w:rPr>
          <w:rFonts w:cs="Arial"/>
        </w:rPr>
        <w:t xml:space="preserve">: Para el resto del presente año (2024) y en 2025 se prevé que el PIB proyectado seguirá creciendo, aunque a un ritmo menor. Por tanto, para 2024 se estima un crecimiento de la economía mexicana de del 2.5 por ciento hasta el 3.5 por ciento, y en 2025 se espera que sea entre el 2 por ciento hasta 3 por ciento. </w:t>
      </w:r>
    </w:p>
    <w:p w14:paraId="111161E6" w14:textId="77777777" w:rsidR="00FC1484" w:rsidRDefault="00FC1484" w:rsidP="00FC1484">
      <w:pPr>
        <w:pStyle w:val="Prrafodelista"/>
        <w:ind w:left="426"/>
        <w:rPr>
          <w:rFonts w:cs="Arial"/>
        </w:rPr>
      </w:pPr>
    </w:p>
    <w:p w14:paraId="6E1F77E3" w14:textId="62E57943" w:rsidR="00293EDB" w:rsidRDefault="00293EDB" w:rsidP="00293EDB">
      <w:pPr>
        <w:pStyle w:val="Prrafodelista"/>
        <w:numPr>
          <w:ilvl w:val="0"/>
          <w:numId w:val="33"/>
        </w:numPr>
        <w:ind w:left="426"/>
        <w:rPr>
          <w:rFonts w:cs="Arial"/>
        </w:rPr>
      </w:pPr>
      <w:r w:rsidRPr="00AF7B0E">
        <w:rPr>
          <w:rFonts w:cs="Arial"/>
          <w:i/>
          <w:iCs/>
          <w:u w:val="single"/>
        </w:rPr>
        <w:t>Tasa de interés (Política monetaria)</w:t>
      </w:r>
      <w:r w:rsidRPr="00AF7B0E">
        <w:rPr>
          <w:rFonts w:cs="Arial"/>
        </w:rPr>
        <w:t xml:space="preserve">: Dado a la baja de la inflación y de sus mismas expectativas, se espera que Banco de México continue con su política monetaria expansiva dejando un cierra en la tasa de interés del 9.5 por ciento en 2024 y 7 por ciento en 2024.  </w:t>
      </w:r>
    </w:p>
    <w:p w14:paraId="32FC4602" w14:textId="77777777" w:rsidR="00FC1484" w:rsidRPr="00FC1484" w:rsidRDefault="00FC1484" w:rsidP="00FC1484">
      <w:pPr>
        <w:pStyle w:val="Prrafodelista"/>
        <w:rPr>
          <w:rFonts w:cs="Arial"/>
        </w:rPr>
      </w:pPr>
    </w:p>
    <w:p w14:paraId="48473B52" w14:textId="365666F5" w:rsidR="00293EDB" w:rsidRDefault="00293EDB" w:rsidP="00293EDB">
      <w:pPr>
        <w:pStyle w:val="Prrafodelista"/>
        <w:numPr>
          <w:ilvl w:val="0"/>
          <w:numId w:val="33"/>
        </w:numPr>
        <w:ind w:left="426"/>
        <w:rPr>
          <w:rFonts w:cs="Arial"/>
        </w:rPr>
      </w:pPr>
      <w:r w:rsidRPr="00AF7B0E">
        <w:rPr>
          <w:rFonts w:cs="Arial"/>
          <w:i/>
          <w:iCs/>
          <w:u w:val="single"/>
        </w:rPr>
        <w:t>Inflación</w:t>
      </w:r>
      <w:r w:rsidRPr="00AF7B0E">
        <w:rPr>
          <w:rFonts w:cs="Arial"/>
        </w:rPr>
        <w:t xml:space="preserve">: Existen choques de oferta que pudieran afectar el proceso de formación de precios en 2024 y 2025 como escenarios climatológicos adversos, que pudieran presionar al alza los precios de los productos agropecuarios y de mercancías alimenticias, así como la prolongación de ciertos choques geopolíticos que presionen un conjunto más amplio de genéricos como las mercancías de origen importado. En sintonía a lo anterior, se estima que la inflación general cierre en 3.8 por ciento en 2024 y 3.3 por ciento en 2025.  </w:t>
      </w:r>
    </w:p>
    <w:p w14:paraId="635F6566" w14:textId="77777777" w:rsidR="00FC1484" w:rsidRPr="00FC1484" w:rsidRDefault="00FC1484" w:rsidP="00FC1484">
      <w:pPr>
        <w:pStyle w:val="Prrafodelista"/>
        <w:rPr>
          <w:rFonts w:cs="Arial"/>
        </w:rPr>
      </w:pPr>
    </w:p>
    <w:p w14:paraId="6FBB9C5E" w14:textId="42269217" w:rsidR="00293EDB" w:rsidRDefault="00293EDB" w:rsidP="00293EDB">
      <w:pPr>
        <w:pStyle w:val="Prrafodelista"/>
        <w:numPr>
          <w:ilvl w:val="0"/>
          <w:numId w:val="33"/>
        </w:numPr>
        <w:ind w:left="426"/>
        <w:rPr>
          <w:rFonts w:cs="Arial"/>
        </w:rPr>
      </w:pPr>
      <w:r w:rsidRPr="00AF7B0E">
        <w:rPr>
          <w:rFonts w:cs="Arial"/>
          <w:i/>
          <w:iCs/>
          <w:u w:val="single"/>
        </w:rPr>
        <w:t>Tipo de cambio</w:t>
      </w:r>
      <w:r w:rsidRPr="00AF7B0E">
        <w:rPr>
          <w:rFonts w:cs="Arial"/>
        </w:rPr>
        <w:t xml:space="preserve">: Se prevé que el tipo de cambio se mantenga relativamente estable con respecto al año anterior, por lo que se estima que éste se ubique para 2025 y 2025 en 17.8 y 18.0 pesos por dólar respectivamente.   </w:t>
      </w:r>
    </w:p>
    <w:p w14:paraId="322CBB6B" w14:textId="77777777" w:rsidR="00FC1484" w:rsidRPr="00FC1484" w:rsidRDefault="00FC1484" w:rsidP="00FC1484">
      <w:pPr>
        <w:pStyle w:val="Prrafodelista"/>
        <w:rPr>
          <w:rFonts w:cs="Arial"/>
        </w:rPr>
      </w:pPr>
    </w:p>
    <w:p w14:paraId="0B6AAB5A" w14:textId="77777777" w:rsidR="00293EDB" w:rsidRPr="00AF7B0E" w:rsidRDefault="00293EDB" w:rsidP="00293EDB">
      <w:pPr>
        <w:pStyle w:val="Prrafodelista"/>
        <w:numPr>
          <w:ilvl w:val="0"/>
          <w:numId w:val="33"/>
        </w:numPr>
        <w:ind w:left="426"/>
        <w:rPr>
          <w:rFonts w:cs="Arial"/>
        </w:rPr>
      </w:pPr>
      <w:r w:rsidRPr="00AF7B0E">
        <w:rPr>
          <w:rFonts w:cs="Arial"/>
          <w:i/>
          <w:iCs/>
          <w:u w:val="single"/>
        </w:rPr>
        <w:t>Precio del petróleo</w:t>
      </w:r>
      <w:r w:rsidRPr="00AF7B0E">
        <w:rPr>
          <w:rFonts w:cs="Arial"/>
        </w:rPr>
        <w:t xml:space="preserve">: En cuanto al precio del petróleo, se espera que éste aumente dado el recorte de producción por la Organización de Países Exportadores de Petróleo (OPEP) y la persistencia de las tensiones geopolíticas en Medio Oriente. Sin embargo, se prevé que la demanda a nivel global del petróleo crudo crezca a menor ritmo, en especial por china. Por lo tanto, se espera que la cotización de la Mezcla Mexicana de Exportación (MME) para 2024 sea de 71.3 dólares por barril y de 58.4 dólares por barril para 2025. </w:t>
      </w:r>
    </w:p>
    <w:p w14:paraId="163C5013" w14:textId="77777777" w:rsidR="00293EDB" w:rsidRDefault="00293EDB" w:rsidP="00293EDB">
      <w:pPr>
        <w:rPr>
          <w:rFonts w:cs="Arial"/>
        </w:rPr>
      </w:pPr>
    </w:p>
    <w:p w14:paraId="22D89B1B" w14:textId="561A10C9" w:rsidR="00293EDB" w:rsidRDefault="00293EDB" w:rsidP="00293EDB">
      <w:r>
        <w:t xml:space="preserve">Es importante tener en cuenta que las proyecciones del marco macroeconómico reflejan un escenario de tendencia inercial que no contempla efectos adicionales por alguna política pública en particular o el efecto puntual de tendencias globales como la relocalización de empresas. Entonces, de manera resumida para el ejercicio fiscal 2025, las expectativas de los principales indicadores macroeconómicos son: </w:t>
      </w:r>
    </w:p>
    <w:p w14:paraId="5C0CE9E4" w14:textId="77777777" w:rsidR="00293EDB" w:rsidRPr="00B1691F" w:rsidRDefault="00293EDB" w:rsidP="00293EDB">
      <w:pPr>
        <w:jc w:val="center"/>
        <w:rPr>
          <w:b/>
          <w:bCs/>
        </w:rPr>
      </w:pPr>
      <w:r w:rsidRPr="00B1691F">
        <w:rPr>
          <w:b/>
          <w:bCs/>
        </w:rPr>
        <w:lastRenderedPageBreak/>
        <w:t>Marco macroeconómico 2024-2025</w:t>
      </w:r>
    </w:p>
    <w:tbl>
      <w:tblPr>
        <w:tblStyle w:val="Tablaconcuadrcula"/>
        <w:tblW w:w="0" w:type="auto"/>
        <w:jc w:val="center"/>
        <w:tblLook w:val="04A0" w:firstRow="1" w:lastRow="0" w:firstColumn="1" w:lastColumn="0" w:noHBand="0" w:noVBand="1"/>
      </w:tblPr>
      <w:tblGrid>
        <w:gridCol w:w="4116"/>
        <w:gridCol w:w="1275"/>
        <w:gridCol w:w="1462"/>
      </w:tblGrid>
      <w:tr w:rsidR="00293EDB" w:rsidRPr="00FC1484" w14:paraId="70131AD5" w14:textId="77777777" w:rsidTr="00A04566">
        <w:trPr>
          <w:jc w:val="center"/>
        </w:trPr>
        <w:tc>
          <w:tcPr>
            <w:tcW w:w="4116" w:type="dxa"/>
            <w:shd w:val="clear" w:color="auto" w:fill="D9D9D9" w:themeFill="background1" w:themeFillShade="D9"/>
            <w:vAlign w:val="center"/>
          </w:tcPr>
          <w:p w14:paraId="7675BE0B" w14:textId="77777777" w:rsidR="00293EDB" w:rsidRPr="00FC1484" w:rsidRDefault="00293EDB" w:rsidP="00A04566">
            <w:pPr>
              <w:jc w:val="center"/>
              <w:rPr>
                <w:rFonts w:cs="Arial"/>
                <w:b/>
                <w:bCs/>
                <w:sz w:val="20"/>
                <w:szCs w:val="20"/>
              </w:rPr>
            </w:pPr>
          </w:p>
        </w:tc>
        <w:tc>
          <w:tcPr>
            <w:tcW w:w="1275" w:type="dxa"/>
            <w:shd w:val="clear" w:color="auto" w:fill="D9D9D9" w:themeFill="background1" w:themeFillShade="D9"/>
            <w:vAlign w:val="center"/>
          </w:tcPr>
          <w:p w14:paraId="1E08B39E" w14:textId="77777777" w:rsidR="00293EDB" w:rsidRPr="00FC1484" w:rsidRDefault="00293EDB" w:rsidP="00A04566">
            <w:pPr>
              <w:jc w:val="center"/>
              <w:rPr>
                <w:rFonts w:cs="Arial"/>
                <w:b/>
                <w:bCs/>
                <w:sz w:val="20"/>
                <w:szCs w:val="20"/>
              </w:rPr>
            </w:pPr>
            <w:r w:rsidRPr="00FC1484">
              <w:rPr>
                <w:rFonts w:cs="Arial"/>
                <w:b/>
                <w:bCs/>
                <w:sz w:val="20"/>
                <w:szCs w:val="20"/>
              </w:rPr>
              <w:t>2024</w:t>
            </w:r>
          </w:p>
        </w:tc>
        <w:tc>
          <w:tcPr>
            <w:tcW w:w="1462" w:type="dxa"/>
            <w:shd w:val="clear" w:color="auto" w:fill="D9D9D9" w:themeFill="background1" w:themeFillShade="D9"/>
            <w:vAlign w:val="center"/>
          </w:tcPr>
          <w:p w14:paraId="4EDF858C" w14:textId="77777777" w:rsidR="00293EDB" w:rsidRPr="00FC1484" w:rsidRDefault="00293EDB" w:rsidP="00A04566">
            <w:pPr>
              <w:jc w:val="center"/>
              <w:rPr>
                <w:rFonts w:cs="Arial"/>
                <w:b/>
                <w:bCs/>
                <w:sz w:val="20"/>
                <w:szCs w:val="20"/>
              </w:rPr>
            </w:pPr>
            <w:r w:rsidRPr="00FC1484">
              <w:rPr>
                <w:rFonts w:cs="Arial"/>
                <w:b/>
                <w:bCs/>
                <w:sz w:val="20"/>
                <w:szCs w:val="20"/>
              </w:rPr>
              <w:t>2025</w:t>
            </w:r>
          </w:p>
        </w:tc>
      </w:tr>
      <w:tr w:rsidR="00293EDB" w:rsidRPr="00FC1484" w14:paraId="592D8838" w14:textId="77777777" w:rsidTr="00A04566">
        <w:trPr>
          <w:jc w:val="center"/>
        </w:trPr>
        <w:tc>
          <w:tcPr>
            <w:tcW w:w="4116" w:type="dxa"/>
            <w:vAlign w:val="center"/>
          </w:tcPr>
          <w:p w14:paraId="27F94874" w14:textId="77777777" w:rsidR="00293EDB" w:rsidRPr="00FC1484" w:rsidRDefault="00293EDB" w:rsidP="00A04566">
            <w:pPr>
              <w:jc w:val="left"/>
              <w:rPr>
                <w:rFonts w:cs="Arial"/>
                <w:sz w:val="20"/>
                <w:szCs w:val="20"/>
              </w:rPr>
            </w:pPr>
            <w:r w:rsidRPr="00FC1484">
              <w:rPr>
                <w:rFonts w:cs="Arial"/>
                <w:sz w:val="20"/>
                <w:szCs w:val="20"/>
              </w:rPr>
              <w:t>Producto Interno Bruto</w:t>
            </w:r>
          </w:p>
        </w:tc>
        <w:tc>
          <w:tcPr>
            <w:tcW w:w="1275" w:type="dxa"/>
            <w:vAlign w:val="center"/>
          </w:tcPr>
          <w:p w14:paraId="215D5359" w14:textId="77777777" w:rsidR="00293EDB" w:rsidRPr="00FC1484" w:rsidRDefault="00293EDB" w:rsidP="00A04566">
            <w:pPr>
              <w:jc w:val="center"/>
              <w:rPr>
                <w:rFonts w:cs="Arial"/>
                <w:b/>
                <w:bCs/>
                <w:sz w:val="20"/>
                <w:szCs w:val="20"/>
              </w:rPr>
            </w:pPr>
          </w:p>
        </w:tc>
        <w:tc>
          <w:tcPr>
            <w:tcW w:w="1462" w:type="dxa"/>
            <w:vAlign w:val="center"/>
          </w:tcPr>
          <w:p w14:paraId="14534292" w14:textId="77777777" w:rsidR="00293EDB" w:rsidRPr="00FC1484" w:rsidRDefault="00293EDB" w:rsidP="00A04566">
            <w:pPr>
              <w:jc w:val="center"/>
              <w:rPr>
                <w:rFonts w:cs="Arial"/>
                <w:b/>
                <w:bCs/>
                <w:sz w:val="20"/>
                <w:szCs w:val="20"/>
              </w:rPr>
            </w:pPr>
          </w:p>
        </w:tc>
      </w:tr>
      <w:tr w:rsidR="00293EDB" w:rsidRPr="00FC1484" w14:paraId="08961979" w14:textId="77777777" w:rsidTr="00A04566">
        <w:trPr>
          <w:jc w:val="center"/>
        </w:trPr>
        <w:tc>
          <w:tcPr>
            <w:tcW w:w="4116" w:type="dxa"/>
            <w:vAlign w:val="center"/>
          </w:tcPr>
          <w:p w14:paraId="42CFBA7D" w14:textId="77777777" w:rsidR="00293EDB" w:rsidRPr="00FC1484" w:rsidRDefault="00293EDB" w:rsidP="00A04566">
            <w:pPr>
              <w:ind w:left="312"/>
              <w:jc w:val="left"/>
              <w:rPr>
                <w:rFonts w:cs="Arial"/>
                <w:sz w:val="20"/>
                <w:szCs w:val="20"/>
              </w:rPr>
            </w:pPr>
            <w:r w:rsidRPr="00FC1484">
              <w:rPr>
                <w:rFonts w:cs="Arial"/>
                <w:sz w:val="20"/>
                <w:szCs w:val="20"/>
              </w:rPr>
              <w:t>Crecimiento % real (rango)</w:t>
            </w:r>
          </w:p>
        </w:tc>
        <w:tc>
          <w:tcPr>
            <w:tcW w:w="1275" w:type="dxa"/>
            <w:vAlign w:val="center"/>
          </w:tcPr>
          <w:p w14:paraId="363227B3" w14:textId="77777777" w:rsidR="00293EDB" w:rsidRPr="00FC1484" w:rsidRDefault="00293EDB" w:rsidP="00A04566">
            <w:pPr>
              <w:jc w:val="center"/>
              <w:rPr>
                <w:rFonts w:cs="Arial"/>
                <w:sz w:val="20"/>
                <w:szCs w:val="20"/>
              </w:rPr>
            </w:pPr>
            <w:r w:rsidRPr="00FC1484">
              <w:rPr>
                <w:rFonts w:cs="Arial"/>
                <w:sz w:val="20"/>
                <w:szCs w:val="20"/>
              </w:rPr>
              <w:t>[2.5, 3.5]</w:t>
            </w:r>
          </w:p>
        </w:tc>
        <w:tc>
          <w:tcPr>
            <w:tcW w:w="1462" w:type="dxa"/>
            <w:vAlign w:val="center"/>
          </w:tcPr>
          <w:p w14:paraId="3D29D325" w14:textId="77777777" w:rsidR="00293EDB" w:rsidRPr="00FC1484" w:rsidRDefault="00293EDB" w:rsidP="00A04566">
            <w:pPr>
              <w:jc w:val="center"/>
              <w:rPr>
                <w:rFonts w:cs="Arial"/>
                <w:sz w:val="20"/>
                <w:szCs w:val="20"/>
              </w:rPr>
            </w:pPr>
            <w:r w:rsidRPr="00FC1484">
              <w:rPr>
                <w:rFonts w:cs="Arial"/>
                <w:sz w:val="20"/>
                <w:szCs w:val="20"/>
              </w:rPr>
              <w:t>[2.0, 3.0]</w:t>
            </w:r>
          </w:p>
        </w:tc>
      </w:tr>
      <w:tr w:rsidR="00293EDB" w:rsidRPr="00FC1484" w14:paraId="7D5969E2" w14:textId="77777777" w:rsidTr="00A04566">
        <w:trPr>
          <w:jc w:val="center"/>
        </w:trPr>
        <w:tc>
          <w:tcPr>
            <w:tcW w:w="4116" w:type="dxa"/>
            <w:vAlign w:val="center"/>
          </w:tcPr>
          <w:p w14:paraId="015BE112" w14:textId="77777777" w:rsidR="00293EDB" w:rsidRPr="00FC1484" w:rsidRDefault="00293EDB" w:rsidP="00A04566">
            <w:pPr>
              <w:jc w:val="left"/>
              <w:rPr>
                <w:rFonts w:cs="Arial"/>
                <w:sz w:val="20"/>
                <w:szCs w:val="20"/>
              </w:rPr>
            </w:pPr>
            <w:r w:rsidRPr="00FC1484">
              <w:rPr>
                <w:rFonts w:cs="Arial"/>
                <w:sz w:val="20"/>
                <w:szCs w:val="20"/>
              </w:rPr>
              <w:t>Inflación (%)</w:t>
            </w:r>
          </w:p>
        </w:tc>
        <w:tc>
          <w:tcPr>
            <w:tcW w:w="1275" w:type="dxa"/>
            <w:vAlign w:val="center"/>
          </w:tcPr>
          <w:p w14:paraId="3CD6262A" w14:textId="77777777" w:rsidR="00293EDB" w:rsidRPr="00FC1484" w:rsidRDefault="00293EDB" w:rsidP="00A04566">
            <w:pPr>
              <w:jc w:val="center"/>
              <w:rPr>
                <w:rFonts w:cs="Arial"/>
                <w:sz w:val="20"/>
                <w:szCs w:val="20"/>
              </w:rPr>
            </w:pPr>
          </w:p>
        </w:tc>
        <w:tc>
          <w:tcPr>
            <w:tcW w:w="1462" w:type="dxa"/>
            <w:vAlign w:val="center"/>
          </w:tcPr>
          <w:p w14:paraId="7E82DCB1" w14:textId="77777777" w:rsidR="00293EDB" w:rsidRPr="00FC1484" w:rsidRDefault="00293EDB" w:rsidP="00A04566">
            <w:pPr>
              <w:jc w:val="center"/>
              <w:rPr>
                <w:rFonts w:cs="Arial"/>
                <w:sz w:val="20"/>
                <w:szCs w:val="20"/>
              </w:rPr>
            </w:pPr>
          </w:p>
        </w:tc>
      </w:tr>
      <w:tr w:rsidR="00293EDB" w:rsidRPr="00FC1484" w14:paraId="10125B79" w14:textId="77777777" w:rsidTr="00A04566">
        <w:trPr>
          <w:jc w:val="center"/>
        </w:trPr>
        <w:tc>
          <w:tcPr>
            <w:tcW w:w="4116" w:type="dxa"/>
            <w:vAlign w:val="center"/>
          </w:tcPr>
          <w:p w14:paraId="6A3FFF68" w14:textId="77777777" w:rsidR="00293EDB" w:rsidRPr="00FC1484" w:rsidRDefault="00293EDB" w:rsidP="00A04566">
            <w:pPr>
              <w:ind w:left="312"/>
              <w:jc w:val="left"/>
              <w:rPr>
                <w:rFonts w:cs="Arial"/>
                <w:sz w:val="20"/>
                <w:szCs w:val="20"/>
              </w:rPr>
            </w:pPr>
            <w:r w:rsidRPr="00FC1484">
              <w:rPr>
                <w:rFonts w:cs="Arial"/>
                <w:sz w:val="20"/>
                <w:szCs w:val="20"/>
              </w:rPr>
              <w:t>Dic. / dic.</w:t>
            </w:r>
          </w:p>
        </w:tc>
        <w:tc>
          <w:tcPr>
            <w:tcW w:w="1275" w:type="dxa"/>
            <w:vAlign w:val="center"/>
          </w:tcPr>
          <w:p w14:paraId="34361FCF" w14:textId="77777777" w:rsidR="00293EDB" w:rsidRPr="00FC1484" w:rsidRDefault="00293EDB" w:rsidP="00A04566">
            <w:pPr>
              <w:jc w:val="center"/>
              <w:rPr>
                <w:rFonts w:cs="Arial"/>
                <w:sz w:val="20"/>
                <w:szCs w:val="20"/>
              </w:rPr>
            </w:pPr>
            <w:r w:rsidRPr="00FC1484">
              <w:rPr>
                <w:rFonts w:cs="Arial"/>
                <w:sz w:val="20"/>
                <w:szCs w:val="20"/>
              </w:rPr>
              <w:t>3.8</w:t>
            </w:r>
          </w:p>
        </w:tc>
        <w:tc>
          <w:tcPr>
            <w:tcW w:w="1462" w:type="dxa"/>
            <w:vAlign w:val="center"/>
          </w:tcPr>
          <w:p w14:paraId="1B6F18AD" w14:textId="77777777" w:rsidR="00293EDB" w:rsidRPr="00FC1484" w:rsidRDefault="00293EDB" w:rsidP="00A04566">
            <w:pPr>
              <w:jc w:val="center"/>
              <w:rPr>
                <w:rFonts w:cs="Arial"/>
                <w:sz w:val="20"/>
                <w:szCs w:val="20"/>
              </w:rPr>
            </w:pPr>
            <w:r w:rsidRPr="00FC1484">
              <w:rPr>
                <w:rFonts w:cs="Arial"/>
                <w:sz w:val="20"/>
                <w:szCs w:val="20"/>
              </w:rPr>
              <w:t>3.3</w:t>
            </w:r>
          </w:p>
        </w:tc>
      </w:tr>
      <w:tr w:rsidR="00293EDB" w:rsidRPr="00FC1484" w14:paraId="331B24F5" w14:textId="77777777" w:rsidTr="00A04566">
        <w:trPr>
          <w:jc w:val="center"/>
        </w:trPr>
        <w:tc>
          <w:tcPr>
            <w:tcW w:w="4116" w:type="dxa"/>
            <w:vAlign w:val="center"/>
          </w:tcPr>
          <w:p w14:paraId="2B4BF465" w14:textId="77777777" w:rsidR="00293EDB" w:rsidRPr="00FC1484" w:rsidRDefault="00293EDB" w:rsidP="00A04566">
            <w:pPr>
              <w:jc w:val="left"/>
              <w:rPr>
                <w:rFonts w:cs="Arial"/>
                <w:sz w:val="20"/>
                <w:szCs w:val="20"/>
              </w:rPr>
            </w:pPr>
            <w:r w:rsidRPr="00FC1484">
              <w:rPr>
                <w:rFonts w:cs="Arial"/>
                <w:sz w:val="20"/>
                <w:szCs w:val="20"/>
              </w:rPr>
              <w:t>Tipo de cambio nominal (pesos por dólar)</w:t>
            </w:r>
          </w:p>
        </w:tc>
        <w:tc>
          <w:tcPr>
            <w:tcW w:w="1275" w:type="dxa"/>
            <w:vAlign w:val="center"/>
          </w:tcPr>
          <w:p w14:paraId="1BEB8C74" w14:textId="77777777" w:rsidR="00293EDB" w:rsidRPr="00FC1484" w:rsidRDefault="00293EDB" w:rsidP="00A04566">
            <w:pPr>
              <w:jc w:val="center"/>
              <w:rPr>
                <w:rFonts w:cs="Arial"/>
                <w:sz w:val="20"/>
                <w:szCs w:val="20"/>
              </w:rPr>
            </w:pPr>
          </w:p>
        </w:tc>
        <w:tc>
          <w:tcPr>
            <w:tcW w:w="1462" w:type="dxa"/>
            <w:vAlign w:val="center"/>
          </w:tcPr>
          <w:p w14:paraId="3677F5BD" w14:textId="77777777" w:rsidR="00293EDB" w:rsidRPr="00FC1484" w:rsidRDefault="00293EDB" w:rsidP="00A04566">
            <w:pPr>
              <w:jc w:val="center"/>
              <w:rPr>
                <w:rFonts w:cs="Arial"/>
                <w:sz w:val="20"/>
                <w:szCs w:val="20"/>
              </w:rPr>
            </w:pPr>
          </w:p>
        </w:tc>
      </w:tr>
      <w:tr w:rsidR="00293EDB" w:rsidRPr="00FC1484" w14:paraId="45330C22" w14:textId="77777777" w:rsidTr="00A04566">
        <w:trPr>
          <w:jc w:val="center"/>
        </w:trPr>
        <w:tc>
          <w:tcPr>
            <w:tcW w:w="4116" w:type="dxa"/>
            <w:vAlign w:val="center"/>
          </w:tcPr>
          <w:p w14:paraId="3365A7EB" w14:textId="77777777" w:rsidR="00293EDB" w:rsidRPr="00FC1484" w:rsidRDefault="00293EDB" w:rsidP="00A04566">
            <w:pPr>
              <w:ind w:left="312"/>
              <w:jc w:val="left"/>
              <w:rPr>
                <w:rFonts w:cs="Arial"/>
                <w:sz w:val="20"/>
                <w:szCs w:val="20"/>
              </w:rPr>
            </w:pPr>
            <w:r w:rsidRPr="00FC1484">
              <w:rPr>
                <w:rFonts w:cs="Arial"/>
                <w:sz w:val="20"/>
                <w:szCs w:val="20"/>
              </w:rPr>
              <w:t>Promedio</w:t>
            </w:r>
          </w:p>
        </w:tc>
        <w:tc>
          <w:tcPr>
            <w:tcW w:w="1275" w:type="dxa"/>
            <w:vAlign w:val="center"/>
          </w:tcPr>
          <w:p w14:paraId="5DE79ED6" w14:textId="77777777" w:rsidR="00293EDB" w:rsidRPr="00FC1484" w:rsidRDefault="00293EDB" w:rsidP="00A04566">
            <w:pPr>
              <w:jc w:val="center"/>
              <w:rPr>
                <w:rFonts w:cs="Arial"/>
                <w:sz w:val="20"/>
                <w:szCs w:val="20"/>
              </w:rPr>
            </w:pPr>
            <w:r w:rsidRPr="00FC1484">
              <w:rPr>
                <w:rFonts w:cs="Arial"/>
                <w:sz w:val="20"/>
                <w:szCs w:val="20"/>
              </w:rPr>
              <w:t>17.6</w:t>
            </w:r>
          </w:p>
        </w:tc>
        <w:tc>
          <w:tcPr>
            <w:tcW w:w="1462" w:type="dxa"/>
            <w:vAlign w:val="center"/>
          </w:tcPr>
          <w:p w14:paraId="19C567FD" w14:textId="77777777" w:rsidR="00293EDB" w:rsidRPr="00FC1484" w:rsidRDefault="00293EDB" w:rsidP="00A04566">
            <w:pPr>
              <w:jc w:val="center"/>
              <w:rPr>
                <w:rFonts w:cs="Arial"/>
                <w:sz w:val="20"/>
                <w:szCs w:val="20"/>
              </w:rPr>
            </w:pPr>
            <w:r w:rsidRPr="00FC1484">
              <w:rPr>
                <w:rFonts w:cs="Arial"/>
                <w:sz w:val="20"/>
                <w:szCs w:val="20"/>
              </w:rPr>
              <w:t>17.9</w:t>
            </w:r>
          </w:p>
        </w:tc>
      </w:tr>
      <w:tr w:rsidR="00293EDB" w:rsidRPr="00FC1484" w14:paraId="78A80CF8" w14:textId="77777777" w:rsidTr="00A04566">
        <w:trPr>
          <w:jc w:val="center"/>
        </w:trPr>
        <w:tc>
          <w:tcPr>
            <w:tcW w:w="4116" w:type="dxa"/>
            <w:vAlign w:val="center"/>
          </w:tcPr>
          <w:p w14:paraId="5265492B" w14:textId="77777777" w:rsidR="00293EDB" w:rsidRPr="00FC1484" w:rsidRDefault="00293EDB" w:rsidP="00A04566">
            <w:pPr>
              <w:rPr>
                <w:rFonts w:cs="Arial"/>
                <w:sz w:val="20"/>
                <w:szCs w:val="20"/>
              </w:rPr>
            </w:pPr>
            <w:r w:rsidRPr="00FC1484">
              <w:rPr>
                <w:rFonts w:cs="Arial"/>
                <w:sz w:val="20"/>
                <w:szCs w:val="20"/>
              </w:rPr>
              <w:t>Tasa de interés (Cetes 28 días, %)</w:t>
            </w:r>
          </w:p>
        </w:tc>
        <w:tc>
          <w:tcPr>
            <w:tcW w:w="1275" w:type="dxa"/>
            <w:vAlign w:val="center"/>
          </w:tcPr>
          <w:p w14:paraId="12B4E824" w14:textId="77777777" w:rsidR="00293EDB" w:rsidRPr="00FC1484" w:rsidRDefault="00293EDB" w:rsidP="00A04566">
            <w:pPr>
              <w:jc w:val="center"/>
              <w:rPr>
                <w:rFonts w:cs="Arial"/>
                <w:sz w:val="20"/>
                <w:szCs w:val="20"/>
              </w:rPr>
            </w:pPr>
          </w:p>
        </w:tc>
        <w:tc>
          <w:tcPr>
            <w:tcW w:w="1462" w:type="dxa"/>
            <w:vAlign w:val="center"/>
          </w:tcPr>
          <w:p w14:paraId="413A67AC" w14:textId="77777777" w:rsidR="00293EDB" w:rsidRPr="00FC1484" w:rsidRDefault="00293EDB" w:rsidP="00A04566">
            <w:pPr>
              <w:jc w:val="center"/>
              <w:rPr>
                <w:rFonts w:cs="Arial"/>
                <w:sz w:val="20"/>
                <w:szCs w:val="20"/>
              </w:rPr>
            </w:pPr>
          </w:p>
        </w:tc>
      </w:tr>
      <w:tr w:rsidR="00293EDB" w:rsidRPr="00FC1484" w14:paraId="2BC67494" w14:textId="77777777" w:rsidTr="00A04566">
        <w:trPr>
          <w:jc w:val="center"/>
        </w:trPr>
        <w:tc>
          <w:tcPr>
            <w:tcW w:w="4116" w:type="dxa"/>
            <w:vAlign w:val="center"/>
          </w:tcPr>
          <w:p w14:paraId="62067DFA" w14:textId="77777777" w:rsidR="00293EDB" w:rsidRPr="00FC1484" w:rsidRDefault="00293EDB" w:rsidP="00A04566">
            <w:pPr>
              <w:ind w:left="312"/>
              <w:rPr>
                <w:rFonts w:cs="Arial"/>
                <w:sz w:val="20"/>
                <w:szCs w:val="20"/>
              </w:rPr>
            </w:pPr>
            <w:r w:rsidRPr="00FC1484">
              <w:rPr>
                <w:rFonts w:cs="Arial"/>
                <w:sz w:val="20"/>
                <w:szCs w:val="20"/>
              </w:rPr>
              <w:t>Nominal promedio</w:t>
            </w:r>
          </w:p>
        </w:tc>
        <w:tc>
          <w:tcPr>
            <w:tcW w:w="1275" w:type="dxa"/>
            <w:vAlign w:val="center"/>
          </w:tcPr>
          <w:p w14:paraId="2E1BD1A3" w14:textId="77777777" w:rsidR="00293EDB" w:rsidRPr="00FC1484" w:rsidRDefault="00293EDB" w:rsidP="00A04566">
            <w:pPr>
              <w:jc w:val="center"/>
              <w:rPr>
                <w:rFonts w:cs="Arial"/>
                <w:sz w:val="20"/>
                <w:szCs w:val="20"/>
              </w:rPr>
            </w:pPr>
            <w:r w:rsidRPr="00FC1484">
              <w:rPr>
                <w:rFonts w:cs="Arial"/>
                <w:sz w:val="20"/>
                <w:szCs w:val="20"/>
              </w:rPr>
              <w:t>10.3</w:t>
            </w:r>
          </w:p>
        </w:tc>
        <w:tc>
          <w:tcPr>
            <w:tcW w:w="1462" w:type="dxa"/>
            <w:vAlign w:val="center"/>
          </w:tcPr>
          <w:p w14:paraId="7C4630AE" w14:textId="77777777" w:rsidR="00293EDB" w:rsidRPr="00FC1484" w:rsidRDefault="00293EDB" w:rsidP="00A04566">
            <w:pPr>
              <w:jc w:val="center"/>
              <w:rPr>
                <w:rFonts w:cs="Arial"/>
                <w:sz w:val="20"/>
                <w:szCs w:val="20"/>
              </w:rPr>
            </w:pPr>
            <w:r w:rsidRPr="00FC1484">
              <w:rPr>
                <w:rFonts w:cs="Arial"/>
                <w:sz w:val="20"/>
                <w:szCs w:val="20"/>
              </w:rPr>
              <w:t>8.1</w:t>
            </w:r>
          </w:p>
        </w:tc>
      </w:tr>
      <w:tr w:rsidR="00293EDB" w:rsidRPr="00FC1484" w14:paraId="316AFB61" w14:textId="77777777" w:rsidTr="00A04566">
        <w:trPr>
          <w:jc w:val="center"/>
        </w:trPr>
        <w:tc>
          <w:tcPr>
            <w:tcW w:w="4116" w:type="dxa"/>
            <w:vAlign w:val="center"/>
          </w:tcPr>
          <w:p w14:paraId="777324DC" w14:textId="77777777" w:rsidR="00293EDB" w:rsidRPr="00FC1484" w:rsidRDefault="00293EDB" w:rsidP="00A04566">
            <w:pPr>
              <w:rPr>
                <w:rFonts w:cs="Arial"/>
                <w:sz w:val="20"/>
                <w:szCs w:val="20"/>
              </w:rPr>
            </w:pPr>
            <w:r w:rsidRPr="00FC1484">
              <w:rPr>
                <w:rFonts w:cs="Arial"/>
                <w:sz w:val="20"/>
                <w:szCs w:val="20"/>
              </w:rPr>
              <w:t>Petróleo (canasta mexicana)</w:t>
            </w:r>
          </w:p>
        </w:tc>
        <w:tc>
          <w:tcPr>
            <w:tcW w:w="1275" w:type="dxa"/>
            <w:vAlign w:val="center"/>
          </w:tcPr>
          <w:p w14:paraId="1759F69F" w14:textId="77777777" w:rsidR="00293EDB" w:rsidRPr="00FC1484" w:rsidRDefault="00293EDB" w:rsidP="00A04566">
            <w:pPr>
              <w:jc w:val="center"/>
              <w:rPr>
                <w:rFonts w:cs="Arial"/>
                <w:sz w:val="20"/>
                <w:szCs w:val="20"/>
              </w:rPr>
            </w:pPr>
          </w:p>
        </w:tc>
        <w:tc>
          <w:tcPr>
            <w:tcW w:w="1462" w:type="dxa"/>
            <w:vAlign w:val="center"/>
          </w:tcPr>
          <w:p w14:paraId="7156FE69" w14:textId="77777777" w:rsidR="00293EDB" w:rsidRPr="00FC1484" w:rsidRDefault="00293EDB" w:rsidP="00A04566">
            <w:pPr>
              <w:jc w:val="center"/>
              <w:rPr>
                <w:rFonts w:cs="Arial"/>
                <w:sz w:val="20"/>
                <w:szCs w:val="20"/>
              </w:rPr>
            </w:pPr>
          </w:p>
        </w:tc>
      </w:tr>
      <w:tr w:rsidR="00293EDB" w:rsidRPr="00FC1484" w14:paraId="74732B2F" w14:textId="77777777" w:rsidTr="00A04566">
        <w:trPr>
          <w:jc w:val="center"/>
        </w:trPr>
        <w:tc>
          <w:tcPr>
            <w:tcW w:w="4116" w:type="dxa"/>
            <w:vAlign w:val="center"/>
          </w:tcPr>
          <w:p w14:paraId="703A8E2E" w14:textId="77777777" w:rsidR="00293EDB" w:rsidRPr="00FC1484" w:rsidRDefault="00293EDB" w:rsidP="00A04566">
            <w:pPr>
              <w:ind w:left="312"/>
              <w:rPr>
                <w:rFonts w:cs="Arial"/>
                <w:sz w:val="20"/>
                <w:szCs w:val="20"/>
              </w:rPr>
            </w:pPr>
            <w:r w:rsidRPr="00FC1484">
              <w:rPr>
                <w:rFonts w:cs="Arial"/>
                <w:sz w:val="20"/>
                <w:szCs w:val="20"/>
              </w:rPr>
              <w:t>Precio promedio (dólares / barril)</w:t>
            </w:r>
          </w:p>
        </w:tc>
        <w:tc>
          <w:tcPr>
            <w:tcW w:w="1275" w:type="dxa"/>
            <w:vAlign w:val="center"/>
          </w:tcPr>
          <w:p w14:paraId="116D61AA" w14:textId="77777777" w:rsidR="00293EDB" w:rsidRPr="00FC1484" w:rsidRDefault="00293EDB" w:rsidP="00A04566">
            <w:pPr>
              <w:jc w:val="center"/>
              <w:rPr>
                <w:rFonts w:cs="Arial"/>
                <w:sz w:val="20"/>
                <w:szCs w:val="20"/>
              </w:rPr>
            </w:pPr>
            <w:r w:rsidRPr="00FC1484">
              <w:rPr>
                <w:rFonts w:cs="Arial"/>
                <w:sz w:val="20"/>
                <w:szCs w:val="20"/>
              </w:rPr>
              <w:t>71.3</w:t>
            </w:r>
          </w:p>
        </w:tc>
        <w:tc>
          <w:tcPr>
            <w:tcW w:w="1462" w:type="dxa"/>
            <w:vAlign w:val="center"/>
          </w:tcPr>
          <w:p w14:paraId="2C48806A" w14:textId="77777777" w:rsidR="00293EDB" w:rsidRPr="00FC1484" w:rsidRDefault="00293EDB" w:rsidP="00A04566">
            <w:pPr>
              <w:jc w:val="center"/>
              <w:rPr>
                <w:rFonts w:cs="Arial"/>
                <w:sz w:val="20"/>
                <w:szCs w:val="20"/>
              </w:rPr>
            </w:pPr>
            <w:r w:rsidRPr="00FC1484">
              <w:rPr>
                <w:rFonts w:cs="Arial"/>
                <w:sz w:val="20"/>
                <w:szCs w:val="20"/>
              </w:rPr>
              <w:t>58.4</w:t>
            </w:r>
          </w:p>
        </w:tc>
      </w:tr>
      <w:tr w:rsidR="00293EDB" w:rsidRPr="00FC1484" w14:paraId="1FB6304A" w14:textId="77777777" w:rsidTr="00A04566">
        <w:trPr>
          <w:jc w:val="center"/>
        </w:trPr>
        <w:tc>
          <w:tcPr>
            <w:tcW w:w="4116" w:type="dxa"/>
            <w:vAlign w:val="center"/>
          </w:tcPr>
          <w:p w14:paraId="014CB1A0" w14:textId="77777777" w:rsidR="00293EDB" w:rsidRPr="00FC1484" w:rsidRDefault="00293EDB" w:rsidP="00A04566">
            <w:pPr>
              <w:rPr>
                <w:rFonts w:cs="Arial"/>
                <w:sz w:val="20"/>
                <w:szCs w:val="20"/>
              </w:rPr>
            </w:pPr>
            <w:r w:rsidRPr="00FC1484">
              <w:rPr>
                <w:rFonts w:cs="Arial"/>
                <w:sz w:val="20"/>
                <w:szCs w:val="20"/>
              </w:rPr>
              <w:t>Gas natural</w:t>
            </w:r>
          </w:p>
        </w:tc>
        <w:tc>
          <w:tcPr>
            <w:tcW w:w="1275" w:type="dxa"/>
            <w:vAlign w:val="center"/>
          </w:tcPr>
          <w:p w14:paraId="7646EADD" w14:textId="77777777" w:rsidR="00293EDB" w:rsidRPr="00FC1484" w:rsidRDefault="00293EDB" w:rsidP="00A04566">
            <w:pPr>
              <w:jc w:val="center"/>
              <w:rPr>
                <w:rFonts w:cs="Arial"/>
                <w:sz w:val="20"/>
                <w:szCs w:val="20"/>
              </w:rPr>
            </w:pPr>
          </w:p>
        </w:tc>
        <w:tc>
          <w:tcPr>
            <w:tcW w:w="1462" w:type="dxa"/>
            <w:vAlign w:val="center"/>
          </w:tcPr>
          <w:p w14:paraId="19AD12C8" w14:textId="77777777" w:rsidR="00293EDB" w:rsidRPr="00FC1484" w:rsidRDefault="00293EDB" w:rsidP="00A04566">
            <w:pPr>
              <w:jc w:val="center"/>
              <w:rPr>
                <w:rFonts w:cs="Arial"/>
                <w:sz w:val="20"/>
                <w:szCs w:val="20"/>
              </w:rPr>
            </w:pPr>
          </w:p>
        </w:tc>
      </w:tr>
      <w:tr w:rsidR="00293EDB" w:rsidRPr="00FC1484" w14:paraId="541C8FAC" w14:textId="77777777" w:rsidTr="00A04566">
        <w:trPr>
          <w:jc w:val="center"/>
        </w:trPr>
        <w:tc>
          <w:tcPr>
            <w:tcW w:w="4116" w:type="dxa"/>
            <w:vAlign w:val="center"/>
          </w:tcPr>
          <w:p w14:paraId="2B67521D" w14:textId="77777777" w:rsidR="00293EDB" w:rsidRPr="00FC1484" w:rsidRDefault="00293EDB" w:rsidP="00A04566">
            <w:pPr>
              <w:ind w:left="312"/>
              <w:rPr>
                <w:rFonts w:cs="Arial"/>
                <w:sz w:val="20"/>
                <w:szCs w:val="20"/>
              </w:rPr>
            </w:pPr>
            <w:r w:rsidRPr="00FC1484">
              <w:rPr>
                <w:rFonts w:cs="Arial"/>
                <w:sz w:val="20"/>
                <w:szCs w:val="20"/>
              </w:rPr>
              <w:t xml:space="preserve">Precio promedio (dólares/ </w:t>
            </w:r>
            <w:proofErr w:type="spellStart"/>
            <w:r w:rsidRPr="00FC1484">
              <w:rPr>
                <w:rFonts w:cs="Arial"/>
                <w:sz w:val="20"/>
                <w:szCs w:val="20"/>
              </w:rPr>
              <w:t>MMBtu</w:t>
            </w:r>
            <w:proofErr w:type="spellEnd"/>
            <w:r w:rsidRPr="00FC1484">
              <w:rPr>
                <w:rFonts w:cs="Arial"/>
                <w:sz w:val="20"/>
                <w:szCs w:val="20"/>
              </w:rPr>
              <w:t>)</w:t>
            </w:r>
          </w:p>
        </w:tc>
        <w:tc>
          <w:tcPr>
            <w:tcW w:w="1275" w:type="dxa"/>
            <w:vAlign w:val="center"/>
          </w:tcPr>
          <w:p w14:paraId="35C5E419" w14:textId="77777777" w:rsidR="00293EDB" w:rsidRPr="00FC1484" w:rsidRDefault="00293EDB" w:rsidP="00A04566">
            <w:pPr>
              <w:jc w:val="center"/>
              <w:rPr>
                <w:rFonts w:cs="Arial"/>
                <w:sz w:val="20"/>
                <w:szCs w:val="20"/>
              </w:rPr>
            </w:pPr>
            <w:r w:rsidRPr="00FC1484">
              <w:rPr>
                <w:rFonts w:cs="Arial"/>
                <w:sz w:val="20"/>
                <w:szCs w:val="20"/>
              </w:rPr>
              <w:t>2.4</w:t>
            </w:r>
          </w:p>
        </w:tc>
        <w:tc>
          <w:tcPr>
            <w:tcW w:w="1462" w:type="dxa"/>
            <w:vAlign w:val="center"/>
          </w:tcPr>
          <w:p w14:paraId="03CC6A74" w14:textId="77777777" w:rsidR="00293EDB" w:rsidRPr="00FC1484" w:rsidRDefault="00293EDB" w:rsidP="00A04566">
            <w:pPr>
              <w:jc w:val="center"/>
              <w:rPr>
                <w:rFonts w:cs="Arial"/>
                <w:sz w:val="20"/>
                <w:szCs w:val="20"/>
              </w:rPr>
            </w:pPr>
            <w:r w:rsidRPr="00FC1484">
              <w:rPr>
                <w:rFonts w:cs="Arial"/>
                <w:sz w:val="20"/>
                <w:szCs w:val="20"/>
              </w:rPr>
              <w:t>3.5</w:t>
            </w:r>
          </w:p>
        </w:tc>
      </w:tr>
    </w:tbl>
    <w:p w14:paraId="66C0A7C7" w14:textId="372BAEE1" w:rsidR="00293EDB" w:rsidRPr="006B5BC8" w:rsidRDefault="00293EDB" w:rsidP="00293EDB">
      <w:pPr>
        <w:ind w:left="993"/>
        <w:rPr>
          <w:sz w:val="16"/>
          <w:szCs w:val="16"/>
        </w:rPr>
      </w:pPr>
      <w:r w:rsidRPr="00475887">
        <w:rPr>
          <w:b/>
          <w:bCs/>
          <w:sz w:val="16"/>
          <w:szCs w:val="16"/>
        </w:rPr>
        <w:t>Fuente</w:t>
      </w:r>
      <w:r w:rsidRPr="006B5BC8">
        <w:rPr>
          <w:sz w:val="16"/>
          <w:szCs w:val="16"/>
        </w:rPr>
        <w:t xml:space="preserve">: </w:t>
      </w:r>
      <w:r>
        <w:rPr>
          <w:sz w:val="16"/>
          <w:szCs w:val="16"/>
        </w:rPr>
        <w:t xml:space="preserve">Secretaría de Hacienda y Crédito Pública. </w:t>
      </w:r>
      <w:r w:rsidR="00FC1484">
        <w:rPr>
          <w:sz w:val="16"/>
          <w:szCs w:val="16"/>
        </w:rPr>
        <w:t xml:space="preserve">Pre-Criterios </w:t>
      </w:r>
      <w:r>
        <w:rPr>
          <w:sz w:val="16"/>
          <w:szCs w:val="16"/>
        </w:rPr>
        <w:t>2025.</w:t>
      </w:r>
    </w:p>
    <w:p w14:paraId="07F16586" w14:textId="77777777" w:rsidR="00293EDB" w:rsidRDefault="00293EDB" w:rsidP="00293EDB">
      <w:pPr>
        <w:rPr>
          <w:rFonts w:cs="Arial"/>
        </w:rPr>
      </w:pPr>
    </w:p>
    <w:p w14:paraId="52D06C31" w14:textId="3A37EF20" w:rsidR="00293EDB" w:rsidRDefault="00293EDB" w:rsidP="00293EDB">
      <w:pPr>
        <w:rPr>
          <w:rFonts w:cs="Arial"/>
        </w:rPr>
      </w:pPr>
      <w:r>
        <w:rPr>
          <w:rFonts w:cs="Arial"/>
          <w:b/>
          <w:bCs/>
        </w:rPr>
        <w:t xml:space="preserve">Sensibilidad de las finanzas públicas. </w:t>
      </w:r>
      <w:r>
        <w:rPr>
          <w:rFonts w:cs="Arial"/>
        </w:rPr>
        <w:t xml:space="preserve">Los cambios en las principales variables macroeconómicas pueden presentar efectos sobre las estimaciones de las finanzas públicas para el año fiscal del 2025. </w:t>
      </w:r>
    </w:p>
    <w:p w14:paraId="0EDD6EE0" w14:textId="77777777" w:rsidR="00702C1C" w:rsidRDefault="00702C1C" w:rsidP="00293EDB">
      <w:pPr>
        <w:rPr>
          <w:rFonts w:cs="Arial"/>
        </w:rPr>
      </w:pPr>
    </w:p>
    <w:p w14:paraId="20D37B94" w14:textId="5FF34F74" w:rsidR="00293EDB" w:rsidRDefault="00293EDB" w:rsidP="00293EDB">
      <w:pPr>
        <w:pStyle w:val="Prrafodelista"/>
        <w:numPr>
          <w:ilvl w:val="0"/>
          <w:numId w:val="32"/>
        </w:numPr>
        <w:rPr>
          <w:rFonts w:cs="Arial"/>
        </w:rPr>
      </w:pPr>
      <w:r>
        <w:rPr>
          <w:rFonts w:cs="Arial"/>
          <w:i/>
          <w:iCs/>
        </w:rPr>
        <w:t>Crecimiento real de la economía</w:t>
      </w:r>
      <w:r>
        <w:rPr>
          <w:rFonts w:cs="Arial"/>
        </w:rPr>
        <w:t xml:space="preserve">: </w:t>
      </w:r>
      <w:r w:rsidRPr="007B7992">
        <w:rPr>
          <w:rFonts w:cs="Arial"/>
        </w:rPr>
        <w:t>Una mayor tasa de crecimiento real de la</w:t>
      </w:r>
      <w:r>
        <w:rPr>
          <w:rFonts w:cs="Arial"/>
        </w:rPr>
        <w:t xml:space="preserve"> </w:t>
      </w:r>
      <w:r w:rsidRPr="007B7992">
        <w:rPr>
          <w:rFonts w:cs="Arial"/>
        </w:rPr>
        <w:t>economía en un punto porcentual implica una variación en los ingresos tributarios no petroleros de 53 mil millones de pesos.</w:t>
      </w:r>
    </w:p>
    <w:p w14:paraId="143C0B4E" w14:textId="77777777" w:rsidR="00702C1C" w:rsidRDefault="00702C1C" w:rsidP="00702C1C">
      <w:pPr>
        <w:pStyle w:val="Prrafodelista"/>
        <w:rPr>
          <w:rFonts w:cs="Arial"/>
        </w:rPr>
      </w:pPr>
    </w:p>
    <w:p w14:paraId="6C38A631" w14:textId="0C2F2ECB" w:rsidR="00293EDB" w:rsidRDefault="00293EDB" w:rsidP="00293EDB">
      <w:pPr>
        <w:pStyle w:val="Prrafodelista"/>
        <w:numPr>
          <w:ilvl w:val="0"/>
          <w:numId w:val="32"/>
        </w:numPr>
        <w:rPr>
          <w:rFonts w:cs="Arial"/>
        </w:rPr>
      </w:pPr>
      <w:r>
        <w:rPr>
          <w:rFonts w:cs="Arial"/>
          <w:i/>
          <w:iCs/>
        </w:rPr>
        <w:t>Tasa de interés</w:t>
      </w:r>
      <w:r w:rsidRPr="007B7992">
        <w:rPr>
          <w:rFonts w:cs="Arial"/>
        </w:rPr>
        <w:t>:</w:t>
      </w:r>
      <w:r>
        <w:rPr>
          <w:rFonts w:cs="Arial"/>
        </w:rPr>
        <w:t xml:space="preserve"> U</w:t>
      </w:r>
      <w:r w:rsidRPr="007B7992">
        <w:rPr>
          <w:rFonts w:cs="Arial"/>
        </w:rPr>
        <w:t>na variación de 100 p</w:t>
      </w:r>
      <w:r>
        <w:rPr>
          <w:rFonts w:cs="Arial"/>
        </w:rPr>
        <w:t xml:space="preserve">untos </w:t>
      </w:r>
      <w:r w:rsidRPr="007B7992">
        <w:rPr>
          <w:rFonts w:cs="Arial"/>
        </w:rPr>
        <w:t>b</w:t>
      </w:r>
      <w:r>
        <w:rPr>
          <w:rFonts w:cs="Arial"/>
        </w:rPr>
        <w:t>ase</w:t>
      </w:r>
      <w:r w:rsidRPr="007B7992">
        <w:rPr>
          <w:rFonts w:cs="Arial"/>
        </w:rPr>
        <w:t xml:space="preserve"> de la tasa de interés nominal sobre el costo financiero del Sector Público (deuda tradicional y componente real de la deuda del IPAB) es de 30 mil millones de pesos.</w:t>
      </w:r>
    </w:p>
    <w:p w14:paraId="008FD99F" w14:textId="77777777" w:rsidR="00702C1C" w:rsidRPr="00702C1C" w:rsidRDefault="00702C1C" w:rsidP="00702C1C">
      <w:pPr>
        <w:pStyle w:val="Prrafodelista"/>
        <w:rPr>
          <w:rFonts w:cs="Arial"/>
        </w:rPr>
      </w:pPr>
    </w:p>
    <w:p w14:paraId="544CA64D" w14:textId="5E8A73F8" w:rsidR="00293EDB" w:rsidRDefault="00293EDB" w:rsidP="00293EDB">
      <w:pPr>
        <w:pStyle w:val="Prrafodelista"/>
        <w:numPr>
          <w:ilvl w:val="0"/>
          <w:numId w:val="32"/>
        </w:numPr>
        <w:rPr>
          <w:rFonts w:cs="Arial"/>
        </w:rPr>
      </w:pPr>
      <w:r>
        <w:rPr>
          <w:rFonts w:cs="Arial"/>
          <w:i/>
          <w:iCs/>
        </w:rPr>
        <w:t>Inflación</w:t>
      </w:r>
      <w:r w:rsidRPr="007B7992">
        <w:rPr>
          <w:rFonts w:cs="Arial"/>
        </w:rPr>
        <w:t>:</w:t>
      </w:r>
      <w:r>
        <w:rPr>
          <w:rFonts w:cs="Arial"/>
        </w:rPr>
        <w:t xml:space="preserve"> </w:t>
      </w:r>
      <w:r w:rsidRPr="007B7992">
        <w:rPr>
          <w:rFonts w:cs="Arial"/>
        </w:rPr>
        <w:t xml:space="preserve">El aumento de una variación de 100 pb de inflación sobre el costo financiero del sector público (costo de los </w:t>
      </w:r>
      <w:proofErr w:type="spellStart"/>
      <w:r w:rsidRPr="007B7992">
        <w:rPr>
          <w:rFonts w:cs="Arial"/>
        </w:rPr>
        <w:t>Udibonos</w:t>
      </w:r>
      <w:proofErr w:type="spellEnd"/>
      <w:r w:rsidRPr="007B7992">
        <w:rPr>
          <w:rFonts w:cs="Arial"/>
        </w:rPr>
        <w:t xml:space="preserve"> y deuda en </w:t>
      </w:r>
      <w:proofErr w:type="spellStart"/>
      <w:r w:rsidRPr="007B7992">
        <w:rPr>
          <w:rFonts w:cs="Arial"/>
        </w:rPr>
        <w:t>Udis</w:t>
      </w:r>
      <w:proofErr w:type="spellEnd"/>
      <w:r w:rsidRPr="007B7992">
        <w:rPr>
          <w:rFonts w:cs="Arial"/>
        </w:rPr>
        <w:t>) es de 2 mil millones de pesos.</w:t>
      </w:r>
      <w:r>
        <w:rPr>
          <w:rFonts w:cs="Arial"/>
        </w:rPr>
        <w:t xml:space="preserve"> </w:t>
      </w:r>
    </w:p>
    <w:p w14:paraId="70C76818" w14:textId="77777777" w:rsidR="00702C1C" w:rsidRPr="00702C1C" w:rsidRDefault="00702C1C" w:rsidP="00702C1C">
      <w:pPr>
        <w:pStyle w:val="Prrafodelista"/>
        <w:rPr>
          <w:rFonts w:cs="Arial"/>
        </w:rPr>
      </w:pPr>
    </w:p>
    <w:p w14:paraId="1B94C598" w14:textId="299C6B26" w:rsidR="00293EDB" w:rsidRDefault="00293EDB" w:rsidP="00293EDB">
      <w:pPr>
        <w:pStyle w:val="Prrafodelista"/>
        <w:numPr>
          <w:ilvl w:val="0"/>
          <w:numId w:val="32"/>
        </w:numPr>
        <w:rPr>
          <w:rFonts w:cs="Arial"/>
        </w:rPr>
      </w:pPr>
      <w:r w:rsidRPr="001D02D4">
        <w:rPr>
          <w:rFonts w:cs="Arial"/>
          <w:i/>
          <w:iCs/>
        </w:rPr>
        <w:t>Tipo de cambio</w:t>
      </w:r>
      <w:r w:rsidRPr="001D02D4">
        <w:rPr>
          <w:rFonts w:cs="Arial"/>
        </w:rPr>
        <w:t>: El efecto neto sobre el balance público derivado de</w:t>
      </w:r>
      <w:r>
        <w:rPr>
          <w:rFonts w:cs="Arial"/>
        </w:rPr>
        <w:t xml:space="preserve"> u</w:t>
      </w:r>
      <w:r w:rsidRPr="001D02D4">
        <w:rPr>
          <w:rFonts w:cs="Arial"/>
        </w:rPr>
        <w:t>na apreciación en el tipo de cambio de un peso es de una pérdida de 35 mil millones de pesos, considerando el efecto neto de la pérdida de ingresos petroleros y el ahorro en el costo financiero del sector público.</w:t>
      </w:r>
    </w:p>
    <w:p w14:paraId="429D4554" w14:textId="77777777" w:rsidR="00702C1C" w:rsidRPr="00702C1C" w:rsidRDefault="00702C1C" w:rsidP="00702C1C">
      <w:pPr>
        <w:pStyle w:val="Prrafodelista"/>
        <w:rPr>
          <w:rFonts w:cs="Arial"/>
        </w:rPr>
      </w:pPr>
    </w:p>
    <w:p w14:paraId="356D2818" w14:textId="2CF15D83" w:rsidR="00293EDB" w:rsidRDefault="00293EDB" w:rsidP="00293EDB">
      <w:pPr>
        <w:pStyle w:val="Prrafodelista"/>
        <w:numPr>
          <w:ilvl w:val="0"/>
          <w:numId w:val="32"/>
        </w:numPr>
        <w:rPr>
          <w:rFonts w:cs="Arial"/>
        </w:rPr>
      </w:pPr>
      <w:r w:rsidRPr="007B7992">
        <w:rPr>
          <w:rFonts w:cs="Arial"/>
          <w:i/>
          <w:iCs/>
        </w:rPr>
        <w:t>Precio del petróleo</w:t>
      </w:r>
      <w:r>
        <w:rPr>
          <w:rFonts w:cs="Arial"/>
        </w:rPr>
        <w:t xml:space="preserve">: </w:t>
      </w:r>
      <w:r w:rsidRPr="007B7992">
        <w:rPr>
          <w:rFonts w:cs="Arial"/>
        </w:rPr>
        <w:t>El efecto neto de la variación en un dólar en el promedio anual del</w:t>
      </w:r>
      <w:r>
        <w:rPr>
          <w:rFonts w:cs="Arial"/>
        </w:rPr>
        <w:t xml:space="preserve"> </w:t>
      </w:r>
      <w:r w:rsidRPr="007B7992">
        <w:rPr>
          <w:rFonts w:cs="Arial"/>
        </w:rPr>
        <w:t>precio del petróleo sobre los ingresos petroleros del sector público es de 12 mil millones de pesos.</w:t>
      </w:r>
      <w:r>
        <w:rPr>
          <w:rFonts w:cs="Arial"/>
        </w:rPr>
        <w:t xml:space="preserve"> </w:t>
      </w:r>
    </w:p>
    <w:p w14:paraId="14FFD216" w14:textId="26798015" w:rsidR="006B5BC8" w:rsidRDefault="006B5BC8" w:rsidP="003D40E2">
      <w:pPr>
        <w:rPr>
          <w:rFonts w:cs="Arial"/>
        </w:rPr>
      </w:pPr>
    </w:p>
    <w:p w14:paraId="1E3373EE" w14:textId="77777777" w:rsidR="00702C1C" w:rsidRDefault="00702C1C" w:rsidP="003D40E2">
      <w:pPr>
        <w:rPr>
          <w:rFonts w:cs="Arial"/>
        </w:rPr>
      </w:pPr>
    </w:p>
    <w:p w14:paraId="41FEB21A" w14:textId="3EFD9C3A" w:rsidR="00630C33" w:rsidRPr="00516AFF" w:rsidRDefault="00630C33" w:rsidP="00630C33">
      <w:pPr>
        <w:pStyle w:val="Ttulo2"/>
        <w:rPr>
          <w:rFonts w:cs="Arial"/>
        </w:rPr>
      </w:pPr>
      <w:r w:rsidRPr="00516AFF">
        <w:rPr>
          <w:rFonts w:cs="Arial"/>
        </w:rPr>
        <w:lastRenderedPageBreak/>
        <w:t>1.I</w:t>
      </w:r>
      <w:r>
        <w:rPr>
          <w:rFonts w:cs="Arial"/>
        </w:rPr>
        <w:t>II</w:t>
      </w:r>
      <w:r w:rsidRPr="00516AFF">
        <w:rPr>
          <w:rFonts w:cs="Arial"/>
        </w:rPr>
        <w:t xml:space="preserve"> Economía </w:t>
      </w:r>
      <w:r>
        <w:rPr>
          <w:rFonts w:cs="Arial"/>
        </w:rPr>
        <w:t>Regional</w:t>
      </w:r>
    </w:p>
    <w:p w14:paraId="08886D5E" w14:textId="225F25AE" w:rsidR="00630C33" w:rsidRDefault="00630C33" w:rsidP="003D40E2">
      <w:pPr>
        <w:rPr>
          <w:rFonts w:cs="Arial"/>
        </w:rPr>
      </w:pPr>
    </w:p>
    <w:p w14:paraId="6E2E3778" w14:textId="2D5B4C83" w:rsidR="003559AA" w:rsidRDefault="003559AA" w:rsidP="003559AA">
      <w:pPr>
        <w:rPr>
          <w:rFonts w:cs="Arial"/>
        </w:rPr>
      </w:pPr>
      <w:r w:rsidRPr="0044252A">
        <w:rPr>
          <w:rFonts w:cs="Arial"/>
          <w:b/>
          <w:bCs/>
        </w:rPr>
        <w:t xml:space="preserve">Actividad </w:t>
      </w:r>
      <w:r w:rsidR="004F3F19" w:rsidRPr="0044252A">
        <w:rPr>
          <w:rFonts w:cs="Arial"/>
          <w:b/>
          <w:bCs/>
        </w:rPr>
        <w:t>Económica Regional</w:t>
      </w:r>
      <w:r>
        <w:rPr>
          <w:rFonts w:cs="Arial"/>
        </w:rPr>
        <w:t xml:space="preserve">. De acuerdo con Banco de México (BANXICO) en su reporte sobre las economías regionales de abril-junio (segundo trimestre) de 2024, durante el segundo trimestre la actividad económica de México ha mostrado debilitamiento principalmente por la reducción de la actividad industrial y los servicios, así como la contracción, en algunos meses, de las actividades primarias. Durante ese mismo lapso, el Producto Interno Bruto (PIB) creció a una tasa del 0.16 por ciento lo cuál fue el reflejo del decrecimiento de las actividades secundarias, que si bien crecieron un 0.26 por ciento para este segundo trimestre, no fue suficiente para contrarrestar las caídas de los dos trimestres anteriores. De igual manera, las actividades terciarias mostraron una disminución respecto a los primeros tres trimestres del 2023 al crecer para este segundo trimestre de 2024 un 0.14 por ciento; por otro lado, las actividades primarias decrecieron un 0.24 por ciento respecto al primer trimestre de año en turno.     </w:t>
      </w:r>
    </w:p>
    <w:p w14:paraId="7E12E3D6" w14:textId="77777777" w:rsidR="003559AA" w:rsidRDefault="003559AA" w:rsidP="003559AA">
      <w:pPr>
        <w:rPr>
          <w:rFonts w:cs="Arial"/>
        </w:rPr>
      </w:pPr>
    </w:p>
    <w:p w14:paraId="35BB82A7" w14:textId="29852145" w:rsidR="003559AA" w:rsidRPr="0099354A" w:rsidRDefault="003559AA" w:rsidP="003559AA">
      <w:pPr>
        <w:rPr>
          <w:rFonts w:cs="Arial"/>
        </w:rPr>
      </w:pPr>
      <w:r w:rsidRPr="0099354A">
        <w:rPr>
          <w:rFonts w:cs="Arial"/>
          <w:b/>
          <w:bCs/>
        </w:rPr>
        <w:t xml:space="preserve">Indicador de </w:t>
      </w:r>
      <w:r w:rsidR="004F3F19" w:rsidRPr="0099354A">
        <w:rPr>
          <w:rFonts w:cs="Arial"/>
          <w:b/>
          <w:bCs/>
        </w:rPr>
        <w:t>Actividad Económica</w:t>
      </w:r>
      <w:r w:rsidRPr="0099354A">
        <w:rPr>
          <w:rFonts w:cs="Arial"/>
        </w:rPr>
        <w:t xml:space="preserve">. Para las proyecciones del segundo trimestre 2024, BANXICO estima que la actividad económica continue debilitada en todas las regiones. De acuerdo con las proyecciones del Indicador de Actividad Económica, se espera que para el segundo trimestre del 2024 haya un retroceso en la variación de éste indicador en las regiones del </w:t>
      </w:r>
      <w:r w:rsidR="002B14C4" w:rsidRPr="0099354A">
        <w:rPr>
          <w:rFonts w:cs="Arial"/>
          <w:b/>
          <w:bCs/>
        </w:rPr>
        <w:t>Centro Norte</w:t>
      </w:r>
      <w:r w:rsidR="002B14C4" w:rsidRPr="0099354A">
        <w:rPr>
          <w:rFonts w:cs="Arial"/>
        </w:rPr>
        <w:t xml:space="preserve"> </w:t>
      </w:r>
      <w:r w:rsidR="004F3F19" w:rsidRPr="0099354A">
        <w:rPr>
          <w:rFonts w:cs="Arial"/>
        </w:rPr>
        <w:t>(</w:t>
      </w:r>
      <w:r w:rsidRPr="0099354A">
        <w:rPr>
          <w:rFonts w:cs="Arial"/>
        </w:rPr>
        <w:t>Aguascalientes, Baja California Sur, Colima, Durango, Jalisco, Michoacán, Nayarit, San Luis Potosí, Sinaloa y Zacatecas</w:t>
      </w:r>
      <w:r w:rsidR="004F3F19" w:rsidRPr="0099354A">
        <w:rPr>
          <w:rFonts w:cs="Arial"/>
        </w:rPr>
        <w:t>)</w:t>
      </w:r>
      <w:r w:rsidRPr="0099354A">
        <w:rPr>
          <w:rFonts w:cs="Arial"/>
        </w:rPr>
        <w:t xml:space="preserve"> de una variación del 0.7 en el primer trimestre a 0.3 en el segundo trimestre, </w:t>
      </w:r>
      <w:r w:rsidR="002B14C4" w:rsidRPr="0099354A">
        <w:rPr>
          <w:rFonts w:cs="Arial"/>
          <w:b/>
          <w:bCs/>
        </w:rPr>
        <w:t>Centro</w:t>
      </w:r>
      <w:r w:rsidR="002B14C4" w:rsidRPr="0099354A">
        <w:rPr>
          <w:rFonts w:cs="Arial"/>
        </w:rPr>
        <w:t xml:space="preserve"> </w:t>
      </w:r>
      <w:r w:rsidR="004F3F19" w:rsidRPr="0099354A">
        <w:rPr>
          <w:rFonts w:cs="Arial"/>
        </w:rPr>
        <w:t>(</w:t>
      </w:r>
      <w:r w:rsidRPr="0099354A">
        <w:rPr>
          <w:rFonts w:cs="Arial"/>
        </w:rPr>
        <w:t>Ciudad de México, Estado de México, Guanajuato, Hidalgo, Morelos, Puebla, Querétaro y Tlaxcala</w:t>
      </w:r>
      <w:r w:rsidR="004F3F19" w:rsidRPr="0099354A">
        <w:rPr>
          <w:rFonts w:cs="Arial"/>
        </w:rPr>
        <w:t>)</w:t>
      </w:r>
      <w:r w:rsidRPr="0099354A">
        <w:rPr>
          <w:rFonts w:cs="Arial"/>
        </w:rPr>
        <w:t xml:space="preserve"> de una variación del 0.5 en el primer trimestre a 0.2 en el segundo trimestre</w:t>
      </w:r>
      <w:r w:rsidR="0099354A">
        <w:rPr>
          <w:rFonts w:cs="Arial"/>
        </w:rPr>
        <w:t>,</w:t>
      </w:r>
      <w:r w:rsidRPr="0099354A">
        <w:rPr>
          <w:rFonts w:cs="Arial"/>
        </w:rPr>
        <w:t xml:space="preserve"> y </w:t>
      </w:r>
      <w:r w:rsidR="002B14C4" w:rsidRPr="0099354A">
        <w:rPr>
          <w:rFonts w:cs="Arial"/>
          <w:b/>
          <w:bCs/>
        </w:rPr>
        <w:t>Sur</w:t>
      </w:r>
      <w:r w:rsidR="002B14C4" w:rsidRPr="0099354A">
        <w:rPr>
          <w:rFonts w:cs="Arial"/>
        </w:rPr>
        <w:t xml:space="preserve"> </w:t>
      </w:r>
      <w:r w:rsidR="004F3F19" w:rsidRPr="0099354A">
        <w:rPr>
          <w:rFonts w:cs="Arial"/>
        </w:rPr>
        <w:t>(</w:t>
      </w:r>
      <w:r w:rsidRPr="0099354A">
        <w:rPr>
          <w:rFonts w:cs="Arial"/>
        </w:rPr>
        <w:t>Campeche, Chiapas, Guerrero, Oaxaca, Quintana Roo, Tabasco, Veracruz y Yucatán</w:t>
      </w:r>
      <w:r w:rsidR="004F3F19" w:rsidRPr="0099354A">
        <w:rPr>
          <w:rFonts w:cs="Arial"/>
        </w:rPr>
        <w:t>)</w:t>
      </w:r>
      <w:r w:rsidRPr="0099354A">
        <w:rPr>
          <w:rFonts w:cs="Arial"/>
        </w:rPr>
        <w:t xml:space="preserve"> de una variación del 0.8 en el primer trimestre a 0.1 en el segundo trimestre. Por otro lado, la única región que en teoría mostrarían un avance sería la región del </w:t>
      </w:r>
      <w:r w:rsidRPr="0099354A">
        <w:rPr>
          <w:rFonts w:cs="Arial"/>
          <w:b/>
          <w:bCs/>
        </w:rPr>
        <w:t>Norte</w:t>
      </w:r>
      <w:r w:rsidRPr="0099354A">
        <w:rPr>
          <w:rFonts w:cs="Arial"/>
        </w:rPr>
        <w:t xml:space="preserve"> </w:t>
      </w:r>
      <w:r w:rsidR="004F3F19" w:rsidRPr="0099354A">
        <w:rPr>
          <w:rFonts w:cs="Arial"/>
        </w:rPr>
        <w:t>(</w:t>
      </w:r>
      <w:r w:rsidRPr="0099354A">
        <w:rPr>
          <w:rFonts w:cs="Arial"/>
        </w:rPr>
        <w:t>Baja California, Chihuahua, Coahuila, Nuevo León, Sonora y Tamaulipas</w:t>
      </w:r>
      <w:r w:rsidR="004F3F19" w:rsidRPr="0099354A">
        <w:rPr>
          <w:rFonts w:cs="Arial"/>
        </w:rPr>
        <w:t>)</w:t>
      </w:r>
      <w:r w:rsidRPr="0099354A">
        <w:rPr>
          <w:rFonts w:cs="Arial"/>
        </w:rPr>
        <w:t xml:space="preserve">, cuyo índice se espera que muestre una variación en el segundo trimestre de un 0.1 respecto al primer trimestre del 2024, en el cual dicho índice mostró una variación negativa del -0.4.    </w:t>
      </w:r>
    </w:p>
    <w:p w14:paraId="75900885" w14:textId="77777777" w:rsidR="003559AA" w:rsidRDefault="003559AA" w:rsidP="003559AA">
      <w:pPr>
        <w:rPr>
          <w:rFonts w:cs="Arial"/>
        </w:rPr>
      </w:pPr>
    </w:p>
    <w:p w14:paraId="31A3DDF0" w14:textId="1E09D57D" w:rsidR="003559AA" w:rsidRPr="0099354A" w:rsidRDefault="003559AA" w:rsidP="003559AA">
      <w:pPr>
        <w:rPr>
          <w:rFonts w:cs="Arial"/>
        </w:rPr>
      </w:pPr>
      <w:r w:rsidRPr="0099354A">
        <w:rPr>
          <w:rFonts w:cs="Arial"/>
        </w:rPr>
        <w:t xml:space="preserve">Para las regiones del </w:t>
      </w:r>
      <w:r w:rsidR="002B14C4" w:rsidRPr="0099354A">
        <w:rPr>
          <w:rFonts w:cs="Arial"/>
          <w:b/>
          <w:bCs/>
        </w:rPr>
        <w:t>Norte</w:t>
      </w:r>
      <w:r w:rsidRPr="0099354A">
        <w:rPr>
          <w:rFonts w:cs="Arial"/>
        </w:rPr>
        <w:t xml:space="preserve"> y </w:t>
      </w:r>
      <w:r w:rsidR="002B14C4" w:rsidRPr="0099354A">
        <w:rPr>
          <w:rFonts w:cs="Arial"/>
          <w:b/>
          <w:bCs/>
        </w:rPr>
        <w:t>Centro Norte</w:t>
      </w:r>
      <w:r w:rsidRPr="0099354A">
        <w:rPr>
          <w:rFonts w:cs="Arial"/>
        </w:rPr>
        <w:t xml:space="preserve">, la razón del retroceso se debió principalmente por la contracción de la producción manufacturera, así como también por el retroceso en la producción agropecuaria en el caso exclusivo de la región del centro. </w:t>
      </w:r>
    </w:p>
    <w:p w14:paraId="76861155" w14:textId="77777777" w:rsidR="003559AA" w:rsidRDefault="003559AA" w:rsidP="003559AA">
      <w:pPr>
        <w:rPr>
          <w:rFonts w:cs="Arial"/>
        </w:rPr>
      </w:pPr>
    </w:p>
    <w:p w14:paraId="1053DF38" w14:textId="5B4E6720" w:rsidR="003559AA" w:rsidRPr="0099354A" w:rsidRDefault="003559AA" w:rsidP="003559AA">
      <w:pPr>
        <w:rPr>
          <w:rFonts w:cs="Arial"/>
        </w:rPr>
      </w:pPr>
      <w:r w:rsidRPr="0099354A">
        <w:rPr>
          <w:rFonts w:cs="Arial"/>
        </w:rPr>
        <w:t xml:space="preserve">En el </w:t>
      </w:r>
      <w:r w:rsidR="002B14C4" w:rsidRPr="0099354A">
        <w:rPr>
          <w:rFonts w:cs="Arial"/>
          <w:b/>
          <w:bCs/>
        </w:rPr>
        <w:t>Norte</w:t>
      </w:r>
      <w:r w:rsidR="002B14C4" w:rsidRPr="0099354A">
        <w:rPr>
          <w:rFonts w:cs="Arial"/>
        </w:rPr>
        <w:t xml:space="preserve"> </w:t>
      </w:r>
      <w:r w:rsidRPr="0099354A">
        <w:rPr>
          <w:rFonts w:cs="Arial"/>
        </w:rPr>
        <w:t xml:space="preserve">y </w:t>
      </w:r>
      <w:r w:rsidR="002B14C4" w:rsidRPr="0099354A">
        <w:rPr>
          <w:rFonts w:cs="Arial"/>
          <w:b/>
          <w:bCs/>
        </w:rPr>
        <w:t>Sur</w:t>
      </w:r>
      <w:r w:rsidRPr="0099354A">
        <w:rPr>
          <w:rFonts w:cs="Arial"/>
        </w:rPr>
        <w:t xml:space="preserve">, la disminución en la actividad de la construcción ha hecho que las proyecciones en éstas dos regiones respondan con perspectivas a la baja; aunado lo anterior, la caída en la actividad minera de la región sur y el estancamiento del comercio en el norte también da soporte a sus pronósticos. Finalmente, el debilitamiento de algunas actividades terciarias, como el turismo, en todas las regiones dan más evidencia a favor en los pronósticos actuales.    </w:t>
      </w:r>
    </w:p>
    <w:p w14:paraId="7CA72C33" w14:textId="77777777" w:rsidR="003559AA" w:rsidRDefault="003559AA" w:rsidP="003559AA">
      <w:pPr>
        <w:rPr>
          <w:rFonts w:cs="Arial"/>
        </w:rPr>
      </w:pPr>
    </w:p>
    <w:p w14:paraId="34579DF5" w14:textId="061BF731" w:rsidR="003559AA" w:rsidRDefault="003559AA" w:rsidP="003559AA">
      <w:pPr>
        <w:rPr>
          <w:rFonts w:cs="Arial"/>
        </w:rPr>
      </w:pPr>
      <w:r w:rsidRPr="0044252A">
        <w:rPr>
          <w:rFonts w:cs="Arial"/>
          <w:b/>
          <w:bCs/>
        </w:rPr>
        <w:lastRenderedPageBreak/>
        <w:t>Actividad comercial</w:t>
      </w:r>
      <w:r>
        <w:rPr>
          <w:rFonts w:cs="Arial"/>
        </w:rPr>
        <w:t xml:space="preserve">. En cuanto a la actividad de compraventa de bienes y servicios, en el periodo que contempla el reporte, las únicas regiones que mostraron un estancamiento fueron el </w:t>
      </w:r>
      <w:r w:rsidR="0099354A" w:rsidRPr="0099354A">
        <w:rPr>
          <w:rFonts w:cs="Arial"/>
          <w:b/>
          <w:bCs/>
        </w:rPr>
        <w:t>Norte</w:t>
      </w:r>
      <w:r w:rsidR="0099354A">
        <w:rPr>
          <w:rFonts w:cs="Arial"/>
        </w:rPr>
        <w:t xml:space="preserve"> </w:t>
      </w:r>
      <w:r>
        <w:rPr>
          <w:rFonts w:cs="Arial"/>
        </w:rPr>
        <w:t xml:space="preserve">y el </w:t>
      </w:r>
      <w:r w:rsidR="0099354A" w:rsidRPr="0099354A">
        <w:rPr>
          <w:rFonts w:cs="Arial"/>
          <w:b/>
          <w:bCs/>
        </w:rPr>
        <w:t>Centro</w:t>
      </w:r>
      <w:r>
        <w:rPr>
          <w:rFonts w:cs="Arial"/>
        </w:rPr>
        <w:t xml:space="preserve">. Para el caso de la región </w:t>
      </w:r>
      <w:r w:rsidRPr="0099354A">
        <w:rPr>
          <w:rFonts w:cs="Arial"/>
          <w:b/>
          <w:bCs/>
        </w:rPr>
        <w:t>Norte</w:t>
      </w:r>
      <w:r>
        <w:rPr>
          <w:rFonts w:cs="Arial"/>
        </w:rPr>
        <w:t xml:space="preserve">, la opinión empresarial dice que el estancamiento fue debido a: </w:t>
      </w:r>
    </w:p>
    <w:p w14:paraId="79E6D6FB" w14:textId="77777777" w:rsidR="00382F53" w:rsidRPr="00382F53" w:rsidRDefault="00382F53" w:rsidP="003559AA">
      <w:pPr>
        <w:rPr>
          <w:rFonts w:cs="Arial"/>
          <w:sz w:val="18"/>
          <w:szCs w:val="18"/>
        </w:rPr>
      </w:pPr>
    </w:p>
    <w:p w14:paraId="20539C8B" w14:textId="77777777" w:rsidR="003559AA" w:rsidRPr="007B20CF" w:rsidRDefault="003559AA" w:rsidP="003559AA">
      <w:pPr>
        <w:pStyle w:val="Prrafodelista"/>
        <w:numPr>
          <w:ilvl w:val="0"/>
          <w:numId w:val="38"/>
        </w:numPr>
        <w:rPr>
          <w:rFonts w:cs="Arial"/>
        </w:rPr>
      </w:pPr>
      <w:r>
        <w:rPr>
          <w:rFonts w:cs="Arial"/>
        </w:rPr>
        <w:t>L</w:t>
      </w:r>
      <w:r w:rsidRPr="007B20CF">
        <w:rPr>
          <w:rFonts w:cs="Arial"/>
        </w:rPr>
        <w:t xml:space="preserve">a moderación del gasto en los alimentos ante el incremento de sus precios. </w:t>
      </w:r>
    </w:p>
    <w:p w14:paraId="42A9407C" w14:textId="77777777" w:rsidR="003559AA" w:rsidRPr="007B20CF" w:rsidRDefault="003559AA" w:rsidP="003559AA">
      <w:pPr>
        <w:pStyle w:val="Prrafodelista"/>
        <w:numPr>
          <w:ilvl w:val="0"/>
          <w:numId w:val="38"/>
        </w:numPr>
        <w:rPr>
          <w:rFonts w:cs="Arial"/>
        </w:rPr>
      </w:pPr>
      <w:r>
        <w:rPr>
          <w:rFonts w:cs="Arial"/>
        </w:rPr>
        <w:t>L</w:t>
      </w:r>
      <w:r w:rsidRPr="007B20CF">
        <w:rPr>
          <w:rFonts w:cs="Arial"/>
        </w:rPr>
        <w:t xml:space="preserve">a reducción del uso de crédito de los hogares por el aumento de su costo. </w:t>
      </w:r>
    </w:p>
    <w:p w14:paraId="721BB387" w14:textId="77777777" w:rsidR="003559AA" w:rsidRDefault="003559AA" w:rsidP="003559AA">
      <w:pPr>
        <w:pStyle w:val="Prrafodelista"/>
        <w:numPr>
          <w:ilvl w:val="0"/>
          <w:numId w:val="38"/>
        </w:numPr>
        <w:rPr>
          <w:rFonts w:cs="Arial"/>
        </w:rPr>
      </w:pPr>
      <w:r>
        <w:rPr>
          <w:rFonts w:cs="Arial"/>
        </w:rPr>
        <w:t>L</w:t>
      </w:r>
      <w:r w:rsidRPr="007B20CF">
        <w:rPr>
          <w:rFonts w:cs="Arial"/>
        </w:rPr>
        <w:t>a sustitución en las adquisiciones de los hogares en negocios formales por informales</w:t>
      </w:r>
      <w:r>
        <w:rPr>
          <w:rFonts w:cs="Arial"/>
        </w:rPr>
        <w:t xml:space="preserve">. </w:t>
      </w:r>
    </w:p>
    <w:p w14:paraId="2BC3441F" w14:textId="77777777" w:rsidR="003559AA" w:rsidRPr="007B20CF" w:rsidRDefault="003559AA" w:rsidP="003559AA">
      <w:pPr>
        <w:pStyle w:val="Prrafodelista"/>
        <w:numPr>
          <w:ilvl w:val="0"/>
          <w:numId w:val="38"/>
        </w:numPr>
        <w:rPr>
          <w:rFonts w:cs="Arial"/>
        </w:rPr>
      </w:pPr>
      <w:r>
        <w:rPr>
          <w:rFonts w:cs="Arial"/>
        </w:rPr>
        <w:t>D</w:t>
      </w:r>
      <w:r w:rsidRPr="007B20CF">
        <w:rPr>
          <w:rFonts w:cs="Arial"/>
        </w:rPr>
        <w:t xml:space="preserve">isminución en las ventas de autos nuevos por la creciente oferta de autos compactos [autos un poco más pequeños que los de tamaño mediano] y usados tipo sedan, etc. </w:t>
      </w:r>
    </w:p>
    <w:p w14:paraId="7D191952" w14:textId="77777777" w:rsidR="003559AA" w:rsidRDefault="003559AA" w:rsidP="003559AA">
      <w:pPr>
        <w:rPr>
          <w:rFonts w:cs="Arial"/>
        </w:rPr>
      </w:pPr>
    </w:p>
    <w:p w14:paraId="46ED6A9B" w14:textId="27D266A0" w:rsidR="003559AA" w:rsidRDefault="003559AA" w:rsidP="003559AA">
      <w:pPr>
        <w:rPr>
          <w:rFonts w:cs="Arial"/>
        </w:rPr>
      </w:pPr>
      <w:r>
        <w:rPr>
          <w:rFonts w:cs="Arial"/>
        </w:rPr>
        <w:t xml:space="preserve">En el caso de la región </w:t>
      </w:r>
      <w:r w:rsidR="002B14C4" w:rsidRPr="0099354A">
        <w:rPr>
          <w:rFonts w:cs="Arial"/>
          <w:b/>
          <w:bCs/>
        </w:rPr>
        <w:t>Centro</w:t>
      </w:r>
      <w:r>
        <w:rPr>
          <w:rFonts w:cs="Arial"/>
        </w:rPr>
        <w:t xml:space="preserve">, el resultado obtenido de acuerdo con la misma opinión fue dado a: </w:t>
      </w:r>
    </w:p>
    <w:p w14:paraId="4DB7E350" w14:textId="77777777" w:rsidR="00382F53" w:rsidRPr="00382F53" w:rsidRDefault="00382F53" w:rsidP="003559AA">
      <w:pPr>
        <w:rPr>
          <w:rFonts w:cs="Arial"/>
          <w:sz w:val="18"/>
          <w:szCs w:val="18"/>
        </w:rPr>
      </w:pPr>
    </w:p>
    <w:p w14:paraId="1D1F940D" w14:textId="3DC9BF03" w:rsidR="003559AA" w:rsidRPr="007B20CF" w:rsidRDefault="003559AA" w:rsidP="003559AA">
      <w:pPr>
        <w:pStyle w:val="Prrafodelista"/>
        <w:numPr>
          <w:ilvl w:val="0"/>
          <w:numId w:val="37"/>
        </w:numPr>
        <w:rPr>
          <w:rFonts w:cs="Arial"/>
        </w:rPr>
      </w:pPr>
      <w:r w:rsidRPr="007B20CF">
        <w:rPr>
          <w:rFonts w:cs="Arial"/>
        </w:rPr>
        <w:t>Las ventas menores a las esperadas.</w:t>
      </w:r>
    </w:p>
    <w:p w14:paraId="5F7F8519" w14:textId="77777777" w:rsidR="003559AA" w:rsidRPr="007B20CF" w:rsidRDefault="003559AA" w:rsidP="003559AA">
      <w:pPr>
        <w:pStyle w:val="Prrafodelista"/>
        <w:numPr>
          <w:ilvl w:val="0"/>
          <w:numId w:val="37"/>
        </w:numPr>
        <w:rPr>
          <w:rFonts w:cs="Arial"/>
        </w:rPr>
      </w:pPr>
      <w:r w:rsidRPr="007B20CF">
        <w:rPr>
          <w:rFonts w:cs="Arial"/>
        </w:rPr>
        <w:t xml:space="preserve">El aumento en los servicios de logística. </w:t>
      </w:r>
    </w:p>
    <w:p w14:paraId="3A21E9C6" w14:textId="77777777" w:rsidR="003559AA" w:rsidRPr="007B20CF" w:rsidRDefault="003559AA" w:rsidP="003559AA">
      <w:pPr>
        <w:pStyle w:val="Prrafodelista"/>
        <w:numPr>
          <w:ilvl w:val="0"/>
          <w:numId w:val="37"/>
        </w:numPr>
        <w:rPr>
          <w:rFonts w:cs="Arial"/>
        </w:rPr>
      </w:pPr>
      <w:r w:rsidRPr="007B20CF">
        <w:rPr>
          <w:rFonts w:cs="Arial"/>
        </w:rPr>
        <w:t xml:space="preserve">Disminución en la demanda de bolsas de papel y plástico en México y Estados Unidos. </w:t>
      </w:r>
    </w:p>
    <w:p w14:paraId="421214AA" w14:textId="77777777" w:rsidR="003559AA" w:rsidRPr="007B20CF" w:rsidRDefault="003559AA" w:rsidP="003559AA">
      <w:pPr>
        <w:pStyle w:val="Prrafodelista"/>
        <w:numPr>
          <w:ilvl w:val="0"/>
          <w:numId w:val="37"/>
        </w:numPr>
        <w:rPr>
          <w:rFonts w:cs="Arial"/>
        </w:rPr>
      </w:pPr>
      <w:r w:rsidRPr="007B20CF">
        <w:rPr>
          <w:rFonts w:cs="Arial"/>
        </w:rPr>
        <w:t xml:space="preserve">Aumentos de los precios de algunos productos agrícolas resultado de los episodios de sequía resultando en una disminución de las ventas en esa región.    </w:t>
      </w:r>
    </w:p>
    <w:p w14:paraId="4AAF9F64" w14:textId="77777777" w:rsidR="003559AA" w:rsidRDefault="003559AA" w:rsidP="003559AA">
      <w:pPr>
        <w:rPr>
          <w:rFonts w:cs="Arial"/>
        </w:rPr>
      </w:pPr>
    </w:p>
    <w:p w14:paraId="4E828CCE" w14:textId="22985014" w:rsidR="003559AA" w:rsidRDefault="003559AA" w:rsidP="003559AA">
      <w:pPr>
        <w:rPr>
          <w:rFonts w:cs="Arial"/>
        </w:rPr>
      </w:pPr>
      <w:r>
        <w:rPr>
          <w:rFonts w:cs="Arial"/>
        </w:rPr>
        <w:t xml:space="preserve">En la región </w:t>
      </w:r>
      <w:r w:rsidR="002B14C4" w:rsidRPr="0099354A">
        <w:rPr>
          <w:rFonts w:cs="Arial"/>
          <w:b/>
          <w:bCs/>
        </w:rPr>
        <w:t>Sur</w:t>
      </w:r>
      <w:r w:rsidR="002B14C4">
        <w:rPr>
          <w:rFonts w:cs="Arial"/>
        </w:rPr>
        <w:t xml:space="preserve"> </w:t>
      </w:r>
      <w:r>
        <w:rPr>
          <w:rFonts w:cs="Arial"/>
        </w:rPr>
        <w:t xml:space="preserve">la razón de esta reactivación, según la misma opinión empresarial fue gracias a: </w:t>
      </w:r>
    </w:p>
    <w:p w14:paraId="4844C4D7" w14:textId="77777777" w:rsidR="00382F53" w:rsidRPr="00382F53" w:rsidRDefault="00382F53" w:rsidP="003559AA">
      <w:pPr>
        <w:rPr>
          <w:rFonts w:cs="Arial"/>
          <w:sz w:val="18"/>
          <w:szCs w:val="18"/>
        </w:rPr>
      </w:pPr>
    </w:p>
    <w:p w14:paraId="01608DA3" w14:textId="77777777" w:rsidR="003559AA" w:rsidRPr="007B20CF" w:rsidRDefault="003559AA" w:rsidP="003559AA">
      <w:pPr>
        <w:pStyle w:val="Prrafodelista"/>
        <w:numPr>
          <w:ilvl w:val="0"/>
          <w:numId w:val="35"/>
        </w:numPr>
        <w:rPr>
          <w:rFonts w:cs="Arial"/>
        </w:rPr>
      </w:pPr>
      <w:r w:rsidRPr="007B20CF">
        <w:rPr>
          <w:rFonts w:cs="Arial"/>
        </w:rPr>
        <w:t xml:space="preserve">Una mayor actividad marítima que impulsó la venta de refacciones y materiales importados para el mantenimiento de barcos cargueros. </w:t>
      </w:r>
    </w:p>
    <w:p w14:paraId="70264EAC" w14:textId="77777777" w:rsidR="003559AA" w:rsidRPr="007B20CF" w:rsidRDefault="003559AA" w:rsidP="003559AA">
      <w:pPr>
        <w:pStyle w:val="Prrafodelista"/>
        <w:numPr>
          <w:ilvl w:val="0"/>
          <w:numId w:val="35"/>
        </w:numPr>
        <w:rPr>
          <w:rFonts w:cs="Arial"/>
        </w:rPr>
      </w:pPr>
      <w:r w:rsidRPr="007B20CF">
        <w:rPr>
          <w:rFonts w:cs="Arial"/>
        </w:rPr>
        <w:t xml:space="preserve">Mayores ventas de lubricantes y otros combustibles para el equipo de transporte terrestre gracias a </w:t>
      </w:r>
      <w:r>
        <w:rPr>
          <w:rFonts w:cs="Arial"/>
        </w:rPr>
        <w:t>la</w:t>
      </w:r>
      <w:r w:rsidRPr="007B20CF">
        <w:rPr>
          <w:rFonts w:cs="Arial"/>
        </w:rPr>
        <w:t xml:space="preserve"> mayor movilidad de personas. </w:t>
      </w:r>
    </w:p>
    <w:p w14:paraId="08A51FFD" w14:textId="77777777" w:rsidR="003559AA" w:rsidRPr="007B20CF" w:rsidRDefault="003559AA" w:rsidP="003559AA">
      <w:pPr>
        <w:pStyle w:val="Prrafodelista"/>
        <w:numPr>
          <w:ilvl w:val="0"/>
          <w:numId w:val="35"/>
        </w:numPr>
        <w:rPr>
          <w:rFonts w:cs="Arial"/>
        </w:rPr>
      </w:pPr>
      <w:r w:rsidRPr="007B20CF">
        <w:rPr>
          <w:rFonts w:cs="Arial"/>
        </w:rPr>
        <w:t xml:space="preserve">El aumento de la demanda de automóviles dado al mejor acceso a financiamiento. </w:t>
      </w:r>
    </w:p>
    <w:p w14:paraId="41C8E388" w14:textId="77777777" w:rsidR="003559AA" w:rsidRPr="007B20CF" w:rsidRDefault="003559AA" w:rsidP="003559AA">
      <w:pPr>
        <w:pStyle w:val="Prrafodelista"/>
        <w:numPr>
          <w:ilvl w:val="0"/>
          <w:numId w:val="35"/>
        </w:numPr>
        <w:rPr>
          <w:rFonts w:cs="Arial"/>
        </w:rPr>
      </w:pPr>
      <w:r w:rsidRPr="007B20CF">
        <w:rPr>
          <w:rFonts w:cs="Arial"/>
        </w:rPr>
        <w:t>Mayores ventas para la construcción residencial y no residencial por las obras de reconstrucción dado a los daños causados por el huracán Otis, etc.</w:t>
      </w:r>
      <w:r>
        <w:rPr>
          <w:rFonts w:cs="Arial"/>
        </w:rPr>
        <w:t xml:space="preserve"> </w:t>
      </w:r>
      <w:r w:rsidRPr="007B20CF">
        <w:rPr>
          <w:rFonts w:cs="Arial"/>
        </w:rPr>
        <w:t xml:space="preserve"> </w:t>
      </w:r>
    </w:p>
    <w:p w14:paraId="52CDC234" w14:textId="77777777" w:rsidR="003559AA" w:rsidRDefault="003559AA" w:rsidP="003559AA">
      <w:pPr>
        <w:rPr>
          <w:rFonts w:cs="Arial"/>
        </w:rPr>
      </w:pPr>
    </w:p>
    <w:p w14:paraId="3AA03103" w14:textId="11404114" w:rsidR="003559AA" w:rsidRDefault="003559AA" w:rsidP="003559AA">
      <w:pPr>
        <w:rPr>
          <w:rFonts w:cs="Arial"/>
        </w:rPr>
      </w:pPr>
      <w:r>
        <w:rPr>
          <w:rFonts w:cs="Arial"/>
        </w:rPr>
        <w:t xml:space="preserve">Mientras que en la región del </w:t>
      </w:r>
      <w:r w:rsidR="002B14C4" w:rsidRPr="0099354A">
        <w:rPr>
          <w:rFonts w:cs="Arial"/>
          <w:b/>
          <w:bCs/>
        </w:rPr>
        <w:t>Centro Norte</w:t>
      </w:r>
      <w:r w:rsidR="002B14C4">
        <w:rPr>
          <w:rFonts w:cs="Arial"/>
        </w:rPr>
        <w:t xml:space="preserve"> </w:t>
      </w:r>
      <w:r>
        <w:rPr>
          <w:rFonts w:cs="Arial"/>
        </w:rPr>
        <w:t>la reactivación fue por:</w:t>
      </w:r>
    </w:p>
    <w:p w14:paraId="690D4EFD" w14:textId="77777777" w:rsidR="00382F53" w:rsidRPr="00382F53" w:rsidRDefault="00382F53" w:rsidP="003559AA">
      <w:pPr>
        <w:rPr>
          <w:rFonts w:cs="Arial"/>
          <w:sz w:val="18"/>
          <w:szCs w:val="18"/>
        </w:rPr>
      </w:pPr>
    </w:p>
    <w:p w14:paraId="2E851E0D" w14:textId="77777777" w:rsidR="003559AA" w:rsidRPr="007B20CF" w:rsidRDefault="003559AA" w:rsidP="003559AA">
      <w:pPr>
        <w:pStyle w:val="Prrafodelista"/>
        <w:numPr>
          <w:ilvl w:val="0"/>
          <w:numId w:val="36"/>
        </w:numPr>
        <w:rPr>
          <w:rFonts w:cs="Arial"/>
        </w:rPr>
      </w:pPr>
      <w:r w:rsidRPr="007B20CF">
        <w:rPr>
          <w:rFonts w:cs="Arial"/>
        </w:rPr>
        <w:t xml:space="preserve">El aumento de las ventas de azúcar dado a la reducción de precio.  </w:t>
      </w:r>
    </w:p>
    <w:p w14:paraId="43DEAA05" w14:textId="77777777" w:rsidR="003559AA" w:rsidRPr="007B20CF" w:rsidRDefault="003559AA" w:rsidP="003559AA">
      <w:pPr>
        <w:pStyle w:val="Prrafodelista"/>
        <w:numPr>
          <w:ilvl w:val="0"/>
          <w:numId w:val="36"/>
        </w:numPr>
        <w:rPr>
          <w:rFonts w:cs="Arial"/>
        </w:rPr>
      </w:pPr>
      <w:r w:rsidRPr="007B20CF">
        <w:rPr>
          <w:rFonts w:cs="Arial"/>
        </w:rPr>
        <w:t xml:space="preserve">El impulso de las ventas de los establecimientos dado el mejor funcionamiento de la cadena de suministro.  </w:t>
      </w:r>
    </w:p>
    <w:p w14:paraId="502D5EBA" w14:textId="77777777" w:rsidR="003559AA" w:rsidRPr="007B20CF" w:rsidRDefault="003559AA" w:rsidP="003559AA">
      <w:pPr>
        <w:pStyle w:val="Prrafodelista"/>
        <w:numPr>
          <w:ilvl w:val="0"/>
          <w:numId w:val="36"/>
        </w:numPr>
        <w:rPr>
          <w:rFonts w:cs="Arial"/>
        </w:rPr>
      </w:pPr>
      <w:r w:rsidRPr="007B20CF">
        <w:rPr>
          <w:rFonts w:cs="Arial"/>
        </w:rPr>
        <w:t xml:space="preserve">Aumento en la demanda de los hogares en materiales para remodelación.  </w:t>
      </w:r>
    </w:p>
    <w:p w14:paraId="7797E866" w14:textId="77777777" w:rsidR="003559AA" w:rsidRPr="007B20CF" w:rsidRDefault="003559AA" w:rsidP="003559AA">
      <w:pPr>
        <w:pStyle w:val="Prrafodelista"/>
        <w:numPr>
          <w:ilvl w:val="0"/>
          <w:numId w:val="36"/>
        </w:numPr>
        <w:rPr>
          <w:rFonts w:cs="Arial"/>
        </w:rPr>
      </w:pPr>
      <w:r w:rsidRPr="007B20CF">
        <w:rPr>
          <w:rFonts w:cs="Arial"/>
        </w:rPr>
        <w:t xml:space="preserve">Aumento en las ventas de automóviles y camionetas SUV de origen chino. </w:t>
      </w:r>
    </w:p>
    <w:p w14:paraId="19BB814D" w14:textId="77777777" w:rsidR="003559AA" w:rsidRPr="007B20CF" w:rsidRDefault="003559AA" w:rsidP="003559AA">
      <w:pPr>
        <w:pStyle w:val="Prrafodelista"/>
        <w:numPr>
          <w:ilvl w:val="0"/>
          <w:numId w:val="36"/>
        </w:numPr>
        <w:rPr>
          <w:rFonts w:cs="Arial"/>
        </w:rPr>
      </w:pPr>
      <w:r w:rsidRPr="007B20CF">
        <w:rPr>
          <w:rFonts w:cs="Arial"/>
        </w:rPr>
        <w:t xml:space="preserve">Mayores exportaciones de bebidas alcohólicas, productos agrícolas, autopartes y electrónicos. </w:t>
      </w:r>
    </w:p>
    <w:p w14:paraId="6E04F8B9" w14:textId="77777777" w:rsidR="003559AA" w:rsidRDefault="003559AA" w:rsidP="003559AA">
      <w:pPr>
        <w:rPr>
          <w:rFonts w:cs="Arial"/>
        </w:rPr>
      </w:pPr>
      <w:r>
        <w:rPr>
          <w:rFonts w:cs="Arial"/>
        </w:rPr>
        <w:lastRenderedPageBreak/>
        <w:t xml:space="preserve">En cuanto a la actividad turística, medida en el número de cuartos de hotel ocupados, siguió mostrando un estado de estancamiento en todas las regiones a excepción de la región del norte en la cual dicha actividad continuó en expansión. </w:t>
      </w:r>
    </w:p>
    <w:p w14:paraId="4FC6BA7B" w14:textId="77777777" w:rsidR="003559AA" w:rsidRDefault="003559AA" w:rsidP="003559AA">
      <w:pPr>
        <w:rPr>
          <w:rFonts w:cs="Arial"/>
          <w:b/>
          <w:bCs/>
        </w:rPr>
      </w:pPr>
    </w:p>
    <w:p w14:paraId="15ECE278" w14:textId="50129E14" w:rsidR="003559AA" w:rsidRDefault="003559AA" w:rsidP="003559AA">
      <w:pPr>
        <w:rPr>
          <w:rFonts w:cs="Arial"/>
        </w:rPr>
      </w:pPr>
      <w:r w:rsidRPr="0044252A">
        <w:rPr>
          <w:rFonts w:cs="Arial"/>
          <w:b/>
          <w:bCs/>
        </w:rPr>
        <w:t>Emple</w:t>
      </w:r>
      <w:r w:rsidR="002B14C4">
        <w:rPr>
          <w:rFonts w:cs="Arial"/>
          <w:b/>
          <w:bCs/>
        </w:rPr>
        <w:t>o</w:t>
      </w:r>
      <w:r>
        <w:rPr>
          <w:rFonts w:cs="Arial"/>
        </w:rPr>
        <w:t xml:space="preserve">. Entre abril y agosto del año 2024 el mercado laboral siguió mostrando crecimiento, pero con ciertas señales de moderación. Como se puede observar en el gráfico siguiente, el número de puesto de trabajo afiliados al IMMS en todas las regiones mostró una tendencia al alza, a excepción de la región centro norte dónde se podremos observar que se presentó un estancamiento en el crecimiento. </w:t>
      </w:r>
    </w:p>
    <w:p w14:paraId="3BB8CAA5" w14:textId="77777777" w:rsidR="003559AA" w:rsidRDefault="003559AA" w:rsidP="003559AA">
      <w:pPr>
        <w:rPr>
          <w:rFonts w:cs="Arial"/>
        </w:rPr>
      </w:pPr>
    </w:p>
    <w:p w14:paraId="3B42E67F" w14:textId="77777777" w:rsidR="003559AA" w:rsidRDefault="003559AA" w:rsidP="003559AA">
      <w:pPr>
        <w:jc w:val="center"/>
        <w:rPr>
          <w:rFonts w:cs="Arial"/>
        </w:rPr>
      </w:pPr>
      <w:r w:rsidRPr="003B3D97">
        <w:rPr>
          <w:rFonts w:cs="Arial"/>
          <w:noProof/>
        </w:rPr>
        <w:drawing>
          <wp:inline distT="0" distB="0" distL="0" distR="0" wp14:anchorId="1D21F8A2" wp14:editId="13FC105E">
            <wp:extent cx="2595280" cy="1876425"/>
            <wp:effectExtent l="0" t="0" r="0" b="0"/>
            <wp:docPr id="1868459511" name="Imagen 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459511" name="Imagen 1" descr="Gráfico, Gráfico de líneas&#10;&#10;Descripción generada automáticamente"/>
                    <pic:cNvPicPr/>
                  </pic:nvPicPr>
                  <pic:blipFill>
                    <a:blip r:embed="rId9"/>
                    <a:stretch>
                      <a:fillRect/>
                    </a:stretch>
                  </pic:blipFill>
                  <pic:spPr>
                    <a:xfrm>
                      <a:off x="0" y="0"/>
                      <a:ext cx="2606145" cy="1884281"/>
                    </a:xfrm>
                    <a:prstGeom prst="rect">
                      <a:avLst/>
                    </a:prstGeom>
                  </pic:spPr>
                </pic:pic>
              </a:graphicData>
            </a:graphic>
          </wp:inline>
        </w:drawing>
      </w:r>
    </w:p>
    <w:p w14:paraId="109165B7" w14:textId="77777777" w:rsidR="003559AA" w:rsidRPr="007533B3" w:rsidRDefault="003559AA" w:rsidP="003559AA">
      <w:pPr>
        <w:jc w:val="center"/>
        <w:rPr>
          <w:rFonts w:cs="Arial"/>
          <w:vertAlign w:val="subscript"/>
        </w:rPr>
      </w:pPr>
      <w:r>
        <w:rPr>
          <w:rFonts w:cs="Arial"/>
          <w:vertAlign w:val="subscript"/>
        </w:rPr>
        <w:t xml:space="preserve">Fuente: Banco de México. (2024). </w:t>
      </w:r>
      <w:r w:rsidRPr="002C4729">
        <w:rPr>
          <w:rFonts w:cs="Arial"/>
          <w:vertAlign w:val="subscript"/>
        </w:rPr>
        <w:t xml:space="preserve">Reporte sobre las Economías Regionales Abril - </w:t>
      </w:r>
      <w:proofErr w:type="gramStart"/>
      <w:r w:rsidRPr="002C4729">
        <w:rPr>
          <w:rFonts w:cs="Arial"/>
          <w:vertAlign w:val="subscript"/>
        </w:rPr>
        <w:t>Junio</w:t>
      </w:r>
      <w:proofErr w:type="gramEnd"/>
      <w:r w:rsidRPr="002C4729">
        <w:rPr>
          <w:rFonts w:cs="Arial"/>
          <w:vertAlign w:val="subscript"/>
        </w:rPr>
        <w:t xml:space="preserve"> 2024</w:t>
      </w:r>
      <w:r>
        <w:rPr>
          <w:rFonts w:cs="Arial"/>
          <w:vertAlign w:val="subscript"/>
        </w:rPr>
        <w:t>. México</w:t>
      </w:r>
    </w:p>
    <w:p w14:paraId="34F7CD36" w14:textId="77777777" w:rsidR="003559AA" w:rsidRDefault="003559AA" w:rsidP="003559AA">
      <w:pPr>
        <w:rPr>
          <w:rFonts w:cs="Arial"/>
        </w:rPr>
      </w:pPr>
    </w:p>
    <w:p w14:paraId="21885F25" w14:textId="63192C0D" w:rsidR="003559AA" w:rsidRDefault="003559AA" w:rsidP="003559AA">
      <w:pPr>
        <w:rPr>
          <w:rFonts w:cs="Arial"/>
        </w:rPr>
      </w:pPr>
      <w:r>
        <w:rPr>
          <w:rFonts w:cs="Arial"/>
        </w:rPr>
        <w:t>Para el primer y segundo trimestre de 2024 la tasa de desocupación (</w:t>
      </w:r>
      <w:r w:rsidRPr="00A24C0E">
        <w:rPr>
          <w:rFonts w:cs="Arial"/>
          <w:i/>
          <w:iCs/>
        </w:rPr>
        <w:t>el porcentaje de la población económicamente activa que actualmente se encuentra desempleada</w:t>
      </w:r>
      <w:r>
        <w:rPr>
          <w:rFonts w:cs="Arial"/>
        </w:rPr>
        <w:t xml:space="preserve">) aumento para el caso de los hombres en casi todas las regiones, la única excepción fue la región del centro, mientras que para el caso de las mujeres disminuyó en todas las regiones a excepción en la región del </w:t>
      </w:r>
      <w:r w:rsidR="0099354A" w:rsidRPr="0099354A">
        <w:rPr>
          <w:rFonts w:cs="Arial"/>
          <w:b/>
          <w:bCs/>
        </w:rPr>
        <w:t>Norte</w:t>
      </w:r>
      <w:r>
        <w:rPr>
          <w:rFonts w:cs="Arial"/>
        </w:rPr>
        <w:t xml:space="preserve">. Lo anterior se detalla en las siguientes gráficas. </w:t>
      </w:r>
    </w:p>
    <w:p w14:paraId="07B6CFB5" w14:textId="77777777" w:rsidR="003559AA" w:rsidRDefault="003559AA" w:rsidP="003559AA">
      <w:pPr>
        <w:rPr>
          <w:rFonts w:cs="Arial"/>
        </w:rPr>
      </w:pPr>
    </w:p>
    <w:p w14:paraId="0B4B0E40" w14:textId="77777777" w:rsidR="003559AA" w:rsidRPr="003B3D97" w:rsidRDefault="003559AA" w:rsidP="003559AA">
      <w:pPr>
        <w:jc w:val="center"/>
        <w:rPr>
          <w:rFonts w:cs="Arial"/>
        </w:rPr>
      </w:pPr>
      <w:r w:rsidRPr="003B3D97">
        <w:rPr>
          <w:rFonts w:cs="Arial"/>
          <w:noProof/>
        </w:rPr>
        <w:drawing>
          <wp:inline distT="0" distB="0" distL="0" distR="0" wp14:anchorId="702B94E7" wp14:editId="3538F375">
            <wp:extent cx="4677894" cy="1604963"/>
            <wp:effectExtent l="0" t="0" r="8890" b="0"/>
            <wp:docPr id="1953101806" name="Imagen 1" descr="Gráfico, Histo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1806" name="Imagen 1" descr="Gráfico, Histograma&#10;&#10;Descripción generada automáticamente"/>
                    <pic:cNvPicPr/>
                  </pic:nvPicPr>
                  <pic:blipFill rotWithShape="1">
                    <a:blip r:embed="rId10"/>
                    <a:srcRect l="1587" t="17588"/>
                    <a:stretch/>
                  </pic:blipFill>
                  <pic:spPr bwMode="auto">
                    <a:xfrm>
                      <a:off x="0" y="0"/>
                      <a:ext cx="4744842" cy="1627933"/>
                    </a:xfrm>
                    <a:prstGeom prst="rect">
                      <a:avLst/>
                    </a:prstGeom>
                    <a:ln>
                      <a:noFill/>
                    </a:ln>
                    <a:extLst>
                      <a:ext uri="{53640926-AAD7-44D8-BBD7-CCE9431645EC}">
                        <a14:shadowObscured xmlns:a14="http://schemas.microsoft.com/office/drawing/2010/main"/>
                      </a:ext>
                    </a:extLst>
                  </pic:spPr>
                </pic:pic>
              </a:graphicData>
            </a:graphic>
          </wp:inline>
        </w:drawing>
      </w:r>
    </w:p>
    <w:p w14:paraId="7BC9427F" w14:textId="77777777" w:rsidR="003559AA" w:rsidRPr="007533B3" w:rsidRDefault="003559AA" w:rsidP="003559AA">
      <w:pPr>
        <w:jc w:val="center"/>
        <w:rPr>
          <w:rFonts w:cs="Arial"/>
          <w:vertAlign w:val="subscript"/>
        </w:rPr>
      </w:pPr>
      <w:r>
        <w:rPr>
          <w:rFonts w:cs="Arial"/>
          <w:vertAlign w:val="subscript"/>
        </w:rPr>
        <w:t xml:space="preserve">Fuente: Banco de México. (2024). </w:t>
      </w:r>
      <w:r w:rsidRPr="002C4729">
        <w:rPr>
          <w:rFonts w:cs="Arial"/>
          <w:vertAlign w:val="subscript"/>
        </w:rPr>
        <w:t xml:space="preserve">Reporte sobre las Economías Regionales Abril - </w:t>
      </w:r>
      <w:proofErr w:type="gramStart"/>
      <w:r w:rsidRPr="002C4729">
        <w:rPr>
          <w:rFonts w:cs="Arial"/>
          <w:vertAlign w:val="subscript"/>
        </w:rPr>
        <w:t>Junio</w:t>
      </w:r>
      <w:proofErr w:type="gramEnd"/>
      <w:r w:rsidRPr="002C4729">
        <w:rPr>
          <w:rFonts w:cs="Arial"/>
          <w:vertAlign w:val="subscript"/>
        </w:rPr>
        <w:t xml:space="preserve"> 2024</w:t>
      </w:r>
      <w:r>
        <w:rPr>
          <w:rFonts w:cs="Arial"/>
          <w:vertAlign w:val="subscript"/>
        </w:rPr>
        <w:t>. México</w:t>
      </w:r>
    </w:p>
    <w:p w14:paraId="7308F872" w14:textId="77777777" w:rsidR="003559AA" w:rsidRDefault="003559AA" w:rsidP="003559AA">
      <w:pPr>
        <w:rPr>
          <w:rFonts w:cs="Arial"/>
        </w:rPr>
      </w:pPr>
    </w:p>
    <w:p w14:paraId="3A30266D" w14:textId="480C9A13" w:rsidR="003559AA" w:rsidRDefault="003559AA" w:rsidP="003559AA">
      <w:pPr>
        <w:rPr>
          <w:rFonts w:cs="Arial"/>
        </w:rPr>
      </w:pPr>
      <w:r>
        <w:rPr>
          <w:rFonts w:cs="Arial"/>
        </w:rPr>
        <w:lastRenderedPageBreak/>
        <w:t xml:space="preserve">Por otro lado, la tasa de participación disminuyó o se mantuvieron sin cambios de forma generalizada a excepción de la región </w:t>
      </w:r>
      <w:r w:rsidRPr="0099354A">
        <w:rPr>
          <w:rFonts w:cs="Arial"/>
          <w:b/>
          <w:bCs/>
        </w:rPr>
        <w:t>Centro</w:t>
      </w:r>
      <w:r>
        <w:rPr>
          <w:rFonts w:cs="Arial"/>
        </w:rPr>
        <w:t xml:space="preserve">, región dónde este indicador aumentó tanto para los hombres como para las mujeres. </w:t>
      </w:r>
    </w:p>
    <w:p w14:paraId="267FA006" w14:textId="77777777" w:rsidR="00382F53" w:rsidRPr="004B0FCA" w:rsidRDefault="00382F53" w:rsidP="003559AA">
      <w:pPr>
        <w:rPr>
          <w:rFonts w:cs="Arial"/>
        </w:rPr>
      </w:pPr>
    </w:p>
    <w:p w14:paraId="5BD32E4B" w14:textId="77777777" w:rsidR="003559AA" w:rsidRDefault="003559AA" w:rsidP="003559AA">
      <w:pPr>
        <w:rPr>
          <w:rFonts w:cs="Arial"/>
        </w:rPr>
      </w:pPr>
      <w:r w:rsidRPr="0044252A">
        <w:rPr>
          <w:rFonts w:cs="Arial"/>
          <w:b/>
          <w:bCs/>
        </w:rPr>
        <w:t>Inflación</w:t>
      </w:r>
      <w:r>
        <w:rPr>
          <w:rFonts w:cs="Arial"/>
        </w:rPr>
        <w:t xml:space="preserve">. Entre el primer y segundo trimestre de 2024 la inflación general anual pasó de 4.57 por ciento a 4.77 por ciento, situándose en julio 5.57 por ciento y finalmente disminuyendo en agosto a 4.99 por ciento al moderarse la inflación no subyacente. </w:t>
      </w:r>
    </w:p>
    <w:p w14:paraId="4FA3E61C" w14:textId="77777777" w:rsidR="003559AA" w:rsidRDefault="003559AA" w:rsidP="003559AA">
      <w:pPr>
        <w:rPr>
          <w:rFonts w:cs="Arial"/>
        </w:rPr>
      </w:pPr>
    </w:p>
    <w:p w14:paraId="5DBFAB78" w14:textId="0A02AD82" w:rsidR="003559AA" w:rsidRDefault="003559AA" w:rsidP="003559AA">
      <w:pPr>
        <w:rPr>
          <w:rFonts w:cs="Arial"/>
        </w:rPr>
      </w:pPr>
      <w:r>
        <w:rPr>
          <w:rFonts w:cs="Arial"/>
        </w:rPr>
        <w:t xml:space="preserve">A nivel regional, en todas las regiones la inflación general aumentó del primer y al segundo trimestre de 2024, ubicándose en éste último en 4.62 por ciento para la región del </w:t>
      </w:r>
      <w:r w:rsidR="0099354A" w:rsidRPr="0099354A">
        <w:rPr>
          <w:rFonts w:cs="Arial"/>
          <w:b/>
          <w:bCs/>
        </w:rPr>
        <w:t>Norte</w:t>
      </w:r>
      <w:r>
        <w:rPr>
          <w:rFonts w:cs="Arial"/>
        </w:rPr>
        <w:t xml:space="preserve">, </w:t>
      </w:r>
      <w:r w:rsidRPr="005D4EB8">
        <w:rPr>
          <w:rFonts w:cs="Arial"/>
        </w:rPr>
        <w:t>4.</w:t>
      </w:r>
      <w:r>
        <w:rPr>
          <w:rFonts w:cs="Arial"/>
        </w:rPr>
        <w:t xml:space="preserve">86 por ciento para el </w:t>
      </w:r>
      <w:r w:rsidR="0099354A" w:rsidRPr="0099354A">
        <w:rPr>
          <w:rFonts w:cs="Arial"/>
          <w:b/>
          <w:bCs/>
        </w:rPr>
        <w:t>Centro Norte</w:t>
      </w:r>
      <w:r>
        <w:rPr>
          <w:rFonts w:cs="Arial"/>
        </w:rPr>
        <w:t xml:space="preserve">, </w:t>
      </w:r>
      <w:r w:rsidRPr="005D4EB8">
        <w:rPr>
          <w:rFonts w:cs="Arial"/>
        </w:rPr>
        <w:t>4.</w:t>
      </w:r>
      <w:r>
        <w:rPr>
          <w:rFonts w:cs="Arial"/>
        </w:rPr>
        <w:t xml:space="preserve">77 por ciento en la región </w:t>
      </w:r>
      <w:r w:rsidR="0099354A" w:rsidRPr="0099354A">
        <w:rPr>
          <w:rFonts w:cs="Arial"/>
          <w:b/>
          <w:bCs/>
        </w:rPr>
        <w:t>Centro</w:t>
      </w:r>
      <w:r w:rsidR="0099354A">
        <w:rPr>
          <w:rFonts w:cs="Arial"/>
        </w:rPr>
        <w:t xml:space="preserve"> </w:t>
      </w:r>
      <w:r>
        <w:rPr>
          <w:rFonts w:cs="Arial"/>
        </w:rPr>
        <w:t xml:space="preserve">y 4.84  por ciento en  la región </w:t>
      </w:r>
      <w:r w:rsidR="0099354A" w:rsidRPr="0099354A">
        <w:rPr>
          <w:rFonts w:cs="Arial"/>
          <w:b/>
          <w:bCs/>
        </w:rPr>
        <w:t>Sur</w:t>
      </w:r>
      <w:r w:rsidRPr="005D4EB8">
        <w:rPr>
          <w:rFonts w:cs="Arial"/>
        </w:rPr>
        <w:t xml:space="preserve">, </w:t>
      </w:r>
      <w:r>
        <w:rPr>
          <w:rFonts w:cs="Arial"/>
        </w:rPr>
        <w:t>mientras que en el primer trimestre de éste año la inflación se registró en 4.54 por ciento en la región norte, 4.79 por ciento en el centro norte</w:t>
      </w:r>
      <w:r w:rsidRPr="005D4EB8">
        <w:rPr>
          <w:rFonts w:cs="Arial"/>
        </w:rPr>
        <w:t>, 4.</w:t>
      </w:r>
      <w:r>
        <w:rPr>
          <w:rFonts w:cs="Arial"/>
        </w:rPr>
        <w:t>36</w:t>
      </w:r>
      <w:r w:rsidRPr="005D4EB8">
        <w:rPr>
          <w:rFonts w:cs="Arial"/>
        </w:rPr>
        <w:t xml:space="preserve"> </w:t>
      </w:r>
      <w:r>
        <w:rPr>
          <w:rFonts w:cs="Arial"/>
        </w:rPr>
        <w:t xml:space="preserve"> por ciento en la región </w:t>
      </w:r>
      <w:r w:rsidR="0099354A" w:rsidRPr="0099354A">
        <w:rPr>
          <w:rFonts w:cs="Arial"/>
          <w:b/>
          <w:bCs/>
        </w:rPr>
        <w:t>Centro</w:t>
      </w:r>
      <w:r w:rsidRPr="005D4EB8">
        <w:rPr>
          <w:rFonts w:cs="Arial"/>
        </w:rPr>
        <w:t>, y 4.</w:t>
      </w:r>
      <w:r>
        <w:rPr>
          <w:rFonts w:cs="Arial"/>
        </w:rPr>
        <w:t xml:space="preserve">79 por ciento en la región </w:t>
      </w:r>
      <w:r w:rsidR="0099354A" w:rsidRPr="0099354A">
        <w:rPr>
          <w:rFonts w:cs="Arial"/>
          <w:b/>
          <w:bCs/>
        </w:rPr>
        <w:t>Sur</w:t>
      </w:r>
      <w:r>
        <w:rPr>
          <w:rFonts w:cs="Arial"/>
        </w:rPr>
        <w:t xml:space="preserve">. Los resultados anteriores se debieron por el aumento en la inflación no subyacente.   </w:t>
      </w:r>
    </w:p>
    <w:p w14:paraId="2D3DDAEF" w14:textId="07C093DF" w:rsidR="00630C33" w:rsidRDefault="00630C33" w:rsidP="003D40E2">
      <w:pPr>
        <w:rPr>
          <w:rFonts w:cs="Arial"/>
        </w:rPr>
      </w:pPr>
    </w:p>
    <w:p w14:paraId="20C361E7" w14:textId="6573EE94" w:rsidR="003D40E2" w:rsidRPr="00516AFF" w:rsidRDefault="003D40E2" w:rsidP="003D40E2">
      <w:pPr>
        <w:pStyle w:val="Ttulo2"/>
        <w:rPr>
          <w:rFonts w:cs="Arial"/>
        </w:rPr>
      </w:pPr>
      <w:r w:rsidRPr="00516AFF">
        <w:rPr>
          <w:rFonts w:cs="Arial"/>
        </w:rPr>
        <w:t>1.</w:t>
      </w:r>
      <w:r w:rsidR="00630C33">
        <w:rPr>
          <w:rFonts w:cs="Arial"/>
        </w:rPr>
        <w:t>IV</w:t>
      </w:r>
      <w:r w:rsidRPr="00516AFF">
        <w:rPr>
          <w:rFonts w:cs="Arial"/>
        </w:rPr>
        <w:t xml:space="preserve"> Economía Local</w:t>
      </w:r>
    </w:p>
    <w:p w14:paraId="028F9451" w14:textId="77777777" w:rsidR="003D40E2" w:rsidRPr="00CA356D" w:rsidRDefault="003D40E2" w:rsidP="003D40E2">
      <w:pPr>
        <w:rPr>
          <w:rFonts w:cs="Arial"/>
        </w:rPr>
      </w:pPr>
    </w:p>
    <w:p w14:paraId="08462632" w14:textId="607112DB" w:rsidR="00921074" w:rsidRDefault="00CA356D" w:rsidP="00921074">
      <w:pPr>
        <w:rPr>
          <w:rFonts w:cs="Arial"/>
        </w:rPr>
      </w:pPr>
      <w:r w:rsidRPr="00CA356D">
        <w:rPr>
          <w:rFonts w:cs="Arial"/>
          <w:b/>
          <w:bCs/>
        </w:rPr>
        <w:t>Población</w:t>
      </w:r>
      <w:r>
        <w:rPr>
          <w:rFonts w:cs="Arial"/>
        </w:rPr>
        <w:t xml:space="preserve">. </w:t>
      </w:r>
      <w:r w:rsidRPr="00CA356D">
        <w:rPr>
          <w:rFonts w:cs="Arial"/>
        </w:rPr>
        <w:t xml:space="preserve">De acuerdo con las proyecciones del Consejo Nacional de Población (CONAPO) se estima que, al término del año 2024, Colima cuente con una población total de 759,943 habitantes distribuidos, por género, de la siguiente manera.  </w:t>
      </w:r>
    </w:p>
    <w:p w14:paraId="6CED3B3D" w14:textId="640691A3" w:rsidR="00A24C0E" w:rsidRDefault="00A24C0E" w:rsidP="00921074">
      <w:pPr>
        <w:rPr>
          <w:rFonts w:cs="Arial"/>
        </w:rPr>
      </w:pPr>
    </w:p>
    <w:tbl>
      <w:tblPr>
        <w:tblStyle w:val="Tablaconcuadrcula"/>
        <w:tblW w:w="0" w:type="auto"/>
        <w:jc w:val="center"/>
        <w:tblLook w:val="04A0" w:firstRow="1" w:lastRow="0" w:firstColumn="1" w:lastColumn="0" w:noHBand="0" w:noVBand="1"/>
      </w:tblPr>
      <w:tblGrid>
        <w:gridCol w:w="1897"/>
        <w:gridCol w:w="1223"/>
        <w:gridCol w:w="1417"/>
        <w:gridCol w:w="1276"/>
        <w:gridCol w:w="1559"/>
        <w:gridCol w:w="1418"/>
      </w:tblGrid>
      <w:tr w:rsidR="00CA356D" w:rsidRPr="00CA356D" w14:paraId="6A8E9AFE" w14:textId="77777777" w:rsidTr="00496F8D">
        <w:trPr>
          <w:trHeight w:val="170"/>
          <w:jc w:val="center"/>
        </w:trPr>
        <w:tc>
          <w:tcPr>
            <w:tcW w:w="189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uto"/>
            <w:vAlign w:val="center"/>
          </w:tcPr>
          <w:p w14:paraId="2B6F5097" w14:textId="3760C7D7" w:rsidR="00CA356D" w:rsidRPr="00CA356D" w:rsidRDefault="00CA356D" w:rsidP="00CA356D">
            <w:pPr>
              <w:jc w:val="center"/>
              <w:rPr>
                <w:rFonts w:cs="Arial"/>
                <w:b/>
                <w:bCs/>
                <w:sz w:val="18"/>
                <w:szCs w:val="18"/>
              </w:rPr>
            </w:pPr>
            <w:r w:rsidRPr="00CA356D">
              <w:rPr>
                <w:rFonts w:cs="Arial"/>
                <w:b/>
                <w:bCs/>
                <w:noProof/>
                <w:color w:val="FFFFFF" w:themeColor="background1"/>
                <w:sz w:val="18"/>
                <w:szCs w:val="18"/>
              </w:rPr>
              <mc:AlternateContent>
                <mc:Choice Requires="wps">
                  <w:drawing>
                    <wp:anchor distT="0" distB="0" distL="114300" distR="114300" simplePos="0" relativeHeight="251669504" behindDoc="1" locked="0" layoutInCell="1" allowOverlap="1" wp14:anchorId="5E1451C9" wp14:editId="4C9282DB">
                      <wp:simplePos x="0" y="0"/>
                      <wp:positionH relativeFrom="column">
                        <wp:posOffset>-71028</wp:posOffset>
                      </wp:positionH>
                      <wp:positionV relativeFrom="paragraph">
                        <wp:posOffset>705</wp:posOffset>
                      </wp:positionV>
                      <wp:extent cx="1194891" cy="545841"/>
                      <wp:effectExtent l="0" t="0" r="5715" b="6985"/>
                      <wp:wrapNone/>
                      <wp:docPr id="1096159870" name="Rectángulo: esquinas superiores redondeadas 2"/>
                      <wp:cNvGraphicFramePr/>
                      <a:graphic xmlns:a="http://schemas.openxmlformats.org/drawingml/2006/main">
                        <a:graphicData uri="http://schemas.microsoft.com/office/word/2010/wordprocessingShape">
                          <wps:wsp>
                            <wps:cNvSpPr/>
                            <wps:spPr>
                              <a:xfrm>
                                <a:off x="0" y="0"/>
                                <a:ext cx="1194891" cy="545841"/>
                              </a:xfrm>
                              <a:prstGeom prst="round2SameRect">
                                <a:avLst/>
                              </a:prstGeom>
                              <a:solidFill>
                                <a:srgbClr val="5F1F1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2DF3B" id="Rectángulo: esquinas superiores redondeadas 2" o:spid="_x0000_s1026" style="position:absolute;margin-left:-5.6pt;margin-top:.05pt;width:94.1pt;height:4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94891,545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" path="m90975,l1103916,v50244,,90975,40731,90975,90975l1194891,545841r,l,545841r,l,90975c,40731,40731,,90975,xe" fillcolor="#5f1f1f" stroked="f" strokeweight="1pt">
                      <v:stroke joinstyle="miter"/>
                      <v:path arrowok="t" o:connecttype="custom" o:connectlocs="90975,0;1103916,0;1194891,90975;1194891,545841;1194891,545841;0,545841;0,545841;0,90975;90975,0" o:connectangles="0,0,0,0,0,0,0,0,0"/>
                    </v:shape>
                  </w:pict>
                </mc:Fallback>
              </mc:AlternateContent>
            </w:r>
            <w:r w:rsidRPr="00CA356D">
              <w:rPr>
                <w:rFonts w:cs="Arial"/>
                <w:b/>
                <w:bCs/>
                <w:color w:val="FFFFFF" w:themeColor="background1"/>
                <w:sz w:val="18"/>
                <w:szCs w:val="18"/>
              </w:rPr>
              <w:t>Etapa de la vida</w:t>
            </w:r>
          </w:p>
        </w:tc>
        <w:tc>
          <w:tcPr>
            <w:tcW w:w="2640"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uto"/>
          </w:tcPr>
          <w:p w14:paraId="68738872" w14:textId="77777777" w:rsidR="00CA356D" w:rsidRPr="00CA356D" w:rsidRDefault="00CA356D" w:rsidP="00A04566">
            <w:pPr>
              <w:jc w:val="center"/>
              <w:rPr>
                <w:rFonts w:cs="Arial"/>
                <w:b/>
                <w:bCs/>
                <w:sz w:val="18"/>
                <w:szCs w:val="18"/>
              </w:rPr>
            </w:pPr>
            <w:r w:rsidRPr="00CA356D">
              <w:rPr>
                <w:rFonts w:cs="Arial"/>
                <w:b/>
                <w:bCs/>
                <w:noProof/>
                <w:sz w:val="18"/>
                <w:szCs w:val="18"/>
              </w:rPr>
              <w:drawing>
                <wp:anchor distT="0" distB="0" distL="114300" distR="114300" simplePos="0" relativeHeight="251670528" behindDoc="1" locked="0" layoutInCell="1" allowOverlap="1" wp14:anchorId="2BB2E88C" wp14:editId="0990064C">
                  <wp:simplePos x="0" y="0"/>
                  <wp:positionH relativeFrom="column">
                    <wp:posOffset>731520</wp:posOffset>
                  </wp:positionH>
                  <wp:positionV relativeFrom="paragraph">
                    <wp:posOffset>239395</wp:posOffset>
                  </wp:positionV>
                  <wp:extent cx="276225" cy="319022"/>
                  <wp:effectExtent l="0" t="0" r="0" b="5080"/>
                  <wp:wrapNone/>
                  <wp:docPr id="1489107949" name="Gráfico 4" descr="Perfil de muje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07949" name="Gráfico 1489107949" descr="Perfil de mujer con relleno sólido"/>
                          <pic:cNvPicPr/>
                        </pic:nvPicPr>
                        <pic:blipFill rotWithShape="1">
                          <a:blip r:embed="rId11">
                            <a:extLst>
                              <a:ext uri="{96DAC541-7B7A-43D3-8B79-37D633B846F1}">
                                <asvg:svgBlip xmlns:asvg="http://schemas.microsoft.com/office/drawing/2016/SVG/main" r:embed="rId12"/>
                              </a:ext>
                            </a:extLst>
                          </a:blip>
                          <a:srcRect l="14229" t="6097" r="13617" b="10569"/>
                          <a:stretch/>
                        </pic:blipFill>
                        <pic:spPr bwMode="auto">
                          <a:xfrm>
                            <a:off x="0" y="0"/>
                            <a:ext cx="276225" cy="3190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A356D">
              <w:rPr>
                <w:rFonts w:cs="Arial"/>
                <w:b/>
                <w:bCs/>
                <w:noProof/>
                <w:color w:val="FFFFFF" w:themeColor="background1"/>
                <w:sz w:val="18"/>
                <w:szCs w:val="18"/>
              </w:rPr>
              <mc:AlternateContent>
                <mc:Choice Requires="wps">
                  <w:drawing>
                    <wp:anchor distT="0" distB="0" distL="114300" distR="114300" simplePos="0" relativeHeight="251668480" behindDoc="1" locked="0" layoutInCell="1" allowOverlap="1" wp14:anchorId="754E575D" wp14:editId="597A8F1B">
                      <wp:simplePos x="0" y="0"/>
                      <wp:positionH relativeFrom="column">
                        <wp:posOffset>-68023</wp:posOffset>
                      </wp:positionH>
                      <wp:positionV relativeFrom="paragraph">
                        <wp:posOffset>6000</wp:posOffset>
                      </wp:positionV>
                      <wp:extent cx="1837055" cy="555172"/>
                      <wp:effectExtent l="0" t="0" r="0" b="0"/>
                      <wp:wrapNone/>
                      <wp:docPr id="208451887" name="Rectángulo: esquinas superiores redondeadas 3"/>
                      <wp:cNvGraphicFramePr/>
                      <a:graphic xmlns:a="http://schemas.openxmlformats.org/drawingml/2006/main">
                        <a:graphicData uri="http://schemas.microsoft.com/office/word/2010/wordprocessingShape">
                          <wps:wsp>
                            <wps:cNvSpPr/>
                            <wps:spPr>
                              <a:xfrm>
                                <a:off x="0" y="0"/>
                                <a:ext cx="1837055" cy="555172"/>
                              </a:xfrm>
                              <a:prstGeom prst="round2SameRect">
                                <a:avLst/>
                              </a:prstGeom>
                              <a:solidFill>
                                <a:srgbClr val="5F1F1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115627E" id="Rectángulo: esquinas superiores redondeadas 3" o:spid="_x0000_s1026" style="position:absolute;margin-left:-5.35pt;margin-top:.45pt;width:144.65pt;height:43.7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837055,555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" path="m92531,l1744524,v51103,,92531,41428,92531,92531l1837055,555172r,l,555172r,l,92531c,41428,41428,,92531,xe" fillcolor="#5f1f1f" stroked="f" strokeweight="1pt">
                      <v:stroke joinstyle="miter"/>
                      <v:path arrowok="t" o:connecttype="custom" o:connectlocs="92531,0;1744524,0;1837055,92531;1837055,555172;1837055,555172;0,555172;0,555172;0,92531;92531,0" o:connectangles="0,0,0,0,0,0,0,0,0"/>
                    </v:shape>
                  </w:pict>
                </mc:Fallback>
              </mc:AlternateContent>
            </w:r>
            <w:r w:rsidRPr="00CA356D">
              <w:rPr>
                <w:rFonts w:cs="Arial"/>
                <w:b/>
                <w:bCs/>
                <w:color w:val="FFFFFF" w:themeColor="background1"/>
                <w:sz w:val="18"/>
                <w:szCs w:val="18"/>
              </w:rPr>
              <w:t>Mujeres</w:t>
            </w:r>
          </w:p>
        </w:tc>
        <w:tc>
          <w:tcPr>
            <w:tcW w:w="2835"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uto"/>
          </w:tcPr>
          <w:p w14:paraId="33466437" w14:textId="77777777" w:rsidR="00CA356D" w:rsidRPr="00CA356D" w:rsidRDefault="00CA356D" w:rsidP="00A04566">
            <w:pPr>
              <w:jc w:val="center"/>
              <w:rPr>
                <w:rFonts w:cs="Arial"/>
                <w:b/>
                <w:bCs/>
                <w:sz w:val="18"/>
                <w:szCs w:val="18"/>
              </w:rPr>
            </w:pPr>
            <w:r w:rsidRPr="00CA356D">
              <w:rPr>
                <w:rFonts w:cs="Arial"/>
                <w:b/>
                <w:bCs/>
                <w:noProof/>
                <w:color w:val="FFFFFF" w:themeColor="background1"/>
                <w:sz w:val="18"/>
                <w:szCs w:val="18"/>
              </w:rPr>
              <w:drawing>
                <wp:anchor distT="0" distB="0" distL="114300" distR="114300" simplePos="0" relativeHeight="251673600" behindDoc="1" locked="0" layoutInCell="1" allowOverlap="1" wp14:anchorId="4DD0F69E" wp14:editId="6491F63F">
                  <wp:simplePos x="0" y="0"/>
                  <wp:positionH relativeFrom="column">
                    <wp:posOffset>728980</wp:posOffset>
                  </wp:positionH>
                  <wp:positionV relativeFrom="paragraph">
                    <wp:posOffset>245745</wp:posOffset>
                  </wp:positionV>
                  <wp:extent cx="292100" cy="304800"/>
                  <wp:effectExtent l="0" t="0" r="0" b="0"/>
                  <wp:wrapNone/>
                  <wp:docPr id="799551229" name="Gráfico 7" descr="Perfil de hombre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51229" name="Gráfico 799551229" descr="Perfil de hombre con relleno sólido"/>
                          <pic:cNvPicPr/>
                        </pic:nvPicPr>
                        <pic:blipFill rotWithShape="1">
                          <a:blip r:embed="rId13">
                            <a:extLst>
                              <a:ext uri="{96DAC541-7B7A-43D3-8B79-37D633B846F1}">
                                <asvg:svgBlip xmlns:asvg="http://schemas.microsoft.com/office/drawing/2016/SVG/main" r:embed="rId14"/>
                              </a:ext>
                            </a:extLst>
                          </a:blip>
                          <a:srcRect l="13556" t="11164" r="13078" b="12281"/>
                          <a:stretch/>
                        </pic:blipFill>
                        <pic:spPr bwMode="auto">
                          <a:xfrm>
                            <a:off x="0" y="0"/>
                            <a:ext cx="292100" cy="3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A356D">
              <w:rPr>
                <w:rFonts w:cs="Arial"/>
                <w:b/>
                <w:bCs/>
                <w:noProof/>
                <w:color w:val="FFFFFF" w:themeColor="background1"/>
                <w:sz w:val="18"/>
                <w:szCs w:val="18"/>
              </w:rPr>
              <mc:AlternateContent>
                <mc:Choice Requires="wps">
                  <w:drawing>
                    <wp:anchor distT="0" distB="0" distL="114300" distR="114300" simplePos="0" relativeHeight="251672576" behindDoc="1" locked="0" layoutInCell="1" allowOverlap="1" wp14:anchorId="4EA0A979" wp14:editId="049277F4">
                      <wp:simplePos x="0" y="0"/>
                      <wp:positionH relativeFrom="column">
                        <wp:posOffset>-51323</wp:posOffset>
                      </wp:positionH>
                      <wp:positionV relativeFrom="paragraph">
                        <wp:posOffset>4445</wp:posOffset>
                      </wp:positionV>
                      <wp:extent cx="1837727" cy="551815"/>
                      <wp:effectExtent l="0" t="0" r="0" b="635"/>
                      <wp:wrapNone/>
                      <wp:docPr id="2048839576" name="Rectángulo: esquinas superiores redondeadas 6"/>
                      <wp:cNvGraphicFramePr/>
                      <a:graphic xmlns:a="http://schemas.openxmlformats.org/drawingml/2006/main">
                        <a:graphicData uri="http://schemas.microsoft.com/office/word/2010/wordprocessingShape">
                          <wps:wsp>
                            <wps:cNvSpPr/>
                            <wps:spPr>
                              <a:xfrm>
                                <a:off x="0" y="0"/>
                                <a:ext cx="1837727" cy="551815"/>
                              </a:xfrm>
                              <a:prstGeom prst="round2SameRect">
                                <a:avLst/>
                              </a:prstGeom>
                              <a:solidFill>
                                <a:srgbClr val="5F1F1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B9D12B1" id="Rectángulo: esquinas superiores redondeadas 6" o:spid="_x0000_s1026" style="position:absolute;margin-left:-4.05pt;margin-top:.35pt;width:144.7pt;height:43.4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37727,55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" path="m91971,l1745756,v50794,,91971,41177,91971,91971l1837727,551815r,l,551815r,l,91971c,41177,41177,,91971,xe" fillcolor="#5f1f1f" stroked="f" strokeweight="1pt">
                      <v:stroke joinstyle="miter"/>
                      <v:path arrowok="t" o:connecttype="custom" o:connectlocs="91971,0;1745756,0;1837727,91971;1837727,551815;1837727,551815;0,551815;0,551815;0,91971;91971,0" o:connectangles="0,0,0,0,0,0,0,0,0"/>
                    </v:shape>
                  </w:pict>
                </mc:Fallback>
              </mc:AlternateContent>
            </w:r>
            <w:r w:rsidRPr="00CA356D">
              <w:rPr>
                <w:rFonts w:cs="Arial"/>
                <w:b/>
                <w:bCs/>
                <w:color w:val="FFFFFF" w:themeColor="background1"/>
                <w:sz w:val="18"/>
                <w:szCs w:val="18"/>
              </w:rPr>
              <w:t>Hombres</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uto"/>
          </w:tcPr>
          <w:p w14:paraId="2E7F73EA" w14:textId="77777777" w:rsidR="00CA356D" w:rsidRPr="00CA356D" w:rsidRDefault="00CA356D" w:rsidP="00A04566">
            <w:pPr>
              <w:jc w:val="center"/>
              <w:rPr>
                <w:rFonts w:cs="Arial"/>
                <w:b/>
                <w:bCs/>
                <w:sz w:val="18"/>
                <w:szCs w:val="18"/>
              </w:rPr>
            </w:pPr>
            <w:r w:rsidRPr="00CA356D">
              <w:rPr>
                <w:rFonts w:cs="Arial"/>
                <w:noProof/>
                <w:sz w:val="18"/>
                <w:szCs w:val="18"/>
              </w:rPr>
              <w:drawing>
                <wp:anchor distT="0" distB="0" distL="114300" distR="114300" simplePos="0" relativeHeight="251674624" behindDoc="0" locked="0" layoutInCell="1" allowOverlap="1" wp14:anchorId="02107BD3" wp14:editId="4D6AF943">
                  <wp:simplePos x="0" y="0"/>
                  <wp:positionH relativeFrom="margin">
                    <wp:posOffset>236538</wp:posOffset>
                  </wp:positionH>
                  <wp:positionV relativeFrom="paragraph">
                    <wp:posOffset>166052</wp:posOffset>
                  </wp:positionV>
                  <wp:extent cx="320324" cy="372110"/>
                  <wp:effectExtent l="0" t="0" r="3810" b="8890"/>
                  <wp:wrapNone/>
                  <wp:docPr id="684923879" name="Gráfico 8" descr="Grupo de personas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23879" name="Gráfico 684923879" descr="Grupo de personas con relleno sólido"/>
                          <pic:cNvPicPr/>
                        </pic:nvPicPr>
                        <pic:blipFill rotWithShape="1">
                          <a:blip r:embed="rId15">
                            <a:extLst>
                              <a:ext uri="{96DAC541-7B7A-43D3-8B79-37D633B846F1}">
                                <asvg:svgBlip xmlns:asvg="http://schemas.microsoft.com/office/drawing/2016/SVG/main" r:embed="rId16"/>
                              </a:ext>
                            </a:extLst>
                          </a:blip>
                          <a:srcRect l="9895" t="3125" r="6739"/>
                          <a:stretch/>
                        </pic:blipFill>
                        <pic:spPr bwMode="auto">
                          <a:xfrm>
                            <a:off x="0" y="0"/>
                            <a:ext cx="320324" cy="372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A356D">
              <w:rPr>
                <w:rFonts w:cs="Arial"/>
                <w:b/>
                <w:bCs/>
                <w:noProof/>
                <w:color w:val="FFFFFF" w:themeColor="background1"/>
                <w:sz w:val="18"/>
                <w:szCs w:val="18"/>
              </w:rPr>
              <mc:AlternateContent>
                <mc:Choice Requires="wps">
                  <w:drawing>
                    <wp:anchor distT="0" distB="0" distL="114300" distR="114300" simplePos="0" relativeHeight="251675648" behindDoc="1" locked="0" layoutInCell="1" allowOverlap="1" wp14:anchorId="1BE94E3F" wp14:editId="606B7544">
                      <wp:simplePos x="0" y="0"/>
                      <wp:positionH relativeFrom="column">
                        <wp:posOffset>-53340</wp:posOffset>
                      </wp:positionH>
                      <wp:positionV relativeFrom="paragraph">
                        <wp:posOffset>1270</wp:posOffset>
                      </wp:positionV>
                      <wp:extent cx="902017" cy="554990"/>
                      <wp:effectExtent l="0" t="0" r="0" b="0"/>
                      <wp:wrapNone/>
                      <wp:docPr id="187753204" name="Rectángulo: esquinas superiores redondeadas 10"/>
                      <wp:cNvGraphicFramePr/>
                      <a:graphic xmlns:a="http://schemas.openxmlformats.org/drawingml/2006/main">
                        <a:graphicData uri="http://schemas.microsoft.com/office/word/2010/wordprocessingShape">
                          <wps:wsp>
                            <wps:cNvSpPr/>
                            <wps:spPr>
                              <a:xfrm>
                                <a:off x="0" y="0"/>
                                <a:ext cx="902017" cy="554990"/>
                              </a:xfrm>
                              <a:prstGeom prst="round2SameRect">
                                <a:avLst/>
                              </a:prstGeom>
                              <a:solidFill>
                                <a:srgbClr val="5F1F1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CF5318" id="Rectángulo: esquinas superiores redondeadas 10" o:spid="_x0000_s1026" style="position:absolute;margin-left:-4.2pt;margin-top:.1pt;width:71pt;height:43.7pt;z-index:-251640832;visibility:visible;mso-wrap-style:square;mso-wrap-distance-left:9pt;mso-wrap-distance-top:0;mso-wrap-distance-right:9pt;mso-wrap-distance-bottom:0;mso-position-horizontal:absolute;mso-position-horizontal-relative:text;mso-position-vertical:absolute;mso-position-vertical-relative:text;v-text-anchor:middle" coordsize="902017,554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" path="m92500,l809517,v51086,,92500,41414,92500,92500l902017,554990r,l,554990r,l,92500c,41414,41414,,92500,xe" fillcolor="#5f1f1f" stroked="f" strokeweight="1pt">
                      <v:stroke joinstyle="miter"/>
                      <v:path arrowok="t" o:connecttype="custom" o:connectlocs="92500,0;809517,0;902017,92500;902017,554990;902017,554990;0,554990;0,554990;0,92500;92500,0" o:connectangles="0,0,0,0,0,0,0,0,0"/>
                    </v:shape>
                  </w:pict>
                </mc:Fallback>
              </mc:AlternateContent>
            </w:r>
            <w:r w:rsidRPr="00CA356D">
              <w:rPr>
                <w:rFonts w:cs="Arial"/>
                <w:b/>
                <w:bCs/>
                <w:color w:val="FFFFFF" w:themeColor="background1"/>
                <w:sz w:val="18"/>
                <w:szCs w:val="18"/>
              </w:rPr>
              <w:t>Total</w:t>
            </w:r>
          </w:p>
        </w:tc>
      </w:tr>
      <w:tr w:rsidR="00CA356D" w:rsidRPr="00CA356D" w14:paraId="6059B5A9" w14:textId="77777777" w:rsidTr="00496F8D">
        <w:trPr>
          <w:trHeight w:val="170"/>
          <w:jc w:val="center"/>
        </w:trPr>
        <w:tc>
          <w:tcPr>
            <w:tcW w:w="189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5F1F1F"/>
          </w:tcPr>
          <w:p w14:paraId="7BDCEAF2" w14:textId="77777777" w:rsidR="00CA356D" w:rsidRPr="00CA356D" w:rsidRDefault="00CA356D" w:rsidP="00A04566">
            <w:pPr>
              <w:jc w:val="center"/>
              <w:rPr>
                <w:rFonts w:cs="Arial"/>
                <w:b/>
                <w:bCs/>
                <w:sz w:val="18"/>
                <w:szCs w:val="18"/>
              </w:rPr>
            </w:pPr>
          </w:p>
        </w:tc>
        <w:tc>
          <w:tcPr>
            <w:tcW w:w="122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5F1F1F"/>
          </w:tcPr>
          <w:p w14:paraId="652E3C99" w14:textId="77777777" w:rsidR="00CA356D" w:rsidRPr="00CA356D" w:rsidRDefault="00CA356D" w:rsidP="00A04566">
            <w:pPr>
              <w:jc w:val="center"/>
              <w:rPr>
                <w:rFonts w:cs="Arial"/>
                <w:b/>
                <w:bCs/>
                <w:color w:val="FFFFFF" w:themeColor="background1"/>
                <w:sz w:val="18"/>
                <w:szCs w:val="18"/>
              </w:rPr>
            </w:pPr>
            <w:r w:rsidRPr="00CA356D">
              <w:rPr>
                <w:rFonts w:cs="Arial"/>
                <w:b/>
                <w:bCs/>
                <w:color w:val="FFFFFF" w:themeColor="background1"/>
                <w:sz w:val="18"/>
                <w:szCs w:val="18"/>
              </w:rPr>
              <w:t>Cantidad</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5F1F1F"/>
          </w:tcPr>
          <w:p w14:paraId="39D7AEFF" w14:textId="77777777" w:rsidR="00CA356D" w:rsidRPr="00CA356D" w:rsidRDefault="00CA356D" w:rsidP="00A04566">
            <w:pPr>
              <w:jc w:val="center"/>
              <w:rPr>
                <w:rFonts w:cs="Arial"/>
                <w:b/>
                <w:bCs/>
                <w:color w:val="FFFFFF" w:themeColor="background1"/>
                <w:sz w:val="18"/>
                <w:szCs w:val="18"/>
              </w:rPr>
            </w:pPr>
            <w:r w:rsidRPr="00CA356D">
              <w:rPr>
                <w:rFonts w:cs="Arial"/>
                <w:b/>
                <w:bCs/>
                <w:color w:val="FFFFFF" w:themeColor="background1"/>
                <w:sz w:val="18"/>
                <w:szCs w:val="18"/>
              </w:rPr>
              <w:t>%</w:t>
            </w:r>
          </w:p>
        </w:tc>
        <w:tc>
          <w:tcPr>
            <w:tcW w:w="127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5F1F1F"/>
          </w:tcPr>
          <w:p w14:paraId="22613851" w14:textId="77777777" w:rsidR="00CA356D" w:rsidRPr="00CA356D" w:rsidRDefault="00CA356D" w:rsidP="00A04566">
            <w:pPr>
              <w:jc w:val="center"/>
              <w:rPr>
                <w:rFonts w:cs="Arial"/>
                <w:b/>
                <w:bCs/>
                <w:color w:val="FFFFFF" w:themeColor="background1"/>
                <w:sz w:val="18"/>
                <w:szCs w:val="18"/>
              </w:rPr>
            </w:pPr>
            <w:r w:rsidRPr="00CA356D">
              <w:rPr>
                <w:rFonts w:cs="Arial"/>
                <w:b/>
                <w:bCs/>
                <w:color w:val="FFFFFF" w:themeColor="background1"/>
                <w:sz w:val="18"/>
                <w:szCs w:val="18"/>
              </w:rPr>
              <w:t>Cantidad</w:t>
            </w:r>
          </w:p>
        </w:tc>
        <w:tc>
          <w:tcPr>
            <w:tcW w:w="155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5F1F1F"/>
          </w:tcPr>
          <w:p w14:paraId="06BA4070" w14:textId="77777777" w:rsidR="00CA356D" w:rsidRPr="00CA356D" w:rsidRDefault="00CA356D" w:rsidP="00A04566">
            <w:pPr>
              <w:jc w:val="center"/>
              <w:rPr>
                <w:rFonts w:cs="Arial"/>
                <w:b/>
                <w:bCs/>
                <w:color w:val="FFFFFF" w:themeColor="background1"/>
                <w:sz w:val="18"/>
                <w:szCs w:val="18"/>
              </w:rPr>
            </w:pPr>
            <w:r w:rsidRPr="00CA356D">
              <w:rPr>
                <w:rFonts w:cs="Arial"/>
                <w:b/>
                <w:bCs/>
                <w:color w:val="FFFFFF" w:themeColor="background1"/>
                <w:sz w:val="18"/>
                <w:szCs w:val="18"/>
              </w:rPr>
              <w:t>%</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5F1F1F"/>
          </w:tcPr>
          <w:p w14:paraId="3246C754" w14:textId="77777777" w:rsidR="00CA356D" w:rsidRPr="00CA356D" w:rsidRDefault="00CA356D" w:rsidP="00A04566">
            <w:pPr>
              <w:jc w:val="center"/>
              <w:rPr>
                <w:rFonts w:cs="Arial"/>
                <w:b/>
                <w:bCs/>
                <w:sz w:val="18"/>
                <w:szCs w:val="18"/>
              </w:rPr>
            </w:pPr>
          </w:p>
        </w:tc>
      </w:tr>
      <w:tr w:rsidR="00CA356D" w:rsidRPr="00CA356D" w14:paraId="71036AEC" w14:textId="77777777" w:rsidTr="00382F53">
        <w:trPr>
          <w:trHeight w:val="170"/>
          <w:jc w:val="center"/>
        </w:trPr>
        <w:tc>
          <w:tcPr>
            <w:tcW w:w="189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6C9AED8F" w14:textId="77777777" w:rsidR="00CA356D" w:rsidRPr="00CA356D" w:rsidRDefault="00CA356D" w:rsidP="00A04566">
            <w:pPr>
              <w:jc w:val="center"/>
              <w:rPr>
                <w:rFonts w:cs="Arial"/>
                <w:b/>
                <w:bCs/>
                <w:sz w:val="18"/>
                <w:szCs w:val="18"/>
              </w:rPr>
            </w:pPr>
            <w:r w:rsidRPr="00CA356D">
              <w:rPr>
                <w:rFonts w:cs="Arial"/>
                <w:b/>
                <w:bCs/>
                <w:sz w:val="18"/>
                <w:szCs w:val="18"/>
              </w:rPr>
              <w:t>Niños</w:t>
            </w:r>
          </w:p>
          <w:p w14:paraId="0E9866A3" w14:textId="77777777" w:rsidR="00CA356D" w:rsidRPr="00CA356D" w:rsidRDefault="00CA356D" w:rsidP="00A04566">
            <w:pPr>
              <w:jc w:val="center"/>
              <w:rPr>
                <w:rFonts w:cs="Arial"/>
                <w:sz w:val="18"/>
                <w:szCs w:val="18"/>
              </w:rPr>
            </w:pPr>
            <w:r w:rsidRPr="00CA356D">
              <w:rPr>
                <w:rFonts w:cs="Arial"/>
                <w:sz w:val="18"/>
                <w:szCs w:val="18"/>
              </w:rPr>
              <w:t>(0 a 14 años)</w:t>
            </w:r>
          </w:p>
        </w:tc>
        <w:tc>
          <w:tcPr>
            <w:tcW w:w="122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7A62D0C" w14:textId="77777777" w:rsidR="00CA356D" w:rsidRPr="00CA356D" w:rsidRDefault="00CA356D" w:rsidP="00382F53">
            <w:pPr>
              <w:jc w:val="center"/>
              <w:rPr>
                <w:rFonts w:cs="Arial"/>
                <w:sz w:val="18"/>
                <w:szCs w:val="18"/>
              </w:rPr>
            </w:pPr>
            <w:r w:rsidRPr="00CA356D">
              <w:rPr>
                <w:rFonts w:cs="Arial"/>
                <w:sz w:val="18"/>
                <w:szCs w:val="18"/>
              </w:rPr>
              <w:t>82,677</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D1AD0D2" w14:textId="77777777" w:rsidR="00CA356D" w:rsidRPr="00CA356D" w:rsidRDefault="00CA356D" w:rsidP="00382F53">
            <w:pPr>
              <w:jc w:val="center"/>
              <w:rPr>
                <w:rFonts w:cs="Arial"/>
                <w:sz w:val="18"/>
                <w:szCs w:val="18"/>
              </w:rPr>
            </w:pPr>
            <w:r w:rsidRPr="00CA356D">
              <w:rPr>
                <w:rFonts w:cs="Arial"/>
                <w:sz w:val="18"/>
                <w:szCs w:val="18"/>
              </w:rPr>
              <w:t>10.88%</w:t>
            </w:r>
          </w:p>
        </w:tc>
        <w:tc>
          <w:tcPr>
            <w:tcW w:w="127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8C9C940" w14:textId="77777777" w:rsidR="00CA356D" w:rsidRPr="00CA356D" w:rsidRDefault="00CA356D" w:rsidP="00382F53">
            <w:pPr>
              <w:jc w:val="center"/>
              <w:rPr>
                <w:rFonts w:cs="Arial"/>
                <w:sz w:val="18"/>
                <w:szCs w:val="18"/>
              </w:rPr>
            </w:pPr>
            <w:r w:rsidRPr="00CA356D">
              <w:rPr>
                <w:rFonts w:cs="Arial"/>
                <w:sz w:val="18"/>
                <w:szCs w:val="18"/>
              </w:rPr>
              <w:t>86,548</w:t>
            </w:r>
          </w:p>
        </w:tc>
        <w:tc>
          <w:tcPr>
            <w:tcW w:w="155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03A8898" w14:textId="77777777" w:rsidR="00CA356D" w:rsidRPr="00CA356D" w:rsidRDefault="00CA356D" w:rsidP="00382F53">
            <w:pPr>
              <w:jc w:val="center"/>
              <w:rPr>
                <w:rFonts w:cs="Arial"/>
                <w:sz w:val="18"/>
                <w:szCs w:val="18"/>
              </w:rPr>
            </w:pPr>
            <w:r w:rsidRPr="00CA356D">
              <w:rPr>
                <w:rFonts w:cs="Arial"/>
                <w:sz w:val="18"/>
                <w:szCs w:val="18"/>
              </w:rPr>
              <w:t>11.39%</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0972215" w14:textId="77777777" w:rsidR="00CA356D" w:rsidRPr="00CA356D" w:rsidRDefault="00CA356D" w:rsidP="00382F53">
            <w:pPr>
              <w:jc w:val="center"/>
              <w:rPr>
                <w:rFonts w:cs="Arial"/>
                <w:sz w:val="18"/>
                <w:szCs w:val="18"/>
              </w:rPr>
            </w:pPr>
            <w:r w:rsidRPr="00CA356D">
              <w:rPr>
                <w:rFonts w:cs="Arial"/>
                <w:sz w:val="18"/>
                <w:szCs w:val="18"/>
              </w:rPr>
              <w:t>169,225</w:t>
            </w:r>
          </w:p>
        </w:tc>
      </w:tr>
      <w:tr w:rsidR="00CA356D" w:rsidRPr="00CA356D" w14:paraId="221C121F" w14:textId="77777777" w:rsidTr="00382F53">
        <w:trPr>
          <w:trHeight w:val="170"/>
          <w:jc w:val="center"/>
        </w:trPr>
        <w:tc>
          <w:tcPr>
            <w:tcW w:w="189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2B29E422" w14:textId="77777777" w:rsidR="00CA356D" w:rsidRPr="00CA356D" w:rsidRDefault="00CA356D" w:rsidP="00A04566">
            <w:pPr>
              <w:jc w:val="center"/>
              <w:rPr>
                <w:rFonts w:cs="Arial"/>
                <w:b/>
                <w:bCs/>
                <w:sz w:val="18"/>
                <w:szCs w:val="18"/>
              </w:rPr>
            </w:pPr>
            <w:r w:rsidRPr="00CA356D">
              <w:rPr>
                <w:rFonts w:cs="Arial"/>
                <w:b/>
                <w:bCs/>
                <w:sz w:val="18"/>
                <w:szCs w:val="18"/>
              </w:rPr>
              <w:t xml:space="preserve">Jóvenes </w:t>
            </w:r>
          </w:p>
          <w:p w14:paraId="0121C4B2" w14:textId="77777777" w:rsidR="00CA356D" w:rsidRPr="00CA356D" w:rsidRDefault="00CA356D" w:rsidP="00A04566">
            <w:pPr>
              <w:jc w:val="center"/>
              <w:rPr>
                <w:rFonts w:cs="Arial"/>
                <w:sz w:val="18"/>
                <w:szCs w:val="18"/>
              </w:rPr>
            </w:pPr>
            <w:r w:rsidRPr="00CA356D">
              <w:rPr>
                <w:rFonts w:cs="Arial"/>
                <w:sz w:val="18"/>
                <w:szCs w:val="18"/>
              </w:rPr>
              <w:t>(15 a 24 años)</w:t>
            </w:r>
          </w:p>
        </w:tc>
        <w:tc>
          <w:tcPr>
            <w:tcW w:w="122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7839A10" w14:textId="77777777" w:rsidR="00CA356D" w:rsidRPr="00CA356D" w:rsidRDefault="00CA356D" w:rsidP="00382F53">
            <w:pPr>
              <w:jc w:val="center"/>
              <w:rPr>
                <w:rFonts w:cs="Arial"/>
                <w:sz w:val="18"/>
                <w:szCs w:val="18"/>
              </w:rPr>
            </w:pPr>
            <w:r w:rsidRPr="00CA356D">
              <w:rPr>
                <w:rFonts w:cs="Arial"/>
                <w:sz w:val="18"/>
                <w:szCs w:val="18"/>
              </w:rPr>
              <w:t>62,606</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EBA1088" w14:textId="77777777" w:rsidR="00CA356D" w:rsidRPr="00CA356D" w:rsidRDefault="00CA356D" w:rsidP="00382F53">
            <w:pPr>
              <w:jc w:val="center"/>
              <w:rPr>
                <w:rFonts w:cs="Arial"/>
                <w:sz w:val="18"/>
                <w:szCs w:val="18"/>
              </w:rPr>
            </w:pPr>
            <w:r w:rsidRPr="00CA356D">
              <w:rPr>
                <w:rFonts w:cs="Arial"/>
                <w:sz w:val="18"/>
                <w:szCs w:val="18"/>
              </w:rPr>
              <w:t>8.24%</w:t>
            </w:r>
          </w:p>
        </w:tc>
        <w:tc>
          <w:tcPr>
            <w:tcW w:w="127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3192A01" w14:textId="77777777" w:rsidR="00CA356D" w:rsidRPr="00CA356D" w:rsidRDefault="00CA356D" w:rsidP="00382F53">
            <w:pPr>
              <w:jc w:val="center"/>
              <w:rPr>
                <w:rFonts w:cs="Arial"/>
                <w:sz w:val="18"/>
                <w:szCs w:val="18"/>
              </w:rPr>
            </w:pPr>
            <w:r w:rsidRPr="00CA356D">
              <w:rPr>
                <w:rFonts w:cs="Arial"/>
                <w:sz w:val="18"/>
                <w:szCs w:val="18"/>
              </w:rPr>
              <w:t>64,715</w:t>
            </w:r>
          </w:p>
        </w:tc>
        <w:tc>
          <w:tcPr>
            <w:tcW w:w="155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76D3C70" w14:textId="77777777" w:rsidR="00CA356D" w:rsidRPr="00CA356D" w:rsidRDefault="00CA356D" w:rsidP="00382F53">
            <w:pPr>
              <w:jc w:val="center"/>
              <w:rPr>
                <w:rFonts w:cs="Arial"/>
                <w:sz w:val="18"/>
                <w:szCs w:val="18"/>
              </w:rPr>
            </w:pPr>
            <w:r w:rsidRPr="00CA356D">
              <w:rPr>
                <w:rFonts w:cs="Arial"/>
                <w:sz w:val="18"/>
                <w:szCs w:val="18"/>
              </w:rPr>
              <w:t>8.52%</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4B44085" w14:textId="77777777" w:rsidR="00CA356D" w:rsidRPr="00CA356D" w:rsidRDefault="00CA356D" w:rsidP="00382F53">
            <w:pPr>
              <w:jc w:val="center"/>
              <w:rPr>
                <w:rFonts w:cs="Arial"/>
                <w:sz w:val="18"/>
                <w:szCs w:val="18"/>
              </w:rPr>
            </w:pPr>
            <w:r w:rsidRPr="00CA356D">
              <w:rPr>
                <w:rFonts w:cs="Arial"/>
                <w:sz w:val="18"/>
                <w:szCs w:val="18"/>
              </w:rPr>
              <w:t>127,321</w:t>
            </w:r>
          </w:p>
        </w:tc>
      </w:tr>
      <w:tr w:rsidR="00CA356D" w:rsidRPr="00CA356D" w14:paraId="6559E00F" w14:textId="77777777" w:rsidTr="00382F53">
        <w:trPr>
          <w:trHeight w:val="170"/>
          <w:jc w:val="center"/>
        </w:trPr>
        <w:tc>
          <w:tcPr>
            <w:tcW w:w="189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29F00701" w14:textId="77777777" w:rsidR="00CA356D" w:rsidRPr="00CA356D" w:rsidRDefault="00CA356D" w:rsidP="00A04566">
            <w:pPr>
              <w:jc w:val="center"/>
              <w:rPr>
                <w:rFonts w:cs="Arial"/>
                <w:b/>
                <w:bCs/>
                <w:sz w:val="18"/>
                <w:szCs w:val="18"/>
              </w:rPr>
            </w:pPr>
            <w:r w:rsidRPr="00CA356D">
              <w:rPr>
                <w:rFonts w:cs="Arial"/>
                <w:b/>
                <w:bCs/>
                <w:sz w:val="18"/>
                <w:szCs w:val="18"/>
              </w:rPr>
              <w:t xml:space="preserve">Jóvenes adultos </w:t>
            </w:r>
          </w:p>
          <w:p w14:paraId="78497FBC" w14:textId="77777777" w:rsidR="00CA356D" w:rsidRPr="00CA356D" w:rsidRDefault="00CA356D" w:rsidP="00A04566">
            <w:pPr>
              <w:jc w:val="center"/>
              <w:rPr>
                <w:rFonts w:cs="Arial"/>
                <w:sz w:val="18"/>
                <w:szCs w:val="18"/>
              </w:rPr>
            </w:pPr>
            <w:r w:rsidRPr="00CA356D">
              <w:rPr>
                <w:rFonts w:cs="Arial"/>
                <w:sz w:val="18"/>
                <w:szCs w:val="18"/>
              </w:rPr>
              <w:t>(25 a 44 años)</w:t>
            </w:r>
          </w:p>
        </w:tc>
        <w:tc>
          <w:tcPr>
            <w:tcW w:w="122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6B64F5A" w14:textId="77777777" w:rsidR="00CA356D" w:rsidRPr="00CA356D" w:rsidRDefault="00CA356D" w:rsidP="00382F53">
            <w:pPr>
              <w:jc w:val="center"/>
              <w:rPr>
                <w:rFonts w:cs="Arial"/>
                <w:sz w:val="18"/>
                <w:szCs w:val="18"/>
              </w:rPr>
            </w:pPr>
            <w:r w:rsidRPr="00CA356D">
              <w:rPr>
                <w:rFonts w:cs="Arial"/>
                <w:sz w:val="18"/>
                <w:szCs w:val="18"/>
              </w:rPr>
              <w:t>118,972</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B0EF382" w14:textId="77777777" w:rsidR="00CA356D" w:rsidRPr="00CA356D" w:rsidRDefault="00CA356D" w:rsidP="00382F53">
            <w:pPr>
              <w:jc w:val="center"/>
              <w:rPr>
                <w:rFonts w:cs="Arial"/>
                <w:sz w:val="18"/>
                <w:szCs w:val="18"/>
              </w:rPr>
            </w:pPr>
            <w:r w:rsidRPr="00CA356D">
              <w:rPr>
                <w:rFonts w:cs="Arial"/>
                <w:sz w:val="18"/>
                <w:szCs w:val="18"/>
              </w:rPr>
              <w:t>15.66%</w:t>
            </w:r>
          </w:p>
        </w:tc>
        <w:tc>
          <w:tcPr>
            <w:tcW w:w="127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7A08476" w14:textId="77777777" w:rsidR="00CA356D" w:rsidRPr="00CA356D" w:rsidRDefault="00CA356D" w:rsidP="00382F53">
            <w:pPr>
              <w:jc w:val="center"/>
              <w:rPr>
                <w:rFonts w:cs="Arial"/>
                <w:sz w:val="18"/>
                <w:szCs w:val="18"/>
              </w:rPr>
            </w:pPr>
            <w:r w:rsidRPr="00CA356D">
              <w:rPr>
                <w:rFonts w:cs="Arial"/>
                <w:sz w:val="18"/>
                <w:szCs w:val="18"/>
              </w:rPr>
              <w:t>115,250</w:t>
            </w:r>
          </w:p>
        </w:tc>
        <w:tc>
          <w:tcPr>
            <w:tcW w:w="155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4069296" w14:textId="77777777" w:rsidR="00CA356D" w:rsidRPr="00CA356D" w:rsidRDefault="00CA356D" w:rsidP="00382F53">
            <w:pPr>
              <w:jc w:val="center"/>
              <w:rPr>
                <w:rFonts w:cs="Arial"/>
                <w:sz w:val="18"/>
                <w:szCs w:val="18"/>
              </w:rPr>
            </w:pPr>
            <w:r w:rsidRPr="00CA356D">
              <w:rPr>
                <w:rFonts w:cs="Arial"/>
                <w:sz w:val="18"/>
                <w:szCs w:val="18"/>
              </w:rPr>
              <w:t>15.17%</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B3257AA" w14:textId="77777777" w:rsidR="00CA356D" w:rsidRPr="00CA356D" w:rsidRDefault="00CA356D" w:rsidP="00382F53">
            <w:pPr>
              <w:jc w:val="center"/>
              <w:rPr>
                <w:rFonts w:cs="Arial"/>
                <w:sz w:val="18"/>
                <w:szCs w:val="18"/>
              </w:rPr>
            </w:pPr>
            <w:r w:rsidRPr="00CA356D">
              <w:rPr>
                <w:rFonts w:cs="Arial"/>
                <w:sz w:val="18"/>
                <w:szCs w:val="18"/>
              </w:rPr>
              <w:t>234,222</w:t>
            </w:r>
          </w:p>
        </w:tc>
      </w:tr>
      <w:tr w:rsidR="00CA356D" w:rsidRPr="00CA356D" w14:paraId="10B5C5DF" w14:textId="77777777" w:rsidTr="00382F53">
        <w:trPr>
          <w:trHeight w:val="170"/>
          <w:jc w:val="center"/>
        </w:trPr>
        <w:tc>
          <w:tcPr>
            <w:tcW w:w="189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43F58E58" w14:textId="77777777" w:rsidR="00CA356D" w:rsidRPr="00CA356D" w:rsidRDefault="00CA356D" w:rsidP="00A04566">
            <w:pPr>
              <w:jc w:val="center"/>
              <w:rPr>
                <w:rFonts w:cs="Arial"/>
                <w:b/>
                <w:bCs/>
                <w:sz w:val="18"/>
                <w:szCs w:val="18"/>
              </w:rPr>
            </w:pPr>
            <w:r w:rsidRPr="00CA356D">
              <w:rPr>
                <w:rFonts w:cs="Arial"/>
                <w:b/>
                <w:bCs/>
                <w:sz w:val="18"/>
                <w:szCs w:val="18"/>
              </w:rPr>
              <w:t>Adultos</w:t>
            </w:r>
          </w:p>
          <w:p w14:paraId="3E629937" w14:textId="77777777" w:rsidR="00CA356D" w:rsidRPr="00CA356D" w:rsidRDefault="00CA356D" w:rsidP="00A04566">
            <w:pPr>
              <w:jc w:val="center"/>
              <w:rPr>
                <w:rFonts w:cs="Arial"/>
                <w:sz w:val="18"/>
                <w:szCs w:val="18"/>
              </w:rPr>
            </w:pPr>
            <w:r w:rsidRPr="00CA356D">
              <w:rPr>
                <w:rFonts w:cs="Arial"/>
                <w:sz w:val="18"/>
                <w:szCs w:val="18"/>
              </w:rPr>
              <w:t>(45 a 64 años)</w:t>
            </w:r>
          </w:p>
        </w:tc>
        <w:tc>
          <w:tcPr>
            <w:tcW w:w="122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79CA540" w14:textId="77777777" w:rsidR="00CA356D" w:rsidRPr="00CA356D" w:rsidRDefault="00CA356D" w:rsidP="00382F53">
            <w:pPr>
              <w:jc w:val="center"/>
              <w:rPr>
                <w:rFonts w:cs="Arial"/>
                <w:sz w:val="18"/>
                <w:szCs w:val="18"/>
              </w:rPr>
            </w:pPr>
            <w:r w:rsidRPr="00CA356D">
              <w:rPr>
                <w:rFonts w:cs="Arial"/>
                <w:sz w:val="18"/>
                <w:szCs w:val="18"/>
              </w:rPr>
              <w:t>83,960</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F7C7305" w14:textId="77777777" w:rsidR="00CA356D" w:rsidRPr="00CA356D" w:rsidRDefault="00CA356D" w:rsidP="00382F53">
            <w:pPr>
              <w:jc w:val="center"/>
              <w:rPr>
                <w:rFonts w:cs="Arial"/>
                <w:sz w:val="18"/>
                <w:szCs w:val="18"/>
              </w:rPr>
            </w:pPr>
            <w:r w:rsidRPr="00CA356D">
              <w:rPr>
                <w:rFonts w:cs="Arial"/>
                <w:sz w:val="18"/>
                <w:szCs w:val="18"/>
              </w:rPr>
              <w:t>11.05%</w:t>
            </w:r>
          </w:p>
        </w:tc>
        <w:tc>
          <w:tcPr>
            <w:tcW w:w="127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45580CC" w14:textId="77777777" w:rsidR="00CA356D" w:rsidRPr="00CA356D" w:rsidRDefault="00CA356D" w:rsidP="00382F53">
            <w:pPr>
              <w:jc w:val="center"/>
              <w:rPr>
                <w:rFonts w:cs="Arial"/>
                <w:sz w:val="18"/>
                <w:szCs w:val="18"/>
              </w:rPr>
            </w:pPr>
            <w:r w:rsidRPr="00CA356D">
              <w:rPr>
                <w:rFonts w:cs="Arial"/>
                <w:sz w:val="18"/>
                <w:szCs w:val="18"/>
              </w:rPr>
              <w:t>77,518</w:t>
            </w:r>
          </w:p>
        </w:tc>
        <w:tc>
          <w:tcPr>
            <w:tcW w:w="155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F3B0739" w14:textId="77777777" w:rsidR="00CA356D" w:rsidRPr="00CA356D" w:rsidRDefault="00CA356D" w:rsidP="00382F53">
            <w:pPr>
              <w:jc w:val="center"/>
              <w:rPr>
                <w:rFonts w:cs="Arial"/>
                <w:sz w:val="18"/>
                <w:szCs w:val="18"/>
              </w:rPr>
            </w:pPr>
            <w:r w:rsidRPr="00CA356D">
              <w:rPr>
                <w:rFonts w:cs="Arial"/>
                <w:sz w:val="18"/>
                <w:szCs w:val="18"/>
              </w:rPr>
              <w:t>10.20%</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690EBE0" w14:textId="77777777" w:rsidR="00CA356D" w:rsidRPr="00CA356D" w:rsidRDefault="00CA356D" w:rsidP="00382F53">
            <w:pPr>
              <w:jc w:val="center"/>
              <w:rPr>
                <w:rFonts w:cs="Arial"/>
                <w:sz w:val="18"/>
                <w:szCs w:val="18"/>
              </w:rPr>
            </w:pPr>
            <w:r w:rsidRPr="00CA356D">
              <w:rPr>
                <w:rFonts w:cs="Arial"/>
                <w:sz w:val="18"/>
                <w:szCs w:val="18"/>
              </w:rPr>
              <w:t>161,478</w:t>
            </w:r>
          </w:p>
        </w:tc>
      </w:tr>
      <w:tr w:rsidR="00CA356D" w:rsidRPr="00CA356D" w14:paraId="441048BE" w14:textId="77777777" w:rsidTr="00382F53">
        <w:trPr>
          <w:trHeight w:val="170"/>
          <w:jc w:val="center"/>
        </w:trPr>
        <w:tc>
          <w:tcPr>
            <w:tcW w:w="189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2874B928" w14:textId="77777777" w:rsidR="00CA356D" w:rsidRPr="00CA356D" w:rsidRDefault="00CA356D" w:rsidP="00A04566">
            <w:pPr>
              <w:jc w:val="center"/>
              <w:rPr>
                <w:rFonts w:cs="Arial"/>
                <w:b/>
                <w:bCs/>
                <w:sz w:val="18"/>
                <w:szCs w:val="18"/>
              </w:rPr>
            </w:pPr>
            <w:r w:rsidRPr="00CA356D">
              <w:rPr>
                <w:rFonts w:cs="Arial"/>
                <w:b/>
                <w:bCs/>
                <w:sz w:val="18"/>
                <w:szCs w:val="18"/>
              </w:rPr>
              <w:t xml:space="preserve">Adultos mayores </w:t>
            </w:r>
          </w:p>
          <w:p w14:paraId="20EFEF67" w14:textId="77777777" w:rsidR="00CA356D" w:rsidRPr="00CA356D" w:rsidRDefault="00CA356D" w:rsidP="00A04566">
            <w:pPr>
              <w:jc w:val="center"/>
              <w:rPr>
                <w:rFonts w:cs="Arial"/>
                <w:sz w:val="18"/>
                <w:szCs w:val="18"/>
              </w:rPr>
            </w:pPr>
            <w:r w:rsidRPr="00CA356D">
              <w:rPr>
                <w:rFonts w:cs="Arial"/>
                <w:sz w:val="18"/>
                <w:szCs w:val="18"/>
              </w:rPr>
              <w:t>(65 años o más)</w:t>
            </w:r>
          </w:p>
        </w:tc>
        <w:tc>
          <w:tcPr>
            <w:tcW w:w="122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FBFFAEA" w14:textId="77777777" w:rsidR="00CA356D" w:rsidRPr="00CA356D" w:rsidRDefault="00CA356D" w:rsidP="00382F53">
            <w:pPr>
              <w:jc w:val="center"/>
              <w:rPr>
                <w:rFonts w:cs="Arial"/>
                <w:sz w:val="18"/>
                <w:szCs w:val="18"/>
              </w:rPr>
            </w:pPr>
            <w:r w:rsidRPr="00CA356D">
              <w:rPr>
                <w:rFonts w:cs="Arial"/>
                <w:sz w:val="18"/>
                <w:szCs w:val="18"/>
              </w:rPr>
              <w:t>35,507</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309BB32" w14:textId="77777777" w:rsidR="00CA356D" w:rsidRPr="00CA356D" w:rsidRDefault="00CA356D" w:rsidP="00382F53">
            <w:pPr>
              <w:jc w:val="center"/>
              <w:rPr>
                <w:rFonts w:cs="Arial"/>
                <w:sz w:val="18"/>
                <w:szCs w:val="18"/>
              </w:rPr>
            </w:pPr>
            <w:r w:rsidRPr="00CA356D">
              <w:rPr>
                <w:rFonts w:cs="Arial"/>
                <w:sz w:val="18"/>
                <w:szCs w:val="18"/>
              </w:rPr>
              <w:t>4.67%</w:t>
            </w:r>
          </w:p>
        </w:tc>
        <w:tc>
          <w:tcPr>
            <w:tcW w:w="127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75F6559" w14:textId="77777777" w:rsidR="00CA356D" w:rsidRPr="00CA356D" w:rsidRDefault="00CA356D" w:rsidP="00382F53">
            <w:pPr>
              <w:jc w:val="center"/>
              <w:rPr>
                <w:rFonts w:cs="Arial"/>
                <w:sz w:val="18"/>
                <w:szCs w:val="18"/>
              </w:rPr>
            </w:pPr>
            <w:r w:rsidRPr="00CA356D">
              <w:rPr>
                <w:rFonts w:cs="Arial"/>
                <w:sz w:val="18"/>
                <w:szCs w:val="18"/>
              </w:rPr>
              <w:t>32,190</w:t>
            </w:r>
          </w:p>
        </w:tc>
        <w:tc>
          <w:tcPr>
            <w:tcW w:w="155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1BFEEAA" w14:textId="77777777" w:rsidR="00CA356D" w:rsidRPr="00CA356D" w:rsidRDefault="00CA356D" w:rsidP="00382F53">
            <w:pPr>
              <w:jc w:val="center"/>
              <w:rPr>
                <w:rFonts w:cs="Arial"/>
                <w:sz w:val="18"/>
                <w:szCs w:val="18"/>
              </w:rPr>
            </w:pPr>
            <w:r w:rsidRPr="00CA356D">
              <w:rPr>
                <w:rFonts w:cs="Arial"/>
                <w:sz w:val="18"/>
                <w:szCs w:val="18"/>
              </w:rPr>
              <w:t>4.24%</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B338F61" w14:textId="77777777" w:rsidR="00CA356D" w:rsidRPr="00CA356D" w:rsidRDefault="00CA356D" w:rsidP="00382F53">
            <w:pPr>
              <w:jc w:val="center"/>
              <w:rPr>
                <w:rFonts w:cs="Arial"/>
                <w:sz w:val="18"/>
                <w:szCs w:val="18"/>
              </w:rPr>
            </w:pPr>
            <w:r w:rsidRPr="00CA356D">
              <w:rPr>
                <w:rFonts w:cs="Arial"/>
                <w:sz w:val="18"/>
                <w:szCs w:val="18"/>
              </w:rPr>
              <w:t>67,697</w:t>
            </w:r>
          </w:p>
        </w:tc>
      </w:tr>
      <w:tr w:rsidR="00CA356D" w:rsidRPr="00CA356D" w14:paraId="20D39C28" w14:textId="77777777" w:rsidTr="00382F53">
        <w:trPr>
          <w:trHeight w:val="170"/>
          <w:jc w:val="center"/>
        </w:trPr>
        <w:tc>
          <w:tcPr>
            <w:tcW w:w="189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67171" w:themeFill="background2" w:themeFillShade="80"/>
          </w:tcPr>
          <w:p w14:paraId="3FC37CF6" w14:textId="77777777" w:rsidR="00CA356D" w:rsidRPr="00CA356D" w:rsidRDefault="00CA356D" w:rsidP="00A04566">
            <w:pPr>
              <w:jc w:val="center"/>
              <w:rPr>
                <w:rFonts w:cs="Arial"/>
                <w:b/>
                <w:bCs/>
                <w:color w:val="FFFFFF" w:themeColor="background1"/>
                <w:sz w:val="18"/>
                <w:szCs w:val="18"/>
              </w:rPr>
            </w:pPr>
            <w:r w:rsidRPr="00CA356D">
              <w:rPr>
                <w:rFonts w:cs="Arial"/>
                <w:b/>
                <w:bCs/>
                <w:color w:val="FFFFFF" w:themeColor="background1"/>
                <w:sz w:val="18"/>
                <w:szCs w:val="18"/>
              </w:rPr>
              <w:t>Total</w:t>
            </w:r>
          </w:p>
        </w:tc>
        <w:tc>
          <w:tcPr>
            <w:tcW w:w="122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67171" w:themeFill="background2" w:themeFillShade="80"/>
            <w:vAlign w:val="center"/>
          </w:tcPr>
          <w:p w14:paraId="499DBE56" w14:textId="77777777" w:rsidR="00CA356D" w:rsidRPr="00CA356D" w:rsidRDefault="00CA356D" w:rsidP="00382F53">
            <w:pPr>
              <w:jc w:val="center"/>
              <w:rPr>
                <w:rFonts w:cs="Arial"/>
                <w:b/>
                <w:bCs/>
                <w:color w:val="FFFFFF" w:themeColor="background1"/>
                <w:sz w:val="18"/>
                <w:szCs w:val="18"/>
              </w:rPr>
            </w:pPr>
            <w:r w:rsidRPr="00CA356D">
              <w:rPr>
                <w:rFonts w:cs="Arial"/>
                <w:b/>
                <w:bCs/>
                <w:color w:val="FFFFFF" w:themeColor="background1"/>
                <w:sz w:val="18"/>
                <w:szCs w:val="18"/>
              </w:rPr>
              <w:t>383,722</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67171" w:themeFill="background2" w:themeFillShade="80"/>
            <w:vAlign w:val="center"/>
          </w:tcPr>
          <w:p w14:paraId="439BC255" w14:textId="77777777" w:rsidR="00CA356D" w:rsidRPr="00CA356D" w:rsidRDefault="00CA356D" w:rsidP="00382F53">
            <w:pPr>
              <w:jc w:val="center"/>
              <w:rPr>
                <w:rFonts w:cs="Arial"/>
                <w:b/>
                <w:bCs/>
                <w:color w:val="FFFFFF" w:themeColor="background1"/>
                <w:sz w:val="18"/>
                <w:szCs w:val="18"/>
              </w:rPr>
            </w:pPr>
            <w:r w:rsidRPr="00CA356D">
              <w:rPr>
                <w:rFonts w:cs="Arial"/>
                <w:b/>
                <w:bCs/>
                <w:color w:val="FFFFFF" w:themeColor="background1"/>
                <w:sz w:val="18"/>
                <w:szCs w:val="18"/>
              </w:rPr>
              <w:t>50.49%</w:t>
            </w:r>
          </w:p>
        </w:tc>
        <w:tc>
          <w:tcPr>
            <w:tcW w:w="127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67171" w:themeFill="background2" w:themeFillShade="80"/>
            <w:vAlign w:val="center"/>
          </w:tcPr>
          <w:p w14:paraId="497B0F98" w14:textId="77777777" w:rsidR="00CA356D" w:rsidRPr="00CA356D" w:rsidRDefault="00CA356D" w:rsidP="00382F53">
            <w:pPr>
              <w:jc w:val="center"/>
              <w:rPr>
                <w:rFonts w:cs="Arial"/>
                <w:b/>
                <w:bCs/>
                <w:color w:val="FFFFFF" w:themeColor="background1"/>
                <w:sz w:val="18"/>
                <w:szCs w:val="18"/>
              </w:rPr>
            </w:pPr>
            <w:r w:rsidRPr="00CA356D">
              <w:rPr>
                <w:rFonts w:cs="Arial"/>
                <w:b/>
                <w:bCs/>
                <w:color w:val="FFFFFF" w:themeColor="background1"/>
                <w:sz w:val="18"/>
                <w:szCs w:val="18"/>
              </w:rPr>
              <w:t>376,221</w:t>
            </w:r>
          </w:p>
        </w:tc>
        <w:tc>
          <w:tcPr>
            <w:tcW w:w="155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67171" w:themeFill="background2" w:themeFillShade="80"/>
            <w:vAlign w:val="center"/>
          </w:tcPr>
          <w:p w14:paraId="11121675" w14:textId="77777777" w:rsidR="00CA356D" w:rsidRPr="00CA356D" w:rsidRDefault="00CA356D" w:rsidP="00382F53">
            <w:pPr>
              <w:jc w:val="center"/>
              <w:rPr>
                <w:rFonts w:cs="Arial"/>
                <w:b/>
                <w:bCs/>
                <w:color w:val="FFFFFF" w:themeColor="background1"/>
                <w:sz w:val="18"/>
                <w:szCs w:val="18"/>
              </w:rPr>
            </w:pPr>
            <w:r w:rsidRPr="00CA356D">
              <w:rPr>
                <w:rFonts w:cs="Arial"/>
                <w:b/>
                <w:bCs/>
                <w:color w:val="FFFFFF" w:themeColor="background1"/>
                <w:sz w:val="18"/>
                <w:szCs w:val="18"/>
              </w:rPr>
              <w:t>49.51%</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67171" w:themeFill="background2" w:themeFillShade="80"/>
            <w:vAlign w:val="center"/>
          </w:tcPr>
          <w:p w14:paraId="7DF450FB" w14:textId="77777777" w:rsidR="00CA356D" w:rsidRPr="00CA356D" w:rsidRDefault="00CA356D" w:rsidP="00382F53">
            <w:pPr>
              <w:jc w:val="center"/>
              <w:rPr>
                <w:rFonts w:cs="Arial"/>
                <w:b/>
                <w:bCs/>
                <w:color w:val="FFFFFF" w:themeColor="background1"/>
                <w:sz w:val="18"/>
                <w:szCs w:val="18"/>
              </w:rPr>
            </w:pPr>
            <w:r w:rsidRPr="00CA356D">
              <w:rPr>
                <w:rFonts w:cs="Arial"/>
                <w:b/>
                <w:bCs/>
                <w:color w:val="FFFFFF" w:themeColor="background1"/>
                <w:sz w:val="18"/>
                <w:szCs w:val="18"/>
              </w:rPr>
              <w:t>759,943</w:t>
            </w:r>
          </w:p>
        </w:tc>
      </w:tr>
    </w:tbl>
    <w:p w14:paraId="0CEFCE4F" w14:textId="3454D723" w:rsidR="00CA356D" w:rsidRPr="00496F8D" w:rsidRDefault="00496F8D" w:rsidP="00921074">
      <w:pPr>
        <w:rPr>
          <w:rFonts w:cs="Arial"/>
          <w:sz w:val="16"/>
          <w:szCs w:val="16"/>
        </w:rPr>
      </w:pPr>
      <w:r w:rsidRPr="00496F8D">
        <w:rPr>
          <w:rFonts w:cs="Arial"/>
          <w:sz w:val="16"/>
          <w:szCs w:val="16"/>
        </w:rPr>
        <w:t>Fuente: CONAPO “Bases de datos de la Conciliación Demográfica 1950 a 2019 y Proyecciones de la población de México 2020 a 2070”, Disponible en: https://www.gob.mx/conapo/documentos/bases-de-datos-de-la-conciliacion-demografica-1950-a-2019-y-proyecciones-de-la-poblacion-de-mexico-2020-a-2070?idiom=es</w:t>
      </w:r>
    </w:p>
    <w:p w14:paraId="34D58A73" w14:textId="4D07A58C" w:rsidR="00CA356D" w:rsidRDefault="00CA356D" w:rsidP="00921074">
      <w:pPr>
        <w:rPr>
          <w:rFonts w:cs="Arial"/>
        </w:rPr>
      </w:pPr>
    </w:p>
    <w:p w14:paraId="3966CF5D" w14:textId="64E09778" w:rsidR="00496F8D" w:rsidRDefault="00496F8D" w:rsidP="00921074">
      <w:pPr>
        <w:rPr>
          <w:rFonts w:cs="Arial"/>
        </w:rPr>
      </w:pPr>
      <w:r w:rsidRPr="00496F8D">
        <w:rPr>
          <w:rFonts w:cs="Arial"/>
        </w:rPr>
        <w:t xml:space="preserve">De acuerdo con el </w:t>
      </w:r>
      <w:r w:rsidR="00A24C0E" w:rsidRPr="00496F8D">
        <w:rPr>
          <w:rFonts w:cs="Arial"/>
        </w:rPr>
        <w:t xml:space="preserve">Censo </w:t>
      </w:r>
      <w:r w:rsidRPr="00496F8D">
        <w:rPr>
          <w:rFonts w:cs="Arial"/>
        </w:rPr>
        <w:t xml:space="preserve">de </w:t>
      </w:r>
      <w:r w:rsidR="00A24C0E" w:rsidRPr="00496F8D">
        <w:rPr>
          <w:rFonts w:cs="Arial"/>
        </w:rPr>
        <w:t xml:space="preserve">Población </w:t>
      </w:r>
      <w:r w:rsidRPr="00496F8D">
        <w:rPr>
          <w:rFonts w:cs="Arial"/>
        </w:rPr>
        <w:t xml:space="preserve">y </w:t>
      </w:r>
      <w:r w:rsidR="00A24C0E" w:rsidRPr="00496F8D">
        <w:rPr>
          <w:rFonts w:cs="Arial"/>
        </w:rPr>
        <w:t xml:space="preserve">Vivienda </w:t>
      </w:r>
      <w:r w:rsidRPr="00496F8D">
        <w:rPr>
          <w:rFonts w:cs="Arial"/>
        </w:rPr>
        <w:t>del 2020 de INEGI, la población colimense se distribuye geográficamente por municipio y genero de la siguiente manera:</w:t>
      </w:r>
    </w:p>
    <w:p w14:paraId="13C59919" w14:textId="65FA9017" w:rsidR="00496F8D" w:rsidRDefault="00496F8D" w:rsidP="00921074">
      <w:pPr>
        <w:rPr>
          <w:rFonts w:cs="Arial"/>
        </w:rPr>
      </w:pPr>
    </w:p>
    <w:p w14:paraId="5876BCF0" w14:textId="15387DA1" w:rsidR="00952E37" w:rsidRDefault="00952E37" w:rsidP="00952E37">
      <w:pPr>
        <w:jc w:val="center"/>
        <w:rPr>
          <w:rFonts w:cs="Arial"/>
        </w:rPr>
      </w:pPr>
      <w:r>
        <w:rPr>
          <w:rFonts w:cs="Arial"/>
          <w:noProof/>
        </w:rPr>
        <w:lastRenderedPageBreak/>
        <w:drawing>
          <wp:inline distT="0" distB="0" distL="0" distR="0" wp14:anchorId="39710C3A" wp14:editId="05903151">
            <wp:extent cx="3304478" cy="23145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l="4151" t="3226" r="3393" b="4512"/>
                    <a:stretch/>
                  </pic:blipFill>
                  <pic:spPr bwMode="auto">
                    <a:xfrm>
                      <a:off x="0" y="0"/>
                      <a:ext cx="3329908" cy="2332387"/>
                    </a:xfrm>
                    <a:prstGeom prst="rect">
                      <a:avLst/>
                    </a:prstGeom>
                    <a:noFill/>
                    <a:ln>
                      <a:noFill/>
                    </a:ln>
                    <a:extLst>
                      <a:ext uri="{53640926-AAD7-44D8-BBD7-CCE9431645EC}">
                        <a14:shadowObscured xmlns:a14="http://schemas.microsoft.com/office/drawing/2010/main"/>
                      </a:ext>
                    </a:extLst>
                  </pic:spPr>
                </pic:pic>
              </a:graphicData>
            </a:graphic>
          </wp:inline>
        </w:drawing>
      </w:r>
    </w:p>
    <w:p w14:paraId="35542A72" w14:textId="7D794889" w:rsidR="00496F8D" w:rsidRPr="00496F8D" w:rsidRDefault="00496F8D" w:rsidP="00BD0B97">
      <w:pPr>
        <w:jc w:val="center"/>
        <w:rPr>
          <w:rFonts w:cs="Arial"/>
          <w:sz w:val="16"/>
          <w:szCs w:val="16"/>
        </w:rPr>
      </w:pPr>
      <w:r w:rsidRPr="00496F8D">
        <w:rPr>
          <w:rFonts w:cs="Arial"/>
          <w:sz w:val="16"/>
          <w:szCs w:val="16"/>
        </w:rPr>
        <w:t>Fuente: INEGI “Censo de Población y Vivienda 2020”, disponible en:</w:t>
      </w:r>
      <w:r w:rsidR="00B7401B">
        <w:rPr>
          <w:rFonts w:cs="Arial"/>
          <w:sz w:val="16"/>
          <w:szCs w:val="16"/>
        </w:rPr>
        <w:br/>
      </w:r>
      <w:r w:rsidRPr="00496F8D">
        <w:rPr>
          <w:rFonts w:cs="Arial"/>
          <w:sz w:val="16"/>
          <w:szCs w:val="16"/>
        </w:rPr>
        <w:t xml:space="preserve"> https://www.inegi.org.mx/programas/ccpv/2020/</w:t>
      </w:r>
    </w:p>
    <w:p w14:paraId="0556B317" w14:textId="6A213406" w:rsidR="00CA356D" w:rsidRPr="00382F53" w:rsidRDefault="00CA356D" w:rsidP="00921074">
      <w:pPr>
        <w:rPr>
          <w:rFonts w:cs="Arial"/>
          <w:sz w:val="16"/>
          <w:szCs w:val="16"/>
        </w:rPr>
      </w:pPr>
    </w:p>
    <w:p w14:paraId="16D5ACA3" w14:textId="26FDA4DD" w:rsidR="00CA356D" w:rsidRDefault="00496F8D" w:rsidP="00921074">
      <w:pPr>
        <w:rPr>
          <w:rFonts w:cs="Arial"/>
        </w:rPr>
      </w:pPr>
      <w:r w:rsidRPr="00496F8D">
        <w:rPr>
          <w:rFonts w:cs="Arial"/>
        </w:rPr>
        <w:t>Los municipios en la cual la población femenina tiene una mayor participación son Villa de Álvarez, Colima, Manzanillo y Tecomán, mismos que se caracterizan por ser los municipios con mayor población. Por otro lado, en los municipios restantes Armería, Comala, Coquimatlán, Cuauhtémoc, Ixtlahuacán y Minatitlán la población masculina tiene una mayor representación en su población total. Como dato adicional, Manzanillo a pesar de no ser la localidad con la mayor participación de la población femenina en su total poblacional, sí es el municipio en la cual más mujeres habitan, con un total de 95,914 mujeres.</w:t>
      </w:r>
    </w:p>
    <w:p w14:paraId="16E909CA" w14:textId="052959A9" w:rsidR="00496F8D" w:rsidRPr="00382F53" w:rsidRDefault="00496F8D" w:rsidP="00921074">
      <w:pPr>
        <w:rPr>
          <w:rFonts w:cs="Arial"/>
          <w:sz w:val="16"/>
          <w:szCs w:val="16"/>
        </w:rPr>
      </w:pPr>
    </w:p>
    <w:p w14:paraId="1E61629E" w14:textId="4514D776" w:rsidR="00496F8D" w:rsidRDefault="00496F8D" w:rsidP="00921074">
      <w:pPr>
        <w:rPr>
          <w:rFonts w:cs="Arial"/>
        </w:rPr>
      </w:pPr>
      <w:r w:rsidRPr="00496F8D">
        <w:rPr>
          <w:rFonts w:cs="Arial"/>
          <w:b/>
          <w:bCs/>
        </w:rPr>
        <w:t>Actividad Económica</w:t>
      </w:r>
      <w:r>
        <w:rPr>
          <w:rFonts w:cs="Arial"/>
        </w:rPr>
        <w:t xml:space="preserve">. </w:t>
      </w:r>
      <w:r w:rsidRPr="00496F8D">
        <w:rPr>
          <w:rFonts w:cs="Arial"/>
        </w:rPr>
        <w:t xml:space="preserve">De acuerdo con el Índice </w:t>
      </w:r>
      <w:r w:rsidR="00FC0537" w:rsidRPr="00496F8D">
        <w:rPr>
          <w:rFonts w:cs="Arial"/>
        </w:rPr>
        <w:t xml:space="preserve">Trimestral </w:t>
      </w:r>
      <w:r w:rsidRPr="00496F8D">
        <w:rPr>
          <w:rFonts w:cs="Arial"/>
        </w:rPr>
        <w:t xml:space="preserve">de la Actividad Económica Estatal, la actividad económica del estado de Colima registró un aumento del </w:t>
      </w:r>
      <w:r w:rsidR="00D92E9E">
        <w:rPr>
          <w:rFonts w:cs="Arial"/>
        </w:rPr>
        <w:t>1.9</w:t>
      </w:r>
      <w:r>
        <w:rPr>
          <w:rFonts w:cs="Arial"/>
        </w:rPr>
        <w:t xml:space="preserve"> por ciento</w:t>
      </w:r>
      <w:r w:rsidRPr="00496F8D">
        <w:rPr>
          <w:rFonts w:cs="Arial"/>
        </w:rPr>
        <w:t xml:space="preserve"> para el </w:t>
      </w:r>
      <w:r w:rsidR="00D92E9E">
        <w:rPr>
          <w:rFonts w:cs="Arial"/>
        </w:rPr>
        <w:t>segundo</w:t>
      </w:r>
      <w:r w:rsidRPr="00496F8D">
        <w:rPr>
          <w:rFonts w:cs="Arial"/>
        </w:rPr>
        <w:t xml:space="preserve"> trimestre de 2024, cuyo índice fue de 10</w:t>
      </w:r>
      <w:r w:rsidR="00D92E9E">
        <w:rPr>
          <w:rFonts w:cs="Arial"/>
        </w:rPr>
        <w:t>5</w:t>
      </w:r>
      <w:r w:rsidRPr="00496F8D">
        <w:rPr>
          <w:rFonts w:cs="Arial"/>
        </w:rPr>
        <w:t>.</w:t>
      </w:r>
      <w:r w:rsidR="00D92E9E">
        <w:rPr>
          <w:rFonts w:cs="Arial"/>
        </w:rPr>
        <w:t>1</w:t>
      </w:r>
      <w:r w:rsidRPr="00496F8D">
        <w:rPr>
          <w:rFonts w:cs="Arial"/>
        </w:rPr>
        <w:t xml:space="preserve"> en comparación con el de 10</w:t>
      </w:r>
      <w:r w:rsidR="00D92E9E">
        <w:rPr>
          <w:rFonts w:cs="Arial"/>
        </w:rPr>
        <w:t>3</w:t>
      </w:r>
      <w:r w:rsidRPr="00496F8D">
        <w:rPr>
          <w:rFonts w:cs="Arial"/>
        </w:rPr>
        <w:t>.</w:t>
      </w:r>
      <w:r w:rsidR="00D92E9E">
        <w:rPr>
          <w:rFonts w:cs="Arial"/>
        </w:rPr>
        <w:t>2</w:t>
      </w:r>
      <w:r w:rsidRPr="00496F8D">
        <w:rPr>
          <w:rFonts w:cs="Arial"/>
        </w:rPr>
        <w:t xml:space="preserve"> del </w:t>
      </w:r>
      <w:r w:rsidR="00D92E9E">
        <w:rPr>
          <w:rFonts w:cs="Arial"/>
        </w:rPr>
        <w:t>primer</w:t>
      </w:r>
      <w:r w:rsidRPr="00496F8D">
        <w:rPr>
          <w:rFonts w:cs="Arial"/>
        </w:rPr>
        <w:t xml:space="preserve"> trimestre del año 202</w:t>
      </w:r>
      <w:r w:rsidR="00D92E9E">
        <w:rPr>
          <w:rFonts w:cs="Arial"/>
        </w:rPr>
        <w:t>4</w:t>
      </w:r>
      <w:r w:rsidRPr="00496F8D">
        <w:rPr>
          <w:rFonts w:cs="Arial"/>
        </w:rPr>
        <w:t xml:space="preserve">; sin embargo, la variación porcentual del índice de crecimiento de la actividad económica para éste </w:t>
      </w:r>
      <w:r w:rsidR="00D92E9E">
        <w:rPr>
          <w:rFonts w:cs="Arial"/>
        </w:rPr>
        <w:t>segundo</w:t>
      </w:r>
      <w:r w:rsidRPr="00496F8D">
        <w:rPr>
          <w:rFonts w:cs="Arial"/>
        </w:rPr>
        <w:t xml:space="preserve"> trimestre de 2024</w:t>
      </w:r>
      <w:r w:rsidR="00D92E9E">
        <w:rPr>
          <w:rFonts w:cs="Arial"/>
        </w:rPr>
        <w:t xml:space="preserve"> en comparación c</w:t>
      </w:r>
      <w:r w:rsidR="004647CD">
        <w:rPr>
          <w:rFonts w:cs="Arial"/>
        </w:rPr>
        <w:t>on el igual periodo del año 2023</w:t>
      </w:r>
      <w:r w:rsidR="00D92E9E">
        <w:rPr>
          <w:rFonts w:cs="Arial"/>
        </w:rPr>
        <w:t xml:space="preserve"> presenta una variación positiva del 6.8 por ciento</w:t>
      </w:r>
      <w:r w:rsidRPr="00496F8D">
        <w:rPr>
          <w:rFonts w:cs="Arial"/>
        </w:rPr>
        <w:t>,</w:t>
      </w:r>
      <w:r w:rsidR="00341BF4">
        <w:rPr>
          <w:rFonts w:cs="Arial"/>
        </w:rPr>
        <w:t xml:space="preserve"> siendo Colima el segundo estado con mayor crecimiento en este indicador</w:t>
      </w:r>
      <w:r w:rsidR="004647CD">
        <w:rPr>
          <w:rFonts w:cs="Arial"/>
        </w:rPr>
        <w:t>,</w:t>
      </w:r>
      <w:r w:rsidR="00341BF4">
        <w:rPr>
          <w:rFonts w:cs="Arial"/>
        </w:rPr>
        <w:t xml:space="preserve"> solo superado por </w:t>
      </w:r>
      <w:r w:rsidR="002F2C7A">
        <w:rPr>
          <w:rFonts w:cs="Arial"/>
        </w:rPr>
        <w:t>el estado de D</w:t>
      </w:r>
      <w:r w:rsidR="00341BF4">
        <w:rPr>
          <w:rFonts w:cs="Arial"/>
        </w:rPr>
        <w:t>urango que presenta un crecimiento del 7.7 por ciento respecto al igual trimestre del año anterior.</w:t>
      </w:r>
    </w:p>
    <w:p w14:paraId="585DE2DB" w14:textId="429A5E9A" w:rsidR="00496F8D" w:rsidRPr="002D3DA7" w:rsidRDefault="00496F8D" w:rsidP="00921074">
      <w:pPr>
        <w:rPr>
          <w:rFonts w:cs="Arial"/>
          <w:sz w:val="2"/>
          <w:szCs w:val="2"/>
        </w:rPr>
      </w:pPr>
    </w:p>
    <w:p w14:paraId="61C97456" w14:textId="120EAA84" w:rsidR="002D3DA7" w:rsidRPr="00382F53" w:rsidRDefault="002D3DA7" w:rsidP="00496F8D">
      <w:pPr>
        <w:ind w:left="1560" w:right="1750"/>
        <w:rPr>
          <w:rFonts w:cs="Arial"/>
          <w:sz w:val="12"/>
          <w:szCs w:val="12"/>
        </w:rPr>
      </w:pPr>
      <w:r w:rsidRPr="002D3DA7">
        <w:rPr>
          <w:rFonts w:cs="Arial"/>
          <w:noProof/>
          <w:sz w:val="16"/>
          <w:szCs w:val="16"/>
        </w:rPr>
        <w:drawing>
          <wp:anchor distT="0" distB="0" distL="114300" distR="114300" simplePos="0" relativeHeight="251676672" behindDoc="0" locked="0" layoutInCell="1" allowOverlap="1" wp14:anchorId="57B047EB" wp14:editId="5757AA12">
            <wp:simplePos x="0" y="0"/>
            <wp:positionH relativeFrom="column">
              <wp:posOffset>853440</wp:posOffset>
            </wp:positionH>
            <wp:positionV relativeFrom="paragraph">
              <wp:posOffset>168275</wp:posOffset>
            </wp:positionV>
            <wp:extent cx="3690620" cy="1052195"/>
            <wp:effectExtent l="0" t="0" r="508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1697" t="4948" r="1137"/>
                    <a:stretch/>
                  </pic:blipFill>
                  <pic:spPr bwMode="auto">
                    <a:xfrm>
                      <a:off x="0" y="0"/>
                      <a:ext cx="3690620" cy="1052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647DA1" w14:textId="2C0BC55D" w:rsidR="00921074" w:rsidRPr="002D3DA7" w:rsidRDefault="00496F8D" w:rsidP="00496F8D">
      <w:pPr>
        <w:ind w:left="1560" w:right="1750"/>
        <w:rPr>
          <w:rFonts w:cs="Arial"/>
          <w:sz w:val="14"/>
          <w:szCs w:val="14"/>
        </w:rPr>
      </w:pPr>
      <w:r w:rsidRPr="002D3DA7">
        <w:rPr>
          <w:rFonts w:cs="Arial"/>
          <w:sz w:val="14"/>
          <w:szCs w:val="14"/>
        </w:rPr>
        <w:t xml:space="preserve">Fuente: INEGI Sistemas de Cuentas Nacionales de México, Disponible en:  </w:t>
      </w:r>
      <w:r w:rsidR="002D3DA7" w:rsidRPr="002D3DA7">
        <w:rPr>
          <w:rFonts w:cs="Arial"/>
          <w:sz w:val="14"/>
          <w:szCs w:val="14"/>
        </w:rPr>
        <w:t>https://www.inegi.org.mx/contenidos/saladeprensa/boletines/2024/itaee/itaee2024_10_Col.pdf</w:t>
      </w:r>
    </w:p>
    <w:p w14:paraId="31F6FC93" w14:textId="16ECDD3F" w:rsidR="00F64141" w:rsidRDefault="00F64141" w:rsidP="00921074">
      <w:pPr>
        <w:rPr>
          <w:rFonts w:cs="Arial"/>
        </w:rPr>
      </w:pPr>
      <w:r w:rsidRPr="00F64141">
        <w:rPr>
          <w:rFonts w:cs="Arial"/>
          <w:b/>
          <w:bCs/>
        </w:rPr>
        <w:lastRenderedPageBreak/>
        <w:t>Exportaciones</w:t>
      </w:r>
      <w:r>
        <w:rPr>
          <w:rFonts w:cs="Arial"/>
        </w:rPr>
        <w:t xml:space="preserve">. </w:t>
      </w:r>
      <w:r w:rsidRPr="00F64141">
        <w:rPr>
          <w:rFonts w:cs="Arial"/>
        </w:rPr>
        <w:t>En materia de comercio internacional, nuestro estado disminuyó en un 6.54</w:t>
      </w:r>
      <w:r>
        <w:rPr>
          <w:rFonts w:cs="Arial"/>
        </w:rPr>
        <w:t xml:space="preserve"> por ciento</w:t>
      </w:r>
      <w:r w:rsidRPr="00F64141">
        <w:rPr>
          <w:rFonts w:cs="Arial"/>
        </w:rPr>
        <w:t xml:space="preserve"> las exportaciones realizadas en el primer trimestre de 2024, las cuáles ascendieron a 326</w:t>
      </w:r>
      <w:r w:rsidR="002A3FD6">
        <w:rPr>
          <w:rFonts w:cs="Arial"/>
        </w:rPr>
        <w:t>.</w:t>
      </w:r>
      <w:r w:rsidR="00293EDB">
        <w:rPr>
          <w:rFonts w:cs="Arial"/>
        </w:rPr>
        <w:t>3</w:t>
      </w:r>
      <w:r w:rsidR="002A3FD6">
        <w:rPr>
          <w:rFonts w:cs="Arial"/>
        </w:rPr>
        <w:t xml:space="preserve"> millones de</w:t>
      </w:r>
      <w:r w:rsidR="00630C33">
        <w:rPr>
          <w:rFonts w:cs="Arial"/>
        </w:rPr>
        <w:t xml:space="preserve"> pesos</w:t>
      </w:r>
      <w:r w:rsidRPr="00F64141">
        <w:rPr>
          <w:rFonts w:cs="Arial"/>
        </w:rPr>
        <w:t>, en comparación con las realizadas en el cuarto trimestre del 2023, que fueron por un total de 349</w:t>
      </w:r>
      <w:r w:rsidR="002A3FD6">
        <w:rPr>
          <w:rFonts w:cs="Arial"/>
        </w:rPr>
        <w:t>.</w:t>
      </w:r>
      <w:r w:rsidR="00293EDB">
        <w:rPr>
          <w:rFonts w:cs="Arial"/>
        </w:rPr>
        <w:t>2</w:t>
      </w:r>
      <w:r w:rsidR="002A3FD6">
        <w:rPr>
          <w:rFonts w:cs="Arial"/>
        </w:rPr>
        <w:t xml:space="preserve"> millones de</w:t>
      </w:r>
      <w:r w:rsidR="00630C33">
        <w:rPr>
          <w:rFonts w:cs="Arial"/>
        </w:rPr>
        <w:t xml:space="preserve"> pesos</w:t>
      </w:r>
      <w:r w:rsidRPr="00F64141">
        <w:rPr>
          <w:rFonts w:cs="Arial"/>
        </w:rPr>
        <w:t>. Como dato adicional y más reciente, el producto más exportado de nuestra entidad en 2023, según datos de la Secretaría de Economía, son los aceites esenciales (</w:t>
      </w:r>
      <w:proofErr w:type="spellStart"/>
      <w:r w:rsidRPr="00F64141">
        <w:rPr>
          <w:rFonts w:cs="Arial"/>
        </w:rPr>
        <w:t>Desterpenados</w:t>
      </w:r>
      <w:proofErr w:type="spellEnd"/>
      <w:r w:rsidRPr="00F64141">
        <w:rPr>
          <w:rFonts w:cs="Arial"/>
        </w:rPr>
        <w:t xml:space="preserve">  o No), los Incluidos los «Concretos» o «Absolutos»; Resinoides; Oleorresinas de Extracción; Disoluciones Concentradas de Aceites Esenciales en Grasas, Aceites Fijos, Ceras o Materias Análogas, Obtenidas por Enflorado o Maceración; Subproductos </w:t>
      </w:r>
      <w:proofErr w:type="spellStart"/>
      <w:r w:rsidRPr="00F64141">
        <w:rPr>
          <w:rFonts w:cs="Arial"/>
        </w:rPr>
        <w:t>Terpénicos</w:t>
      </w:r>
      <w:proofErr w:type="spellEnd"/>
      <w:r w:rsidRPr="00F64141">
        <w:rPr>
          <w:rFonts w:cs="Arial"/>
        </w:rPr>
        <w:t xml:space="preserve"> Residuales de la </w:t>
      </w:r>
      <w:proofErr w:type="spellStart"/>
      <w:r w:rsidRPr="00F64141">
        <w:rPr>
          <w:rFonts w:cs="Arial"/>
        </w:rPr>
        <w:t>Desterpenación</w:t>
      </w:r>
      <w:proofErr w:type="spellEnd"/>
      <w:r w:rsidRPr="00F64141">
        <w:rPr>
          <w:rFonts w:cs="Arial"/>
        </w:rPr>
        <w:t xml:space="preserve"> de los Aceites Esenciales; Destilados Acuosos Aromáticos y Disoluciones Acuosas de Aceites Esenciales, cuyas ventas internacionales ascienden a 147</w:t>
      </w:r>
      <w:r w:rsidR="002A3FD6">
        <w:rPr>
          <w:rFonts w:cs="Arial"/>
        </w:rPr>
        <w:t>.</w:t>
      </w:r>
      <w:r w:rsidRPr="00F64141">
        <w:rPr>
          <w:rFonts w:cs="Arial"/>
        </w:rPr>
        <w:t>0</w:t>
      </w:r>
      <w:r w:rsidR="002A3FD6">
        <w:rPr>
          <w:rFonts w:cs="Arial"/>
        </w:rPr>
        <w:t xml:space="preserve"> millones de </w:t>
      </w:r>
      <w:r w:rsidR="00630C33">
        <w:rPr>
          <w:rFonts w:cs="Arial"/>
        </w:rPr>
        <w:t>pesos</w:t>
      </w:r>
      <w:r w:rsidRPr="00F64141">
        <w:rPr>
          <w:rFonts w:cs="Arial"/>
        </w:rPr>
        <w:t>, lo cual representa el 38.6</w:t>
      </w:r>
      <w:r w:rsidR="00BB05EC">
        <w:rPr>
          <w:rFonts w:cs="Arial"/>
        </w:rPr>
        <w:t xml:space="preserve"> por ciento</w:t>
      </w:r>
      <w:r w:rsidRPr="00F64141">
        <w:rPr>
          <w:rFonts w:cs="Arial"/>
        </w:rPr>
        <w:t xml:space="preserve"> de todas las ventas internacionales las cuáles ascendieron en 2023 a 381</w:t>
      </w:r>
      <w:r w:rsidR="002A3FD6">
        <w:rPr>
          <w:rFonts w:cs="Arial"/>
        </w:rPr>
        <w:t>.</w:t>
      </w:r>
      <w:r w:rsidRPr="00F64141">
        <w:rPr>
          <w:rFonts w:cs="Arial"/>
        </w:rPr>
        <w:t>0</w:t>
      </w:r>
      <w:r w:rsidR="002A3FD6">
        <w:rPr>
          <w:rFonts w:cs="Arial"/>
        </w:rPr>
        <w:t xml:space="preserve"> millones de</w:t>
      </w:r>
      <w:r w:rsidR="00630C33">
        <w:rPr>
          <w:rFonts w:cs="Arial"/>
        </w:rPr>
        <w:t xml:space="preserve"> pesos</w:t>
      </w:r>
      <w:r w:rsidRPr="00F64141">
        <w:rPr>
          <w:rFonts w:cs="Arial"/>
        </w:rPr>
        <w:t>. Así también, el principal destino de las exportaciones colimenses fueron los Estados Unidos cuyas ventas internacionales a este país ascendieron a 290</w:t>
      </w:r>
      <w:r w:rsidR="002A3FD6">
        <w:rPr>
          <w:rFonts w:cs="Arial"/>
        </w:rPr>
        <w:t>.</w:t>
      </w:r>
      <w:r w:rsidRPr="00F64141">
        <w:rPr>
          <w:rFonts w:cs="Arial"/>
        </w:rPr>
        <w:t>0</w:t>
      </w:r>
      <w:r w:rsidR="002A3FD6">
        <w:rPr>
          <w:rFonts w:cs="Arial"/>
        </w:rPr>
        <w:t xml:space="preserve"> millones de</w:t>
      </w:r>
      <w:r w:rsidRPr="00F64141">
        <w:rPr>
          <w:rFonts w:cs="Arial"/>
        </w:rPr>
        <w:t xml:space="preserve"> </w:t>
      </w:r>
      <w:r w:rsidR="00630C33">
        <w:rPr>
          <w:rFonts w:cs="Arial"/>
        </w:rPr>
        <w:t xml:space="preserve">pesos </w:t>
      </w:r>
      <w:r w:rsidRPr="00F64141">
        <w:rPr>
          <w:rFonts w:cs="Arial"/>
        </w:rPr>
        <w:t>según datos del 2023 de la Secretaría de Economía.</w:t>
      </w:r>
    </w:p>
    <w:p w14:paraId="2E43D116" w14:textId="7AB8FF92" w:rsidR="00716C1F" w:rsidRDefault="00716C1F" w:rsidP="00921074">
      <w:pPr>
        <w:rPr>
          <w:rFonts w:cs="Arial"/>
        </w:rPr>
      </w:pPr>
    </w:p>
    <w:p w14:paraId="1FDB0863" w14:textId="1C941781" w:rsidR="00293EDB" w:rsidRDefault="00716C1F" w:rsidP="00716C1F">
      <w:pPr>
        <w:rPr>
          <w:rFonts w:cs="Arial"/>
        </w:rPr>
      </w:pPr>
      <w:r w:rsidRPr="00716C1F">
        <w:rPr>
          <w:rFonts w:cs="Arial"/>
          <w:b/>
          <w:bCs/>
        </w:rPr>
        <w:t>Inversión Extranjera Directa</w:t>
      </w:r>
      <w:r>
        <w:rPr>
          <w:rFonts w:cs="Arial"/>
        </w:rPr>
        <w:t xml:space="preserve">. </w:t>
      </w:r>
      <w:r w:rsidR="00293EDB" w:rsidRPr="00716C1F">
        <w:rPr>
          <w:rFonts w:cs="Arial"/>
        </w:rPr>
        <w:t>Por otro lado, de acuerdo con datos de la Secretaría de Economía, la IED</w:t>
      </w:r>
      <w:r w:rsidR="00293EDB">
        <w:rPr>
          <w:rFonts w:cs="Arial"/>
        </w:rPr>
        <w:t xml:space="preserve"> del estado</w:t>
      </w:r>
      <w:r w:rsidR="00293EDB" w:rsidRPr="00716C1F">
        <w:rPr>
          <w:rFonts w:cs="Arial"/>
        </w:rPr>
        <w:t xml:space="preserve"> </w:t>
      </w:r>
      <w:r w:rsidR="00293EDB">
        <w:rPr>
          <w:rFonts w:cs="Arial"/>
        </w:rPr>
        <w:t>sufrió una disminución del 97.59 por ciento, pues en el segundo trimestre del 2024 ascendió a 5</w:t>
      </w:r>
      <w:r w:rsidR="002A3FD6">
        <w:rPr>
          <w:rFonts w:cs="Arial"/>
        </w:rPr>
        <w:t>.8 millones de</w:t>
      </w:r>
      <w:r w:rsidR="00630C33">
        <w:rPr>
          <w:rFonts w:cs="Arial"/>
        </w:rPr>
        <w:t xml:space="preserve"> pesos</w:t>
      </w:r>
      <w:r w:rsidR="00293EDB">
        <w:rPr>
          <w:rFonts w:cs="Arial"/>
        </w:rPr>
        <w:t xml:space="preserve"> </w:t>
      </w:r>
      <w:r w:rsidR="00293EDB" w:rsidRPr="00716C1F">
        <w:rPr>
          <w:rFonts w:cs="Arial"/>
        </w:rPr>
        <w:t>mientras</w:t>
      </w:r>
      <w:r w:rsidR="00293EDB">
        <w:rPr>
          <w:rFonts w:cs="Arial"/>
        </w:rPr>
        <w:t xml:space="preserve"> que en primer trimestre del presente año fue de 240</w:t>
      </w:r>
      <w:r w:rsidR="002A3FD6">
        <w:rPr>
          <w:rFonts w:cs="Arial"/>
        </w:rPr>
        <w:t>.</w:t>
      </w:r>
      <w:r w:rsidR="00293EDB">
        <w:rPr>
          <w:rFonts w:cs="Arial"/>
        </w:rPr>
        <w:t>0</w:t>
      </w:r>
      <w:r w:rsidR="002A3FD6">
        <w:rPr>
          <w:rFonts w:cs="Arial"/>
        </w:rPr>
        <w:t xml:space="preserve"> millones de</w:t>
      </w:r>
      <w:r w:rsidR="00630C33">
        <w:rPr>
          <w:rFonts w:cs="Arial"/>
        </w:rPr>
        <w:t xml:space="preserve"> pesos</w:t>
      </w:r>
      <w:r w:rsidR="00293EDB">
        <w:rPr>
          <w:rFonts w:cs="Arial"/>
        </w:rPr>
        <w:t xml:space="preserve">. Aunado a lo anterior, </w:t>
      </w:r>
      <w:r w:rsidR="00293EDB" w:rsidRPr="00716C1F">
        <w:rPr>
          <w:rFonts w:cs="Arial"/>
        </w:rPr>
        <w:t xml:space="preserve">de enero a junio del presente año Filipinas, Japón y Canadá </w:t>
      </w:r>
      <w:r w:rsidR="00293EDB">
        <w:rPr>
          <w:rFonts w:cs="Arial"/>
        </w:rPr>
        <w:t xml:space="preserve">fueron </w:t>
      </w:r>
      <w:r w:rsidR="00293EDB" w:rsidRPr="00716C1F">
        <w:rPr>
          <w:rFonts w:cs="Arial"/>
        </w:rPr>
        <w:t>los países que más IED han hecho a nuestro estado.</w:t>
      </w:r>
      <w:r w:rsidR="00630C33">
        <w:rPr>
          <w:rFonts w:cs="Arial"/>
        </w:rPr>
        <w:t xml:space="preserve"> </w:t>
      </w:r>
      <w:r w:rsidRPr="00716C1F">
        <w:rPr>
          <w:rFonts w:cs="Arial"/>
        </w:rPr>
        <w:t xml:space="preserve">Dicha inversión fue destinada a: </w:t>
      </w:r>
    </w:p>
    <w:p w14:paraId="51BA03C8" w14:textId="22909619" w:rsidR="00716C1F" w:rsidRPr="00716C1F" w:rsidRDefault="00716C1F" w:rsidP="00716C1F">
      <w:pPr>
        <w:rPr>
          <w:rFonts w:cs="Arial"/>
        </w:rPr>
      </w:pPr>
      <w:r w:rsidRPr="00716C1F">
        <w:rPr>
          <w:rFonts w:cs="Arial"/>
        </w:rPr>
        <w:t xml:space="preserve"> </w:t>
      </w:r>
    </w:p>
    <w:p w14:paraId="682FF5A2" w14:textId="092AC6D9" w:rsidR="00716C1F" w:rsidRDefault="00716C1F" w:rsidP="00716C1F">
      <w:pPr>
        <w:rPr>
          <w:rFonts w:cs="Arial"/>
        </w:rPr>
      </w:pPr>
      <w:r w:rsidRPr="00716C1F">
        <w:rPr>
          <w:rFonts w:cs="Arial"/>
        </w:rPr>
        <w:t>Nuevas inversiones:</w:t>
      </w:r>
    </w:p>
    <w:p w14:paraId="491B1CF1" w14:textId="77777777" w:rsidR="00382F53" w:rsidRPr="00716C1F" w:rsidRDefault="00382F53" w:rsidP="00716C1F">
      <w:pPr>
        <w:rPr>
          <w:rFonts w:cs="Arial"/>
        </w:rPr>
      </w:pPr>
    </w:p>
    <w:p w14:paraId="12EF29DC" w14:textId="065C623A" w:rsidR="00716C1F" w:rsidRPr="00716C1F" w:rsidRDefault="00716C1F" w:rsidP="00716C1F">
      <w:pPr>
        <w:pStyle w:val="Prrafodelista"/>
        <w:numPr>
          <w:ilvl w:val="0"/>
          <w:numId w:val="31"/>
        </w:numPr>
        <w:ind w:left="284" w:hanging="207"/>
        <w:rPr>
          <w:rFonts w:cs="Arial"/>
        </w:rPr>
      </w:pPr>
      <w:r w:rsidRPr="00716C1F">
        <w:rPr>
          <w:rFonts w:cs="Arial"/>
        </w:rPr>
        <w:t xml:space="preserve">Realizadas por personas físicas o morales extranjeras al establecerse en México como inversiones en activo fijo (maquinaria, terrenos, equipo, </w:t>
      </w:r>
      <w:r w:rsidR="00B05A5F">
        <w:rPr>
          <w:rFonts w:cs="Arial"/>
        </w:rPr>
        <w:t>etc.</w:t>
      </w:r>
      <w:r w:rsidRPr="00716C1F">
        <w:rPr>
          <w:rFonts w:cs="Arial"/>
        </w:rPr>
        <w:t xml:space="preserve">) y capital de trabajo (recursos para que una empresa pueda garantizar la continuidad y eficiencia de sus operaciones como, por ejemplo: insumos). </w:t>
      </w:r>
    </w:p>
    <w:p w14:paraId="7C25A6DF" w14:textId="14870A93" w:rsidR="00716C1F" w:rsidRPr="00716C1F" w:rsidRDefault="00716C1F" w:rsidP="00716C1F">
      <w:pPr>
        <w:pStyle w:val="Prrafodelista"/>
        <w:numPr>
          <w:ilvl w:val="0"/>
          <w:numId w:val="31"/>
        </w:numPr>
        <w:ind w:left="284" w:hanging="207"/>
        <w:rPr>
          <w:rFonts w:cs="Arial"/>
        </w:rPr>
      </w:pPr>
      <w:r w:rsidRPr="00716C1F">
        <w:rPr>
          <w:rFonts w:cs="Arial"/>
        </w:rPr>
        <w:t xml:space="preserve">Aportaciones de capital social de sociedades mexicanas por parte de inversionistas extranjeros. </w:t>
      </w:r>
    </w:p>
    <w:p w14:paraId="4B7FC3EE" w14:textId="7D119F85" w:rsidR="00716C1F" w:rsidRPr="00716C1F" w:rsidRDefault="00716C1F" w:rsidP="00716C1F">
      <w:pPr>
        <w:pStyle w:val="Prrafodelista"/>
        <w:numPr>
          <w:ilvl w:val="0"/>
          <w:numId w:val="31"/>
        </w:numPr>
        <w:ind w:left="284" w:hanging="207"/>
        <w:rPr>
          <w:rFonts w:cs="Arial"/>
        </w:rPr>
      </w:pPr>
      <w:r w:rsidRPr="00716C1F">
        <w:rPr>
          <w:rFonts w:cs="Arial"/>
        </w:rPr>
        <w:t>Compra de acciones de inversionistas mexicanos a inversionistas directos.</w:t>
      </w:r>
    </w:p>
    <w:p w14:paraId="7F8C524E" w14:textId="63A6DC6F" w:rsidR="00716C1F" w:rsidRPr="00716C1F" w:rsidRDefault="00716C1F" w:rsidP="00716C1F">
      <w:pPr>
        <w:pStyle w:val="Prrafodelista"/>
        <w:numPr>
          <w:ilvl w:val="0"/>
          <w:numId w:val="31"/>
        </w:numPr>
        <w:ind w:left="284" w:hanging="207"/>
        <w:rPr>
          <w:rFonts w:cs="Arial"/>
        </w:rPr>
      </w:pPr>
      <w:r w:rsidRPr="00716C1F">
        <w:rPr>
          <w:rFonts w:cs="Arial"/>
        </w:rPr>
        <w:t xml:space="preserve">Monto inicial de la contraprestación (dinero inicial que los inversionistas extranjeros otorgan) en los fideicomisos que otorguen derechos sobre la Inversión Extranjera (IE). </w:t>
      </w:r>
    </w:p>
    <w:p w14:paraId="27A4971D" w14:textId="77777777" w:rsidR="00716C1F" w:rsidRDefault="00716C1F" w:rsidP="00716C1F">
      <w:pPr>
        <w:rPr>
          <w:rFonts w:cs="Arial"/>
        </w:rPr>
      </w:pPr>
    </w:p>
    <w:p w14:paraId="453E7A2A" w14:textId="3032268A" w:rsidR="00716C1F" w:rsidRPr="00716C1F" w:rsidRDefault="00716C1F" w:rsidP="00716C1F">
      <w:pPr>
        <w:rPr>
          <w:rFonts w:cs="Arial"/>
        </w:rPr>
      </w:pPr>
      <w:r w:rsidRPr="00716C1F">
        <w:rPr>
          <w:rFonts w:cs="Arial"/>
        </w:rPr>
        <w:t xml:space="preserve">Reinversión de utilidades: Son la parte de las utilidades que no se distribuye como dividendos y que se considera IED por representar un aumento de los recursos de capital propiedad del inversionista extranjero. </w:t>
      </w:r>
    </w:p>
    <w:p w14:paraId="74EA91A2" w14:textId="77777777" w:rsidR="00716C1F" w:rsidRPr="00716C1F" w:rsidRDefault="00716C1F" w:rsidP="00716C1F">
      <w:pPr>
        <w:rPr>
          <w:rFonts w:cs="Arial"/>
        </w:rPr>
      </w:pPr>
    </w:p>
    <w:p w14:paraId="2631884A" w14:textId="0EFD3F92" w:rsidR="00716C1F" w:rsidRDefault="00716C1F" w:rsidP="00716C1F">
      <w:pPr>
        <w:rPr>
          <w:rFonts w:cs="Arial"/>
        </w:rPr>
      </w:pPr>
      <w:r w:rsidRPr="00716C1F">
        <w:rPr>
          <w:rFonts w:cs="Arial"/>
        </w:rPr>
        <w:lastRenderedPageBreak/>
        <w:t>Cuentas entre compañías: Transacciones originadas por deudas entre sociedades mexicanas con IED en su capital social y otras empresas relacionadas (las cuáles forman parte de un mismo grupo corporativo) residentes en el exterior.</w:t>
      </w:r>
    </w:p>
    <w:p w14:paraId="247C89CD" w14:textId="77777777" w:rsidR="00382F53" w:rsidRPr="00716C1F" w:rsidRDefault="00382F53" w:rsidP="00716C1F">
      <w:pPr>
        <w:rPr>
          <w:rFonts w:cs="Arial"/>
        </w:rPr>
      </w:pPr>
    </w:p>
    <w:p w14:paraId="47027465" w14:textId="400C076B" w:rsidR="00716C1F" w:rsidRDefault="00716C1F" w:rsidP="00716C1F">
      <w:pPr>
        <w:rPr>
          <w:rFonts w:cs="Arial"/>
        </w:rPr>
      </w:pPr>
      <w:r w:rsidRPr="00A24C0E">
        <w:rPr>
          <w:rFonts w:cs="Arial"/>
          <w:b/>
          <w:bCs/>
        </w:rPr>
        <w:t>Empleo</w:t>
      </w:r>
      <w:r>
        <w:rPr>
          <w:rFonts w:cs="Arial"/>
        </w:rPr>
        <w:t xml:space="preserve">. </w:t>
      </w:r>
      <w:r w:rsidRPr="00716C1F">
        <w:rPr>
          <w:rFonts w:cs="Arial"/>
        </w:rPr>
        <w:t>En lo referente al empleo, la tasa de participación laboral de nuestro estado alcanzó el 67.2</w:t>
      </w:r>
      <w:r>
        <w:rPr>
          <w:rFonts w:cs="Arial"/>
        </w:rPr>
        <w:t xml:space="preserve"> por ciento</w:t>
      </w:r>
      <w:r w:rsidRPr="00716C1F">
        <w:rPr>
          <w:rFonts w:cs="Arial"/>
        </w:rPr>
        <w:t xml:space="preserve"> en el primer trimestre de 2024, lo cual representa en un aumento del 0.54</w:t>
      </w:r>
      <w:r>
        <w:rPr>
          <w:rFonts w:cs="Arial"/>
        </w:rPr>
        <w:t xml:space="preserve"> por ciento</w:t>
      </w:r>
      <w:r w:rsidRPr="00716C1F">
        <w:rPr>
          <w:rFonts w:cs="Arial"/>
        </w:rPr>
        <w:t xml:space="preserve"> respecto a lo visto en el cuarto trimestre del 2023, cuya tasa de participación laboral fue del 66.6</w:t>
      </w:r>
      <w:r>
        <w:rPr>
          <w:rFonts w:cs="Arial"/>
        </w:rPr>
        <w:t xml:space="preserve"> por ciento</w:t>
      </w:r>
      <w:r w:rsidRPr="00716C1F">
        <w:rPr>
          <w:rFonts w:cs="Arial"/>
        </w:rPr>
        <w:t>. Lo anterior ésta correlacionado con la disminución del 0.2</w:t>
      </w:r>
      <w:r w:rsidR="00475887">
        <w:rPr>
          <w:rFonts w:cs="Arial"/>
        </w:rPr>
        <w:t xml:space="preserve"> por ciento</w:t>
      </w:r>
      <w:r w:rsidRPr="00716C1F">
        <w:rPr>
          <w:rFonts w:cs="Arial"/>
        </w:rPr>
        <w:t xml:space="preserve"> en la tasa de desocupación que en el primer trimestre del 2024 tuvo un nivel del 2.11</w:t>
      </w:r>
      <w:r>
        <w:rPr>
          <w:rFonts w:cs="Arial"/>
        </w:rPr>
        <w:t xml:space="preserve"> por ciento</w:t>
      </w:r>
      <w:r w:rsidRPr="00716C1F">
        <w:rPr>
          <w:rFonts w:cs="Arial"/>
        </w:rPr>
        <w:t xml:space="preserve"> en comparación con el 2.3</w:t>
      </w:r>
      <w:r>
        <w:rPr>
          <w:rFonts w:cs="Arial"/>
        </w:rPr>
        <w:t xml:space="preserve"> por ciento</w:t>
      </w:r>
      <w:r w:rsidRPr="00716C1F">
        <w:rPr>
          <w:rFonts w:cs="Arial"/>
        </w:rPr>
        <w:t xml:space="preserve"> del cuarto trimestre del 2023.  </w:t>
      </w:r>
    </w:p>
    <w:p w14:paraId="28857B6C" w14:textId="23DCB920" w:rsidR="00D259E6" w:rsidRDefault="00D259E6" w:rsidP="00716C1F">
      <w:pPr>
        <w:rPr>
          <w:rFonts w:cs="Arial"/>
        </w:rPr>
      </w:pPr>
    </w:p>
    <w:p w14:paraId="6ECB5514" w14:textId="785666EF" w:rsidR="00287E1B" w:rsidRDefault="00287E1B" w:rsidP="00287E1B">
      <w:pPr>
        <w:rPr>
          <w:rFonts w:cs="Arial"/>
        </w:rPr>
      </w:pPr>
      <w:r w:rsidRPr="00287E1B">
        <w:rPr>
          <w:rFonts w:cs="Arial"/>
          <w:b/>
          <w:bCs/>
        </w:rPr>
        <w:t>Pobreza.</w:t>
      </w:r>
      <w:r w:rsidRPr="0076184C">
        <w:rPr>
          <w:rFonts w:cs="Arial"/>
        </w:rPr>
        <w:t xml:space="preserve">  </w:t>
      </w:r>
      <w:r>
        <w:rPr>
          <w:rFonts w:cs="Arial"/>
        </w:rPr>
        <w:t xml:space="preserve">Como resultado de la política social del gobierno de la cuarta transformación, primero los pobres, las y los colimenses en situación de pobreza, pobreza moderada y pobreza extrema cada vez son menos. </w:t>
      </w:r>
    </w:p>
    <w:p w14:paraId="25B7CC12" w14:textId="77777777" w:rsidR="002A3FD6" w:rsidRDefault="002A3FD6" w:rsidP="00287E1B">
      <w:pPr>
        <w:rPr>
          <w:rFonts w:cs="Arial"/>
        </w:rPr>
      </w:pPr>
    </w:p>
    <w:p w14:paraId="098BDEE6" w14:textId="0BD10625" w:rsidR="00287E1B" w:rsidRPr="00F563E3" w:rsidRDefault="00287E1B" w:rsidP="00287E1B">
      <w:pPr>
        <w:rPr>
          <w:rFonts w:cs="Arial"/>
        </w:rPr>
      </w:pPr>
      <w:r w:rsidRPr="00F563E3">
        <w:rPr>
          <w:rFonts w:cs="Arial"/>
        </w:rPr>
        <w:t xml:space="preserve">De acuerdo al Consejo Nacional de Evaluación de la Política de Desarrollo Social (CONEVAL), en su informe “Medición de Pobreza 2022”, el porcentaje de las y los colimenses en situación de pobreza presenta una tendencia a la baja en el período 2016-2022. Para el año 2022 el porcentaje de la población en situación de pobreza se situó en 20.5 por ciento, mientras que en 2016 fue de 32.5, </w:t>
      </w:r>
      <w:r w:rsidR="00F563E3">
        <w:rPr>
          <w:rFonts w:cs="Arial"/>
        </w:rPr>
        <w:t>en el transcurso de este periodo</w:t>
      </w:r>
      <w:r w:rsidRPr="00F563E3">
        <w:rPr>
          <w:rFonts w:cs="Arial"/>
        </w:rPr>
        <w:t xml:space="preserve">, 69.1 miles de colimenses dejaron esa condición social. La población en pobreza moderada y pobreza extrema para 2022 fue del 19.3 y 1.2 por ciento, respectivamente. </w:t>
      </w:r>
    </w:p>
    <w:p w14:paraId="1685028D" w14:textId="77777777" w:rsidR="00287E1B" w:rsidRPr="00F563E3" w:rsidRDefault="00287E1B" w:rsidP="00287E1B">
      <w:pPr>
        <w:rPr>
          <w:rFonts w:cs="Arial"/>
        </w:rPr>
      </w:pPr>
    </w:p>
    <w:p w14:paraId="55F2D021" w14:textId="5D0A7EB4" w:rsidR="00287E1B" w:rsidRDefault="00287E1B" w:rsidP="00287E1B">
      <w:pPr>
        <w:rPr>
          <w:rFonts w:cs="Arial"/>
        </w:rPr>
      </w:pPr>
      <w:r w:rsidRPr="00F563E3">
        <w:rPr>
          <w:rFonts w:cs="Arial"/>
        </w:rPr>
        <w:t>Cada vez son más las y los colimenses que han superado la situación de pobreza al tener mayores ingresos por encima de la Línea de Bienestar Económico (LBE), pues en 2022 la población con ingresos inferiores a esa línea disminuyó</w:t>
      </w:r>
      <w:r w:rsidR="00D27E0A" w:rsidRPr="00F563E3">
        <w:rPr>
          <w:rFonts w:cs="Arial"/>
        </w:rPr>
        <w:t>,</w:t>
      </w:r>
      <w:r w:rsidRPr="00F563E3">
        <w:rPr>
          <w:rFonts w:cs="Arial"/>
        </w:rPr>
        <w:t xml:space="preserve"> actualmente </w:t>
      </w:r>
      <w:r w:rsidR="00B20B01" w:rsidRPr="00F563E3">
        <w:rPr>
          <w:rFonts w:cs="Arial"/>
        </w:rPr>
        <w:t>el</w:t>
      </w:r>
      <w:r w:rsidRPr="00F563E3">
        <w:rPr>
          <w:rFonts w:cs="Arial"/>
        </w:rPr>
        <w:t xml:space="preserve"> 27.3 por ciento de la población </w:t>
      </w:r>
      <w:r w:rsidR="00B20B01" w:rsidRPr="00F563E3">
        <w:rPr>
          <w:rFonts w:cs="Arial"/>
        </w:rPr>
        <w:t xml:space="preserve">está </w:t>
      </w:r>
      <w:r w:rsidRPr="00F563E3">
        <w:rPr>
          <w:rFonts w:cs="Arial"/>
        </w:rPr>
        <w:t xml:space="preserve">en </w:t>
      </w:r>
      <w:r w:rsidR="000C6441" w:rsidRPr="00F563E3">
        <w:rPr>
          <w:rFonts w:cs="Arial"/>
        </w:rPr>
        <w:t>esa</w:t>
      </w:r>
      <w:r w:rsidRPr="00F563E3">
        <w:rPr>
          <w:rFonts w:cs="Arial"/>
        </w:rPr>
        <w:t xml:space="preserve"> situación. Para 2022</w:t>
      </w:r>
      <w:r w:rsidR="00A419C4" w:rsidRPr="00F563E3">
        <w:rPr>
          <w:rFonts w:cs="Arial"/>
        </w:rPr>
        <w:t>,</w:t>
      </w:r>
      <w:r w:rsidRPr="00F563E3">
        <w:rPr>
          <w:rFonts w:cs="Arial"/>
        </w:rPr>
        <w:t xml:space="preserve"> la población con ingresos inferiores a la Línea de Bienestar Mínimo (LBM) disminuyó, actualmente un 4.4 por ciento de la población</w:t>
      </w:r>
      <w:r w:rsidR="00A419C4" w:rsidRPr="00F563E3">
        <w:rPr>
          <w:rFonts w:cs="Arial"/>
        </w:rPr>
        <w:t xml:space="preserve"> </w:t>
      </w:r>
      <w:r w:rsidR="00B20B01" w:rsidRPr="00F563E3">
        <w:rPr>
          <w:rFonts w:cs="Arial"/>
        </w:rPr>
        <w:t xml:space="preserve">se encuentra en </w:t>
      </w:r>
      <w:r w:rsidR="000C6441" w:rsidRPr="00F563E3">
        <w:rPr>
          <w:rFonts w:cs="Arial"/>
        </w:rPr>
        <w:t>esa</w:t>
      </w:r>
      <w:r w:rsidRPr="00F563E3">
        <w:rPr>
          <w:rFonts w:cs="Arial"/>
        </w:rPr>
        <w:t xml:space="preserve"> condición.</w:t>
      </w:r>
      <w:r w:rsidRPr="0076184C">
        <w:rPr>
          <w:rFonts w:cs="Arial"/>
        </w:rPr>
        <w:t xml:space="preserve"> </w:t>
      </w:r>
    </w:p>
    <w:p w14:paraId="5BE81FB6" w14:textId="77777777" w:rsidR="00287E1B" w:rsidRPr="0076184C" w:rsidRDefault="00287E1B" w:rsidP="00287E1B">
      <w:pPr>
        <w:rPr>
          <w:rFonts w:cs="Arial"/>
        </w:rPr>
      </w:pPr>
    </w:p>
    <w:p w14:paraId="5F277321" w14:textId="5EE0EBF2" w:rsidR="00287E1B" w:rsidRDefault="00816545" w:rsidP="00287E1B">
      <w:pPr>
        <w:rPr>
          <w:rFonts w:cs="Arial"/>
        </w:rPr>
      </w:pPr>
      <w:r>
        <w:rPr>
          <w:rFonts w:cs="Arial"/>
        </w:rPr>
        <w:t>C</w:t>
      </w:r>
      <w:r w:rsidR="00287E1B" w:rsidRPr="0076184C">
        <w:rPr>
          <w:rFonts w:cs="Arial"/>
        </w:rPr>
        <w:t xml:space="preserve">on las estadísticas del CONEVAL 2022, la población colimense con al menos una carencia social o con al menos 3 carencias sociales continuaron con una tendencia a la baja, pasando al 2022 del 59.5 al 52.5 por ciento y del 12.7 al 10.8 por ciento respectivamente, producto </w:t>
      </w:r>
      <w:r>
        <w:rPr>
          <w:rFonts w:cs="Arial"/>
        </w:rPr>
        <w:t>en gran medida</w:t>
      </w:r>
      <w:r w:rsidR="00287E1B" w:rsidRPr="0076184C">
        <w:rPr>
          <w:rFonts w:cs="Arial"/>
        </w:rPr>
        <w:t xml:space="preserve"> </w:t>
      </w:r>
      <w:r>
        <w:rPr>
          <w:rFonts w:cs="Arial"/>
        </w:rPr>
        <w:t>de las políticas públicas de esta administración</w:t>
      </w:r>
      <w:r w:rsidR="00287E1B" w:rsidRPr="0076184C">
        <w:rPr>
          <w:rFonts w:cs="Arial"/>
        </w:rPr>
        <w:t xml:space="preserve"> </w:t>
      </w:r>
      <w:r>
        <w:rPr>
          <w:rFonts w:cs="Arial"/>
        </w:rPr>
        <w:t>donde se ha puesto al centro los ciudadanos en situación de vulnerabilidad, buscando un desarrollo igualitario</w:t>
      </w:r>
      <w:r w:rsidR="00AA3277">
        <w:rPr>
          <w:rFonts w:cs="Arial"/>
        </w:rPr>
        <w:t xml:space="preserve"> y dando atención a los problemas estructurales sociales desde su raíz. </w:t>
      </w:r>
    </w:p>
    <w:p w14:paraId="0B03E334" w14:textId="77777777" w:rsidR="00287E1B" w:rsidRDefault="00287E1B" w:rsidP="00287E1B">
      <w:pPr>
        <w:rPr>
          <w:rFonts w:cs="Arial"/>
        </w:rPr>
      </w:pPr>
    </w:p>
    <w:p w14:paraId="07789D79" w14:textId="5531FCED" w:rsidR="00287E1B" w:rsidRDefault="00287E1B" w:rsidP="00287E1B">
      <w:pPr>
        <w:rPr>
          <w:rFonts w:cs="Arial"/>
        </w:rPr>
      </w:pPr>
      <w:r>
        <w:rPr>
          <w:rFonts w:cs="Arial"/>
        </w:rPr>
        <w:t xml:space="preserve">De acuerdo con el informe del CONEVAL, las y los colimenses con </w:t>
      </w:r>
      <w:r w:rsidRPr="0076184C">
        <w:rPr>
          <w:rFonts w:cs="Arial"/>
        </w:rPr>
        <w:t xml:space="preserve">carencia por acceso a los servicios de salud </w:t>
      </w:r>
      <w:r>
        <w:rPr>
          <w:rFonts w:cs="Arial"/>
        </w:rPr>
        <w:t>e</w:t>
      </w:r>
      <w:r w:rsidRPr="0076184C">
        <w:rPr>
          <w:rFonts w:cs="Arial"/>
        </w:rPr>
        <w:t xml:space="preserve">n el 2022 </w:t>
      </w:r>
      <w:r>
        <w:rPr>
          <w:rFonts w:cs="Arial"/>
        </w:rPr>
        <w:t xml:space="preserve">fue de </w:t>
      </w:r>
      <w:r w:rsidRPr="0076184C">
        <w:rPr>
          <w:rFonts w:cs="Arial"/>
        </w:rPr>
        <w:t>21.9 por ciento</w:t>
      </w:r>
      <w:r>
        <w:rPr>
          <w:rFonts w:cs="Arial"/>
        </w:rPr>
        <w:t xml:space="preserve">. Ante ello la actual administración ha firmado la incorporación del Estado de Colima al modelo IMSS-BIENESTAR, política </w:t>
      </w:r>
      <w:r>
        <w:rPr>
          <w:rFonts w:cs="Arial"/>
        </w:rPr>
        <w:lastRenderedPageBreak/>
        <w:t xml:space="preserve">pública que </w:t>
      </w:r>
      <w:r w:rsidRPr="00745175">
        <w:rPr>
          <w:rFonts w:cs="Arial"/>
        </w:rPr>
        <w:t xml:space="preserve">se centra en atender a personas sin seguridad social, </w:t>
      </w:r>
      <w:r w:rsidR="00F563E3">
        <w:rPr>
          <w:rFonts w:cs="Arial"/>
        </w:rPr>
        <w:t>incrementando</w:t>
      </w:r>
      <w:r w:rsidRPr="00745175">
        <w:rPr>
          <w:rFonts w:cs="Arial"/>
        </w:rPr>
        <w:t xml:space="preserve"> el acceso a servicios médicos en zonas de alta marginación</w:t>
      </w:r>
      <w:r>
        <w:rPr>
          <w:rFonts w:cs="Arial"/>
        </w:rPr>
        <w:t>.</w:t>
      </w:r>
    </w:p>
    <w:p w14:paraId="77D42911" w14:textId="36F3442F" w:rsidR="00287E1B" w:rsidRDefault="00287E1B" w:rsidP="00287E1B">
      <w:pPr>
        <w:rPr>
          <w:rFonts w:cs="Arial"/>
        </w:rPr>
      </w:pPr>
    </w:p>
    <w:p w14:paraId="2D8B86EF" w14:textId="77777777" w:rsidR="00702C1C" w:rsidRPr="0076184C" w:rsidRDefault="00702C1C" w:rsidP="00287E1B">
      <w:pPr>
        <w:rPr>
          <w:rFonts w:cs="Arial"/>
        </w:rPr>
      </w:pPr>
    </w:p>
    <w:bookmarkEnd w:id="0"/>
    <w:p w14:paraId="4ABBA57C" w14:textId="202C8899" w:rsidR="003D40E2" w:rsidRPr="00516AFF" w:rsidRDefault="003D40E2" w:rsidP="003D40E2">
      <w:pPr>
        <w:pStyle w:val="Ttulo2"/>
        <w:rPr>
          <w:rFonts w:cs="Arial"/>
        </w:rPr>
      </w:pPr>
      <w:r w:rsidRPr="00516AFF">
        <w:rPr>
          <w:rFonts w:cs="Arial"/>
        </w:rPr>
        <w:t>1.</w:t>
      </w:r>
      <w:r w:rsidR="00293EDB">
        <w:rPr>
          <w:rFonts w:cs="Arial"/>
        </w:rPr>
        <w:t>IV</w:t>
      </w:r>
      <w:r w:rsidRPr="00516AFF">
        <w:rPr>
          <w:rFonts w:cs="Arial"/>
        </w:rPr>
        <w:t xml:space="preserve"> Condiciones Financieras</w:t>
      </w:r>
    </w:p>
    <w:p w14:paraId="1BC86ECD" w14:textId="77777777" w:rsidR="003D40E2" w:rsidRPr="00516AFF" w:rsidRDefault="003D40E2" w:rsidP="003D40E2">
      <w:pPr>
        <w:rPr>
          <w:rFonts w:cs="Arial"/>
        </w:rPr>
      </w:pPr>
    </w:p>
    <w:p w14:paraId="734F5F66" w14:textId="0103CF1D" w:rsidR="003D40E2" w:rsidRPr="002A3FD6" w:rsidRDefault="003D40E2" w:rsidP="003D40E2">
      <w:pPr>
        <w:rPr>
          <w:rFonts w:cs="Arial"/>
        </w:rPr>
      </w:pPr>
      <w:r w:rsidRPr="002A3FD6">
        <w:rPr>
          <w:rFonts w:cs="Arial"/>
        </w:rPr>
        <w:t>Con información de la Cuenta Pública al Tercer Trimestre del Ejercicio Fiscal 202</w:t>
      </w:r>
      <w:r w:rsidR="00F1573D" w:rsidRPr="002A3FD6">
        <w:rPr>
          <w:rFonts w:cs="Arial"/>
        </w:rPr>
        <w:t>4</w:t>
      </w:r>
      <w:r w:rsidRPr="002A3FD6">
        <w:rPr>
          <w:rFonts w:cs="Arial"/>
        </w:rPr>
        <w:t>, el Gobierno del Estado de Colima, de acuerdo a la Ley de Ingresos del Estado de Colima para el Ejercicio Fiscal 202</w:t>
      </w:r>
      <w:r w:rsidR="00F1573D" w:rsidRPr="002A3FD6">
        <w:rPr>
          <w:rFonts w:cs="Arial"/>
        </w:rPr>
        <w:t>4</w:t>
      </w:r>
      <w:r w:rsidRPr="002A3FD6">
        <w:rPr>
          <w:rFonts w:cs="Arial"/>
        </w:rPr>
        <w:t xml:space="preserve"> de los </w:t>
      </w:r>
      <w:r w:rsidR="0081073A" w:rsidRPr="002A3FD6">
        <w:rPr>
          <w:rFonts w:cs="Arial"/>
        </w:rPr>
        <w:t xml:space="preserve">21,995,316,218 </w:t>
      </w:r>
      <w:r w:rsidRPr="002A3FD6">
        <w:rPr>
          <w:rFonts w:cs="Arial"/>
        </w:rPr>
        <w:t xml:space="preserve">pesos estimados a recaudar se han devengado en el periodo mencionado </w:t>
      </w:r>
      <w:r w:rsidR="008F2536" w:rsidRPr="002A3FD6">
        <w:rPr>
          <w:rFonts w:cs="Arial"/>
        </w:rPr>
        <w:t>18,407,072,521</w:t>
      </w:r>
      <w:r w:rsidR="00407EC0">
        <w:rPr>
          <w:rFonts w:cs="Arial"/>
        </w:rPr>
        <w:t xml:space="preserve"> pesos</w:t>
      </w:r>
      <w:r w:rsidR="00D27E0A">
        <w:rPr>
          <w:rFonts w:cs="Arial"/>
        </w:rPr>
        <w:t>,</w:t>
      </w:r>
      <w:r w:rsidR="008F2536" w:rsidRPr="002A3FD6">
        <w:rPr>
          <w:rFonts w:cs="Arial"/>
        </w:rPr>
        <w:t xml:space="preserve"> </w:t>
      </w:r>
      <w:r w:rsidRPr="002A3FD6">
        <w:rPr>
          <w:rFonts w:cs="Arial"/>
        </w:rPr>
        <w:t xml:space="preserve">cifra que muestra un avance del </w:t>
      </w:r>
      <w:r w:rsidR="008F2536" w:rsidRPr="002A3FD6">
        <w:rPr>
          <w:rFonts w:cs="Arial"/>
        </w:rPr>
        <w:t>8</w:t>
      </w:r>
      <w:r w:rsidR="000C6441">
        <w:rPr>
          <w:rFonts w:cs="Arial"/>
        </w:rPr>
        <w:t>4</w:t>
      </w:r>
      <w:r w:rsidRPr="002A3FD6">
        <w:rPr>
          <w:rFonts w:cs="Arial"/>
        </w:rPr>
        <w:t xml:space="preserve"> por ciento en la recaudación, y que se </w:t>
      </w:r>
      <w:r w:rsidR="00F563E3">
        <w:rPr>
          <w:rFonts w:cs="Arial"/>
        </w:rPr>
        <w:t>prevé</w:t>
      </w:r>
      <w:r w:rsidRPr="002A3FD6">
        <w:rPr>
          <w:rFonts w:cs="Arial"/>
        </w:rPr>
        <w:t xml:space="preserve"> habrá de cumplirse al cierre del Ejercicio Fiscal. </w:t>
      </w:r>
    </w:p>
    <w:p w14:paraId="470BBD59" w14:textId="77777777" w:rsidR="003D40E2" w:rsidRPr="002A3FD6" w:rsidRDefault="003D40E2" w:rsidP="003D40E2">
      <w:pPr>
        <w:rPr>
          <w:rFonts w:cs="Arial"/>
          <w:highlight w:val="yellow"/>
        </w:rPr>
      </w:pPr>
    </w:p>
    <w:p w14:paraId="286BCB63" w14:textId="3D6A283A" w:rsidR="003D40E2" w:rsidRPr="002A3FD6" w:rsidRDefault="003D40E2" w:rsidP="003D40E2">
      <w:pPr>
        <w:rPr>
          <w:rFonts w:cs="Arial"/>
        </w:rPr>
      </w:pPr>
      <w:r w:rsidRPr="002A3FD6">
        <w:rPr>
          <w:rFonts w:cs="Arial"/>
        </w:rPr>
        <w:t xml:space="preserve">Los Ingresos de Libre Disposición muestran un avance del </w:t>
      </w:r>
      <w:r w:rsidR="00997068" w:rsidRPr="002A3FD6">
        <w:rPr>
          <w:rFonts w:cs="Arial"/>
        </w:rPr>
        <w:t>77.6</w:t>
      </w:r>
      <w:r w:rsidRPr="002A3FD6">
        <w:rPr>
          <w:rFonts w:cs="Arial"/>
        </w:rPr>
        <w:t xml:space="preserve"> por ciento al cierre del tercer trimestre de 202</w:t>
      </w:r>
      <w:r w:rsidR="00F1573D" w:rsidRPr="002A3FD6">
        <w:rPr>
          <w:rFonts w:cs="Arial"/>
        </w:rPr>
        <w:t>4</w:t>
      </w:r>
      <w:r w:rsidRPr="002A3FD6">
        <w:rPr>
          <w:rFonts w:cs="Arial"/>
        </w:rPr>
        <w:t xml:space="preserve">, con una recaudación de </w:t>
      </w:r>
      <w:r w:rsidR="00997068" w:rsidRPr="002A3FD6">
        <w:rPr>
          <w:rFonts w:cs="Arial"/>
        </w:rPr>
        <w:t>7,595,735,872</w:t>
      </w:r>
      <w:r w:rsidR="00407EC0">
        <w:rPr>
          <w:rFonts w:cs="Arial"/>
        </w:rPr>
        <w:t xml:space="preserve"> pesos</w:t>
      </w:r>
      <w:r w:rsidR="00997068" w:rsidRPr="002A3FD6">
        <w:rPr>
          <w:rFonts w:cs="Arial"/>
        </w:rPr>
        <w:t xml:space="preserve"> </w:t>
      </w:r>
      <w:r w:rsidRPr="002A3FD6">
        <w:rPr>
          <w:rFonts w:cs="Arial"/>
        </w:rPr>
        <w:t xml:space="preserve">de los </w:t>
      </w:r>
      <w:r w:rsidR="0081073A" w:rsidRPr="002A3FD6">
        <w:rPr>
          <w:rFonts w:cs="Arial"/>
        </w:rPr>
        <w:t>9,786,728,726</w:t>
      </w:r>
      <w:r w:rsidR="00407EC0">
        <w:rPr>
          <w:rFonts w:cs="Arial"/>
        </w:rPr>
        <w:t xml:space="preserve"> pesos </w:t>
      </w:r>
      <w:r w:rsidRPr="002A3FD6">
        <w:rPr>
          <w:rFonts w:cs="Arial"/>
        </w:rPr>
        <w:t xml:space="preserve">que se estimaron a recaudar en el año. Los ingresos locales o de gestión recaudados en el mismo periodo de tiempo ascienden a </w:t>
      </w:r>
      <w:r w:rsidR="00997068" w:rsidRPr="002A3FD6">
        <w:rPr>
          <w:rFonts w:cs="Arial"/>
        </w:rPr>
        <w:t xml:space="preserve">1,649,385,603 </w:t>
      </w:r>
      <w:r w:rsidRPr="002A3FD6">
        <w:rPr>
          <w:rFonts w:cs="Arial"/>
        </w:rPr>
        <w:t>pesos, lo que implica un avance en la recaudación anual por esta vía del 8</w:t>
      </w:r>
      <w:r w:rsidR="00997068" w:rsidRPr="002A3FD6">
        <w:rPr>
          <w:rFonts w:cs="Arial"/>
        </w:rPr>
        <w:t>7</w:t>
      </w:r>
      <w:r w:rsidRPr="002A3FD6">
        <w:rPr>
          <w:rFonts w:cs="Arial"/>
        </w:rPr>
        <w:t xml:space="preserve">.6 por ciento. Los ingresos locales representan cerca del </w:t>
      </w:r>
      <w:r w:rsidR="00997068" w:rsidRPr="002A3FD6">
        <w:rPr>
          <w:rFonts w:cs="Arial"/>
        </w:rPr>
        <w:t>21.7</w:t>
      </w:r>
      <w:r w:rsidRPr="002A3FD6">
        <w:rPr>
          <w:rFonts w:cs="Arial"/>
        </w:rPr>
        <w:t xml:space="preserve"> por ciento del total de los Ingresos de Libre Disposición y un </w:t>
      </w:r>
      <w:r w:rsidR="00997068" w:rsidRPr="002A3FD6">
        <w:rPr>
          <w:rFonts w:cs="Arial"/>
        </w:rPr>
        <w:t>9.0</w:t>
      </w:r>
      <w:r w:rsidRPr="002A3FD6">
        <w:rPr>
          <w:rFonts w:cs="Arial"/>
        </w:rPr>
        <w:t xml:space="preserve"> por ciento del total de los Ingresos estimados. Lo que demuestra la dependencia del Estado de</w:t>
      </w:r>
      <w:r w:rsidR="0050506B" w:rsidRPr="002A3FD6">
        <w:rPr>
          <w:rFonts w:cs="Arial"/>
        </w:rPr>
        <w:t xml:space="preserve"> los recursos que transfiere el</w:t>
      </w:r>
      <w:r w:rsidRPr="002A3FD6">
        <w:rPr>
          <w:rFonts w:cs="Arial"/>
        </w:rPr>
        <w:t xml:space="preserve"> Gobierno Federal. </w:t>
      </w:r>
    </w:p>
    <w:p w14:paraId="4A665674" w14:textId="77777777" w:rsidR="003D40E2" w:rsidRPr="002A3FD6" w:rsidRDefault="003D40E2" w:rsidP="003D40E2">
      <w:pPr>
        <w:rPr>
          <w:rFonts w:cs="Arial"/>
          <w:highlight w:val="yellow"/>
        </w:rPr>
      </w:pPr>
    </w:p>
    <w:p w14:paraId="1CA683BA" w14:textId="44A662E6" w:rsidR="003D40E2" w:rsidRPr="002A3FD6" w:rsidRDefault="003D40E2" w:rsidP="003D40E2">
      <w:pPr>
        <w:rPr>
          <w:rFonts w:cs="Arial"/>
        </w:rPr>
      </w:pPr>
      <w:r w:rsidRPr="002A3FD6">
        <w:rPr>
          <w:rFonts w:cs="Arial"/>
        </w:rPr>
        <w:t xml:space="preserve">Por su parte, en el rubro de Transferencias Federales Etiquetadas se estiman recibir </w:t>
      </w:r>
      <w:r w:rsidR="0081073A" w:rsidRPr="002A3FD6">
        <w:rPr>
          <w:rFonts w:cs="Arial"/>
        </w:rPr>
        <w:t xml:space="preserve">11,858,587,492 </w:t>
      </w:r>
      <w:r w:rsidRPr="002A3FD6">
        <w:rPr>
          <w:rFonts w:cs="Arial"/>
        </w:rPr>
        <w:t>pesos durante el Ejercicio Fiscal 202</w:t>
      </w:r>
      <w:r w:rsidR="0077603D" w:rsidRPr="002A3FD6">
        <w:rPr>
          <w:rFonts w:cs="Arial"/>
        </w:rPr>
        <w:t>4</w:t>
      </w:r>
      <w:r w:rsidRPr="002A3FD6">
        <w:rPr>
          <w:rFonts w:cs="Arial"/>
        </w:rPr>
        <w:t>, de los cuales al tercer trimestre se han devengado ingresos de este tipo por</w:t>
      </w:r>
      <w:r w:rsidR="00751934" w:rsidRPr="002A3FD6">
        <w:rPr>
          <w:rFonts w:cs="Arial"/>
        </w:rPr>
        <w:t xml:space="preserve"> 8,011,116,1</w:t>
      </w:r>
      <w:r w:rsidR="00BE6A2D" w:rsidRPr="002A3FD6">
        <w:rPr>
          <w:rFonts w:cs="Arial"/>
        </w:rPr>
        <w:t>60</w:t>
      </w:r>
      <w:r w:rsidR="00751934" w:rsidRPr="002A3FD6">
        <w:rPr>
          <w:rFonts w:cs="Arial"/>
        </w:rPr>
        <w:t xml:space="preserve"> </w:t>
      </w:r>
      <w:r w:rsidRPr="002A3FD6">
        <w:rPr>
          <w:rFonts w:cs="Arial"/>
        </w:rPr>
        <w:t xml:space="preserve">pesos, lo que representa un avance del </w:t>
      </w:r>
      <w:r w:rsidR="00751934" w:rsidRPr="002A3FD6">
        <w:rPr>
          <w:rFonts w:cs="Arial"/>
        </w:rPr>
        <w:t>67.5</w:t>
      </w:r>
      <w:r w:rsidRPr="002A3FD6">
        <w:rPr>
          <w:rFonts w:cs="Arial"/>
        </w:rPr>
        <w:t xml:space="preserve"> por ciento, las Aportaciones Federales representan el rubro más importante con</w:t>
      </w:r>
      <w:r w:rsidR="00751934" w:rsidRPr="002A3FD6">
        <w:rPr>
          <w:rFonts w:cs="Arial"/>
        </w:rPr>
        <w:t xml:space="preserve"> 5,799,615,177 </w:t>
      </w:r>
      <w:r w:rsidRPr="002A3FD6">
        <w:rPr>
          <w:rFonts w:cs="Arial"/>
        </w:rPr>
        <w:t xml:space="preserve">pesos devengados. </w:t>
      </w:r>
    </w:p>
    <w:p w14:paraId="3B183BF4" w14:textId="77777777" w:rsidR="003D40E2" w:rsidRPr="002A3FD6" w:rsidRDefault="003D40E2" w:rsidP="003D40E2">
      <w:pPr>
        <w:rPr>
          <w:rFonts w:cs="Arial"/>
          <w:highlight w:val="yellow"/>
        </w:rPr>
      </w:pPr>
    </w:p>
    <w:p w14:paraId="4706C634" w14:textId="7A8EEC2F" w:rsidR="0050506B" w:rsidRPr="002A3FD6" w:rsidRDefault="003D40E2" w:rsidP="003D40E2">
      <w:pPr>
        <w:rPr>
          <w:rFonts w:cs="Arial"/>
        </w:rPr>
      </w:pPr>
      <w:r w:rsidRPr="002A3FD6">
        <w:rPr>
          <w:rFonts w:cs="Arial"/>
        </w:rPr>
        <w:t>En lo que refiere al financiamiento que fue estimado en el presente Ejercicio Fiscal 202</w:t>
      </w:r>
      <w:r w:rsidR="0077603D" w:rsidRPr="002A3FD6">
        <w:rPr>
          <w:rFonts w:cs="Arial"/>
        </w:rPr>
        <w:t>4</w:t>
      </w:r>
      <w:r w:rsidRPr="002A3FD6">
        <w:rPr>
          <w:rFonts w:cs="Arial"/>
        </w:rPr>
        <w:t xml:space="preserve">, ascendió y fue autorizado en su modalidad de corto plazo en la Ley de Ingresos del Estado de Colima, a la suma de </w:t>
      </w:r>
      <w:r w:rsidR="00BE6A2D" w:rsidRPr="002A3FD6">
        <w:rPr>
          <w:rFonts w:cs="Arial"/>
        </w:rPr>
        <w:t>350 millones de</w:t>
      </w:r>
      <w:r w:rsidRPr="002A3FD6">
        <w:rPr>
          <w:rFonts w:cs="Arial"/>
        </w:rPr>
        <w:t xml:space="preserve"> pesos, de los cuales, en un ejercicio de responsabilidad</w:t>
      </w:r>
      <w:r w:rsidR="00F563E3">
        <w:rPr>
          <w:rFonts w:cs="Arial"/>
        </w:rPr>
        <w:t xml:space="preserve"> al mes de septiembre no se han dispuesto recursos por esta vía</w:t>
      </w:r>
      <w:r w:rsidRPr="002A3FD6">
        <w:rPr>
          <w:rFonts w:cs="Arial"/>
        </w:rPr>
        <w:t>.</w:t>
      </w:r>
      <w:r w:rsidR="00A95727" w:rsidRPr="002A3FD6">
        <w:rPr>
          <w:rFonts w:cs="Arial"/>
        </w:rPr>
        <w:t xml:space="preserve"> En junio 2024 se realizó una operación de refinanciamiento con autorización de la legislatura local, </w:t>
      </w:r>
      <w:r w:rsidR="00681026">
        <w:rPr>
          <w:rFonts w:cs="Arial"/>
        </w:rPr>
        <w:t xml:space="preserve">hasta </w:t>
      </w:r>
      <w:r w:rsidR="00A95727" w:rsidRPr="002A3FD6">
        <w:rPr>
          <w:rFonts w:cs="Arial"/>
        </w:rPr>
        <w:t>por un monto de 2,800,220,489</w:t>
      </w:r>
      <w:r w:rsidR="006D1667">
        <w:rPr>
          <w:rFonts w:cs="Arial"/>
        </w:rPr>
        <w:t xml:space="preserve"> </w:t>
      </w:r>
      <w:r w:rsidR="00407EC0">
        <w:rPr>
          <w:rFonts w:cs="Arial"/>
        </w:rPr>
        <w:t xml:space="preserve">pesos. </w:t>
      </w:r>
    </w:p>
    <w:p w14:paraId="2BC0E120" w14:textId="18887BEC" w:rsidR="003D40E2" w:rsidRPr="002A3FD6" w:rsidRDefault="003D40E2" w:rsidP="003D40E2">
      <w:pPr>
        <w:rPr>
          <w:rFonts w:cs="Arial"/>
          <w:highlight w:val="yellow"/>
        </w:rPr>
      </w:pPr>
      <w:r w:rsidRPr="002A3FD6">
        <w:rPr>
          <w:rFonts w:cs="Arial"/>
          <w:highlight w:val="yellow"/>
        </w:rPr>
        <w:t xml:space="preserve"> </w:t>
      </w:r>
    </w:p>
    <w:p w14:paraId="2D87C503" w14:textId="77777777" w:rsidR="003D40E2" w:rsidRPr="0081073A" w:rsidRDefault="003D40E2" w:rsidP="003D40E2">
      <w:pPr>
        <w:rPr>
          <w:rFonts w:cs="Arial"/>
        </w:rPr>
      </w:pPr>
      <w:r w:rsidRPr="002A3FD6">
        <w:rPr>
          <w:rFonts w:cs="Arial"/>
        </w:rPr>
        <w:t>Gráficamente se puede observar el comportamiento de la recaudación al cierre del tercer trimestre por los grandes agregados del ingreso.</w:t>
      </w:r>
      <w:r w:rsidRPr="0081073A">
        <w:rPr>
          <w:rFonts w:cs="Arial"/>
        </w:rPr>
        <w:t xml:space="preserve"> </w:t>
      </w:r>
    </w:p>
    <w:p w14:paraId="4C9DDFA7" w14:textId="77777777" w:rsidR="003D40E2" w:rsidRPr="00D259E6" w:rsidRDefault="003D40E2" w:rsidP="003D40E2">
      <w:pPr>
        <w:rPr>
          <w:rFonts w:cs="Arial"/>
        </w:rPr>
      </w:pPr>
    </w:p>
    <w:p w14:paraId="5F99E228" w14:textId="5E7D68E2" w:rsidR="003D40E2" w:rsidRPr="00D259E6" w:rsidRDefault="00CF1089" w:rsidP="00CF1089">
      <w:pPr>
        <w:jc w:val="center"/>
        <w:rPr>
          <w:rFonts w:cs="Arial"/>
        </w:rPr>
      </w:pPr>
      <w:r>
        <w:rPr>
          <w:rFonts w:cs="Arial"/>
          <w:noProof/>
        </w:rPr>
        <w:lastRenderedPageBreak/>
        <w:drawing>
          <wp:inline distT="0" distB="0" distL="0" distR="0" wp14:anchorId="2A9CDE33" wp14:editId="44FFA79D">
            <wp:extent cx="4336472" cy="2530301"/>
            <wp:effectExtent l="0" t="0" r="698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40841" cy="2532850"/>
                    </a:xfrm>
                    <a:prstGeom prst="rect">
                      <a:avLst/>
                    </a:prstGeom>
                    <a:noFill/>
                  </pic:spPr>
                </pic:pic>
              </a:graphicData>
            </a:graphic>
          </wp:inline>
        </w:drawing>
      </w:r>
    </w:p>
    <w:p w14:paraId="2D86063A" w14:textId="160EC4F3" w:rsidR="003D40E2" w:rsidRPr="00F25F30" w:rsidRDefault="003D40E2" w:rsidP="003D40E2">
      <w:pPr>
        <w:ind w:left="426" w:right="474"/>
        <w:jc w:val="left"/>
        <w:rPr>
          <w:rFonts w:cs="Arial"/>
          <w:sz w:val="14"/>
          <w:szCs w:val="14"/>
        </w:rPr>
      </w:pPr>
      <w:r w:rsidRPr="00D259E6">
        <w:rPr>
          <w:rFonts w:cs="Arial"/>
          <w:b/>
          <w:bCs/>
          <w:sz w:val="14"/>
          <w:szCs w:val="14"/>
        </w:rPr>
        <w:t>Fuente:</w:t>
      </w:r>
      <w:r w:rsidRPr="00D259E6">
        <w:rPr>
          <w:rFonts w:cs="Arial"/>
          <w:sz w:val="14"/>
          <w:szCs w:val="14"/>
        </w:rPr>
        <w:t xml:space="preserve"> Elaboración propia con información de la Cuenta Pública Trimestral del Gobierno del Estado del Colima al Tercer Trimestre del Ejercicio Fiscal 202</w:t>
      </w:r>
      <w:r w:rsidR="00A21C6A" w:rsidRPr="00D259E6">
        <w:rPr>
          <w:rFonts w:cs="Arial"/>
          <w:sz w:val="14"/>
          <w:szCs w:val="14"/>
        </w:rPr>
        <w:t>4</w:t>
      </w:r>
      <w:r w:rsidRPr="00D259E6">
        <w:rPr>
          <w:rFonts w:cs="Arial"/>
          <w:sz w:val="14"/>
          <w:szCs w:val="14"/>
        </w:rPr>
        <w:t xml:space="preserve"> https://www.col.gob.mx/armonizacionv3/index.php/detalle/contenido/NDY0Ng==</w:t>
      </w:r>
    </w:p>
    <w:p w14:paraId="09A9B5EA" w14:textId="77777777" w:rsidR="003D40E2" w:rsidRPr="000F1B6B" w:rsidRDefault="003D40E2" w:rsidP="003D40E2">
      <w:pPr>
        <w:rPr>
          <w:rFonts w:cs="Arial"/>
          <w:highlight w:val="yellow"/>
        </w:rPr>
      </w:pPr>
    </w:p>
    <w:p w14:paraId="4EB4997D" w14:textId="3AB750DC" w:rsidR="003D40E2" w:rsidRPr="004E1975" w:rsidRDefault="003D40E2" w:rsidP="003D40E2">
      <w:pPr>
        <w:rPr>
          <w:rFonts w:cs="Arial"/>
        </w:rPr>
      </w:pPr>
      <w:r w:rsidRPr="004E1975">
        <w:rPr>
          <w:rFonts w:cs="Arial"/>
        </w:rPr>
        <w:t>En lo que refiere a los egresos del Estado, en el capítulo de Servicios Personales se han ejercido</w:t>
      </w:r>
      <w:r w:rsidR="009F433F" w:rsidRPr="004E1975">
        <w:rPr>
          <w:rFonts w:cs="Arial"/>
        </w:rPr>
        <w:t xml:space="preserve"> </w:t>
      </w:r>
      <w:r w:rsidR="00965322" w:rsidRPr="004E1975">
        <w:rPr>
          <w:rFonts w:cs="Arial"/>
        </w:rPr>
        <w:t>1,448,587,</w:t>
      </w:r>
      <w:r w:rsidR="00407EC0">
        <w:rPr>
          <w:rFonts w:cs="Arial"/>
        </w:rPr>
        <w:t>06</w:t>
      </w:r>
      <w:r w:rsidR="00965322" w:rsidRPr="004E1975">
        <w:rPr>
          <w:rFonts w:cs="Arial"/>
        </w:rPr>
        <w:t>3</w:t>
      </w:r>
      <w:r w:rsidR="006D1667">
        <w:rPr>
          <w:rFonts w:cs="Arial"/>
        </w:rPr>
        <w:t xml:space="preserve"> </w:t>
      </w:r>
      <w:r w:rsidRPr="004E1975">
        <w:rPr>
          <w:rFonts w:cs="Arial"/>
        </w:rPr>
        <w:t>pesos lo que representa el ejercicio del 6</w:t>
      </w:r>
      <w:r w:rsidR="00843E37">
        <w:rPr>
          <w:rFonts w:cs="Arial"/>
        </w:rPr>
        <w:t>5</w:t>
      </w:r>
      <w:r w:rsidRPr="004E1975">
        <w:rPr>
          <w:rFonts w:cs="Arial"/>
        </w:rPr>
        <w:t>.</w:t>
      </w:r>
      <w:r w:rsidR="00843E37">
        <w:rPr>
          <w:rFonts w:cs="Arial"/>
        </w:rPr>
        <w:t>5</w:t>
      </w:r>
      <w:r w:rsidRPr="004E1975">
        <w:rPr>
          <w:rFonts w:cs="Arial"/>
        </w:rPr>
        <w:t xml:space="preserve"> por ciento del presupuesto autorizado para tal fin, en relación al capítulo de Materiales y Suministros se han ejercido </w:t>
      </w:r>
      <w:r w:rsidR="004E1975" w:rsidRPr="004E1975">
        <w:rPr>
          <w:rFonts w:cs="Arial"/>
        </w:rPr>
        <w:t xml:space="preserve">97,897,142 </w:t>
      </w:r>
      <w:r w:rsidRPr="004E1975">
        <w:rPr>
          <w:rFonts w:cs="Arial"/>
        </w:rPr>
        <w:t>pesos lo que representa un avance del 3</w:t>
      </w:r>
      <w:r w:rsidR="004E1975" w:rsidRPr="004E1975">
        <w:rPr>
          <w:rFonts w:cs="Arial"/>
        </w:rPr>
        <w:t>7.2</w:t>
      </w:r>
      <w:r w:rsidRPr="004E1975">
        <w:rPr>
          <w:rFonts w:cs="Arial"/>
        </w:rPr>
        <w:t xml:space="preserve"> por ciento del presupuesto aprobado.</w:t>
      </w:r>
    </w:p>
    <w:p w14:paraId="01713531" w14:textId="77777777" w:rsidR="003D40E2" w:rsidRPr="000F1B6B" w:rsidRDefault="003D40E2" w:rsidP="003D40E2">
      <w:pPr>
        <w:rPr>
          <w:rFonts w:cs="Arial"/>
          <w:highlight w:val="yellow"/>
        </w:rPr>
      </w:pPr>
    </w:p>
    <w:p w14:paraId="6F12580A" w14:textId="7EF2945F" w:rsidR="003D40E2" w:rsidRPr="004E1975" w:rsidRDefault="003D40E2" w:rsidP="003D40E2">
      <w:pPr>
        <w:rPr>
          <w:rFonts w:cs="Arial"/>
        </w:rPr>
      </w:pPr>
      <w:r w:rsidRPr="004E1975">
        <w:rPr>
          <w:rFonts w:cs="Arial"/>
        </w:rPr>
        <w:t xml:space="preserve">En el capítulo del gasto relacionado con Servicios Generales a la fecha que se reporta, se han ejercido </w:t>
      </w:r>
      <w:r w:rsidR="004E1975" w:rsidRPr="004E1975">
        <w:rPr>
          <w:rFonts w:cs="Arial"/>
        </w:rPr>
        <w:t xml:space="preserve">273,241,425 </w:t>
      </w:r>
      <w:r w:rsidRPr="004E1975">
        <w:rPr>
          <w:rFonts w:cs="Arial"/>
        </w:rPr>
        <w:t xml:space="preserve">pesos lo que representa un avance del </w:t>
      </w:r>
      <w:r w:rsidR="004E1975" w:rsidRPr="004E1975">
        <w:rPr>
          <w:rFonts w:cs="Arial"/>
        </w:rPr>
        <w:t>46.7</w:t>
      </w:r>
      <w:r w:rsidRPr="004E1975">
        <w:rPr>
          <w:rFonts w:cs="Arial"/>
        </w:rPr>
        <w:t xml:space="preserve"> por ciento del monto autorizado para este fin, dentro de este capítulo los gastos que conllevan mayor carga financiera, es el pago de energía eléctrica para el funcionamiento de la infraestructura en materia de seguridad, </w:t>
      </w:r>
      <w:r w:rsidR="006D1667">
        <w:rPr>
          <w:rFonts w:cs="Arial"/>
        </w:rPr>
        <w:t>a</w:t>
      </w:r>
      <w:r w:rsidRPr="004E1975">
        <w:rPr>
          <w:rFonts w:cs="Arial"/>
        </w:rPr>
        <w:t xml:space="preserve">rrendamiento de equipo de transporte, manejo de desechos, impuesto sobre nóminas </w:t>
      </w:r>
      <w:r w:rsidR="006A5945">
        <w:rPr>
          <w:rFonts w:cs="Arial"/>
        </w:rPr>
        <w:t>y penas, multas, accesorios y actualizaciones.</w:t>
      </w:r>
    </w:p>
    <w:p w14:paraId="2DC85D2A" w14:textId="77777777" w:rsidR="003D40E2" w:rsidRPr="000F1B6B" w:rsidRDefault="003D40E2" w:rsidP="003D40E2">
      <w:pPr>
        <w:rPr>
          <w:rFonts w:cs="Arial"/>
          <w:highlight w:val="yellow"/>
        </w:rPr>
      </w:pPr>
    </w:p>
    <w:p w14:paraId="7AAAD811" w14:textId="1D21CFF9" w:rsidR="003D40E2" w:rsidRPr="004E1975" w:rsidRDefault="003D40E2" w:rsidP="003D40E2">
      <w:pPr>
        <w:rPr>
          <w:rFonts w:cs="Arial"/>
        </w:rPr>
      </w:pPr>
      <w:r w:rsidRPr="004E1975">
        <w:rPr>
          <w:rFonts w:cs="Arial"/>
        </w:rPr>
        <w:t>Por su parte, en el Capítulo de las Transferencias, Asignaciones, Subsidios y Otras Ayudas, se presupuestaron para el Ejercicio Fiscal 202</w:t>
      </w:r>
      <w:r w:rsidR="0077603D" w:rsidRPr="004E1975">
        <w:rPr>
          <w:rFonts w:cs="Arial"/>
        </w:rPr>
        <w:t>4</w:t>
      </w:r>
      <w:r w:rsidRPr="004E1975">
        <w:rPr>
          <w:rFonts w:cs="Arial"/>
        </w:rPr>
        <w:t xml:space="preserve"> la cantidad de </w:t>
      </w:r>
      <w:r w:rsidR="004E1975" w:rsidRPr="004E1975">
        <w:rPr>
          <w:rFonts w:cs="Arial"/>
        </w:rPr>
        <w:t xml:space="preserve">14,575,694,775 </w:t>
      </w:r>
      <w:r w:rsidRPr="004E1975">
        <w:rPr>
          <w:rFonts w:cs="Arial"/>
        </w:rPr>
        <w:t xml:space="preserve">pesos, se han ejercido </w:t>
      </w:r>
      <w:r w:rsidR="004E1975" w:rsidRPr="004E1975">
        <w:rPr>
          <w:rFonts w:cs="Arial"/>
        </w:rPr>
        <w:t xml:space="preserve">10,338,832,461 </w:t>
      </w:r>
      <w:r w:rsidRPr="004E1975">
        <w:rPr>
          <w:rFonts w:cs="Arial"/>
        </w:rPr>
        <w:t>pesos lo que representa un ejercicio del 7</w:t>
      </w:r>
      <w:r w:rsidR="004E1975" w:rsidRPr="004E1975">
        <w:rPr>
          <w:rFonts w:cs="Arial"/>
        </w:rPr>
        <w:t>0.9</w:t>
      </w:r>
      <w:r w:rsidRPr="004E1975">
        <w:rPr>
          <w:rFonts w:cs="Arial"/>
        </w:rPr>
        <w:t xml:space="preserve"> por ciento, en este rubro de gasto destacan el pago de pensiones y jubilaciones por cerca de </w:t>
      </w:r>
      <w:r w:rsidR="004E1975" w:rsidRPr="004E1975">
        <w:rPr>
          <w:rFonts w:cs="Arial"/>
        </w:rPr>
        <w:t>818.7</w:t>
      </w:r>
      <w:r w:rsidRPr="004E1975">
        <w:rPr>
          <w:rFonts w:cs="Arial"/>
        </w:rPr>
        <w:t xml:space="preserve"> millones de pesos con las que no se tiene ningún adeudo, así como las transferencias a los Poderes del Estado y Órganos Autónomos Estatales que en su conjunto suman </w:t>
      </w:r>
      <w:r w:rsidR="004E1975" w:rsidRPr="004E1975">
        <w:rPr>
          <w:rFonts w:cs="Arial"/>
        </w:rPr>
        <w:t>922.1</w:t>
      </w:r>
      <w:r w:rsidRPr="004E1975">
        <w:rPr>
          <w:rFonts w:cs="Arial"/>
        </w:rPr>
        <w:t xml:space="preserve"> millones de pesos</w:t>
      </w:r>
      <w:r w:rsidR="006A5945">
        <w:rPr>
          <w:rFonts w:cs="Arial"/>
        </w:rPr>
        <w:t xml:space="preserve">, </w:t>
      </w:r>
      <w:r w:rsidR="006D1667">
        <w:rPr>
          <w:rFonts w:cs="Arial"/>
        </w:rPr>
        <w:t>además d</w:t>
      </w:r>
      <w:r w:rsidR="006A5945">
        <w:rPr>
          <w:rFonts w:cs="Arial"/>
        </w:rPr>
        <w:t xml:space="preserve">el subsidio Federal Ordinario de la Universidad de Colima por 1,679.7 millones de pesos. </w:t>
      </w:r>
    </w:p>
    <w:p w14:paraId="072FECC8" w14:textId="77777777" w:rsidR="003D40E2" w:rsidRPr="000F1B6B" w:rsidRDefault="003D40E2" w:rsidP="003D40E2">
      <w:pPr>
        <w:rPr>
          <w:rFonts w:cs="Arial"/>
          <w:highlight w:val="yellow"/>
        </w:rPr>
      </w:pPr>
    </w:p>
    <w:p w14:paraId="667E4E79" w14:textId="0D529BC0" w:rsidR="003D40E2" w:rsidRPr="007A71B0" w:rsidRDefault="003D40E2" w:rsidP="003D40E2">
      <w:pPr>
        <w:rPr>
          <w:rFonts w:cs="Arial"/>
        </w:rPr>
      </w:pPr>
      <w:r w:rsidRPr="007A71B0">
        <w:rPr>
          <w:rFonts w:cs="Arial"/>
        </w:rPr>
        <w:t>En lo que toca a Bienes Muebles, Inmuebles e Intangibles se presupuestaron para el Ejercicio Fiscal 202</w:t>
      </w:r>
      <w:r w:rsidR="0077603D" w:rsidRPr="007A71B0">
        <w:rPr>
          <w:rFonts w:cs="Arial"/>
        </w:rPr>
        <w:t>4</w:t>
      </w:r>
      <w:r w:rsidRPr="007A71B0">
        <w:rPr>
          <w:rFonts w:cs="Arial"/>
        </w:rPr>
        <w:t xml:space="preserve">, la cantidad de </w:t>
      </w:r>
      <w:r w:rsidR="004E1975" w:rsidRPr="007A71B0">
        <w:rPr>
          <w:rFonts w:cs="Arial"/>
        </w:rPr>
        <w:t>7,461,932</w:t>
      </w:r>
      <w:r w:rsidR="007A71B0">
        <w:rPr>
          <w:rFonts w:cs="Arial"/>
        </w:rPr>
        <w:t xml:space="preserve"> </w:t>
      </w:r>
      <w:r w:rsidRPr="007A71B0">
        <w:rPr>
          <w:rFonts w:cs="Arial"/>
        </w:rPr>
        <w:t xml:space="preserve">pesos, de los cuales, se han ejercido </w:t>
      </w:r>
      <w:r w:rsidR="004E1975" w:rsidRPr="007A71B0">
        <w:rPr>
          <w:rFonts w:cs="Arial"/>
        </w:rPr>
        <w:lastRenderedPageBreak/>
        <w:t>46,631,6</w:t>
      </w:r>
      <w:r w:rsidR="006A5945">
        <w:rPr>
          <w:rFonts w:cs="Arial"/>
        </w:rPr>
        <w:t>11</w:t>
      </w:r>
      <w:r w:rsidR="004E1975" w:rsidRPr="007A71B0">
        <w:rPr>
          <w:rFonts w:cs="Arial"/>
        </w:rPr>
        <w:t xml:space="preserve"> </w:t>
      </w:r>
      <w:r w:rsidRPr="007A71B0">
        <w:rPr>
          <w:rFonts w:cs="Arial"/>
        </w:rPr>
        <w:t xml:space="preserve">pesos, lo que representa un </w:t>
      </w:r>
      <w:proofErr w:type="spellStart"/>
      <w:r w:rsidR="006A5945">
        <w:rPr>
          <w:rFonts w:cs="Arial"/>
        </w:rPr>
        <w:t>sobre</w:t>
      </w:r>
      <w:r w:rsidRPr="007A71B0">
        <w:rPr>
          <w:rFonts w:cs="Arial"/>
        </w:rPr>
        <w:t>ejercicio</w:t>
      </w:r>
      <w:proofErr w:type="spellEnd"/>
      <w:r w:rsidRPr="007A71B0">
        <w:rPr>
          <w:rFonts w:cs="Arial"/>
        </w:rPr>
        <w:t xml:space="preserve"> del gasto de</w:t>
      </w:r>
      <w:r w:rsidR="006A5945">
        <w:rPr>
          <w:rFonts w:cs="Arial"/>
        </w:rPr>
        <w:t xml:space="preserve"> </w:t>
      </w:r>
      <w:r w:rsidR="002864C9">
        <w:rPr>
          <w:rFonts w:cs="Arial"/>
        </w:rPr>
        <w:t>39.2 millones de pesos</w:t>
      </w:r>
      <w:r w:rsidR="00D31830" w:rsidRPr="007A71B0">
        <w:rPr>
          <w:rFonts w:cs="Arial"/>
        </w:rPr>
        <w:t>.</w:t>
      </w:r>
      <w:r w:rsidRPr="007A71B0">
        <w:rPr>
          <w:rFonts w:cs="Arial"/>
        </w:rPr>
        <w:t xml:space="preserve"> </w:t>
      </w:r>
      <w:r w:rsidR="00D31830" w:rsidRPr="007A71B0">
        <w:rPr>
          <w:rFonts w:cs="Arial"/>
        </w:rPr>
        <w:t>E</w:t>
      </w:r>
      <w:r w:rsidRPr="007A71B0">
        <w:rPr>
          <w:rFonts w:cs="Arial"/>
        </w:rPr>
        <w:t xml:space="preserve">n este capítulo, </w:t>
      </w:r>
      <w:r w:rsidR="007A71B0" w:rsidRPr="007A71B0">
        <w:rPr>
          <w:rFonts w:cs="Arial"/>
        </w:rPr>
        <w:t>destaca la adquisición de vehículos y equipo de transporte, así como equipo médico y de laboratorio</w:t>
      </w:r>
      <w:r w:rsidR="002864C9">
        <w:rPr>
          <w:rFonts w:cs="Arial"/>
        </w:rPr>
        <w:t>, mismos que se adquirieron con con</w:t>
      </w:r>
      <w:r w:rsidR="001F6D7C">
        <w:rPr>
          <w:rFonts w:cs="Arial"/>
        </w:rPr>
        <w:t>trapartes estatales del Fondo</w:t>
      </w:r>
      <w:r w:rsidR="002864C9">
        <w:rPr>
          <w:rFonts w:cs="Arial"/>
        </w:rPr>
        <w:t xml:space="preserve"> para el Fortalecimiento de las Instituciones de Seguridad Pública, Fondo de Aportaciones para la Seguridad Pública, Fondo para el Apoyo de Búsqueda de Personas y Recursos Estatales.</w:t>
      </w:r>
    </w:p>
    <w:p w14:paraId="014805B8" w14:textId="77777777" w:rsidR="007A71B0" w:rsidRPr="000F1B6B" w:rsidRDefault="007A71B0" w:rsidP="003D40E2">
      <w:pPr>
        <w:rPr>
          <w:rFonts w:cs="Arial"/>
          <w:highlight w:val="yellow"/>
        </w:rPr>
      </w:pPr>
    </w:p>
    <w:p w14:paraId="169569A0" w14:textId="08542835" w:rsidR="003D40E2" w:rsidRPr="007A71B0" w:rsidRDefault="003D40E2" w:rsidP="003D40E2">
      <w:pPr>
        <w:rPr>
          <w:rFonts w:cs="Arial"/>
        </w:rPr>
      </w:pPr>
      <w:r w:rsidRPr="007A71B0">
        <w:rPr>
          <w:rFonts w:cs="Arial"/>
        </w:rPr>
        <w:t xml:space="preserve">Por concepto de Inversión Pública se aprobaron recursos por </w:t>
      </w:r>
      <w:r w:rsidR="007A71B0" w:rsidRPr="007A71B0">
        <w:rPr>
          <w:rFonts w:cs="Arial"/>
        </w:rPr>
        <w:t xml:space="preserve">164,722,401 </w:t>
      </w:r>
      <w:r w:rsidRPr="007A71B0">
        <w:rPr>
          <w:rFonts w:cs="Arial"/>
        </w:rPr>
        <w:t>pesos, al corte del tercer trimestre de 202</w:t>
      </w:r>
      <w:r w:rsidR="0077603D" w:rsidRPr="007A71B0">
        <w:rPr>
          <w:rFonts w:cs="Arial"/>
        </w:rPr>
        <w:t>4</w:t>
      </w:r>
      <w:r w:rsidRPr="007A71B0">
        <w:rPr>
          <w:rFonts w:cs="Arial"/>
        </w:rPr>
        <w:t xml:space="preserve"> se han ejercido </w:t>
      </w:r>
      <w:r w:rsidR="007A71B0" w:rsidRPr="007A71B0">
        <w:rPr>
          <w:rFonts w:cs="Arial"/>
        </w:rPr>
        <w:t xml:space="preserve">136,273,462 </w:t>
      </w:r>
      <w:r w:rsidRPr="007A71B0">
        <w:rPr>
          <w:rFonts w:cs="Arial"/>
        </w:rPr>
        <w:t>pesos, destacan las obras</w:t>
      </w:r>
      <w:r w:rsidR="00EF32F8">
        <w:rPr>
          <w:rFonts w:cs="Arial"/>
        </w:rPr>
        <w:t>:</w:t>
      </w:r>
      <w:r w:rsidRPr="007A71B0">
        <w:rPr>
          <w:rFonts w:cs="Arial"/>
        </w:rPr>
        <w:t xml:space="preserve"> </w:t>
      </w:r>
      <w:r w:rsidR="00EF32F8" w:rsidRPr="00EF32F8">
        <w:rPr>
          <w:rFonts w:cs="Arial"/>
        </w:rPr>
        <w:t>rehabilitación de</w:t>
      </w:r>
      <w:r w:rsidR="001F6D7C">
        <w:rPr>
          <w:rFonts w:cs="Arial"/>
        </w:rPr>
        <w:t>l</w:t>
      </w:r>
      <w:r w:rsidR="00EF32F8" w:rsidRPr="00EF32F8">
        <w:rPr>
          <w:rFonts w:cs="Arial"/>
        </w:rPr>
        <w:t xml:space="preserve"> Parque Público La Campana</w:t>
      </w:r>
      <w:r w:rsidR="00EF32F8">
        <w:rPr>
          <w:rFonts w:cs="Arial"/>
        </w:rPr>
        <w:t xml:space="preserve"> y la </w:t>
      </w:r>
      <w:r w:rsidR="00EF32F8" w:rsidRPr="00EF32F8">
        <w:rPr>
          <w:rFonts w:cs="Arial"/>
        </w:rPr>
        <w:t>ampliación de drenaje pluvial en intersección Libramiento Gobernadora Griselda Álvarez y carretera a Comala</w:t>
      </w:r>
      <w:r w:rsidR="00EF32F8">
        <w:rPr>
          <w:rFonts w:cs="Arial"/>
        </w:rPr>
        <w:t>.</w:t>
      </w:r>
      <w:r w:rsidR="00EF32F8" w:rsidRPr="007A71B0">
        <w:rPr>
          <w:rFonts w:cs="Arial"/>
        </w:rPr>
        <w:t xml:space="preserve"> </w:t>
      </w:r>
    </w:p>
    <w:p w14:paraId="7D01E7A7" w14:textId="77777777" w:rsidR="003D40E2" w:rsidRPr="000F1B6B" w:rsidRDefault="003D40E2" w:rsidP="003D40E2">
      <w:pPr>
        <w:rPr>
          <w:rFonts w:cs="Arial"/>
          <w:highlight w:val="yellow"/>
        </w:rPr>
      </w:pPr>
    </w:p>
    <w:p w14:paraId="4D20EB47" w14:textId="2BA11583" w:rsidR="003D40E2" w:rsidRPr="001F68B8" w:rsidRDefault="003D40E2" w:rsidP="003D40E2">
      <w:pPr>
        <w:rPr>
          <w:rFonts w:cs="Arial"/>
        </w:rPr>
      </w:pPr>
      <w:r w:rsidRPr="001F68B8">
        <w:rPr>
          <w:rFonts w:cs="Arial"/>
        </w:rPr>
        <w:t>Al tercer trimestre del Ejercicio Fiscal 202</w:t>
      </w:r>
      <w:r w:rsidR="0077603D" w:rsidRPr="001F68B8">
        <w:rPr>
          <w:rFonts w:cs="Arial"/>
        </w:rPr>
        <w:t>4</w:t>
      </w:r>
      <w:r w:rsidRPr="001F68B8">
        <w:rPr>
          <w:rFonts w:cs="Arial"/>
        </w:rPr>
        <w:t xml:space="preserve">, los municipios de nuestro estado han recibido </w:t>
      </w:r>
      <w:r w:rsidR="00EF32F8" w:rsidRPr="001F68B8">
        <w:rPr>
          <w:rFonts w:cs="Arial"/>
        </w:rPr>
        <w:t>2,409,955,854</w:t>
      </w:r>
      <w:r w:rsidRPr="001F68B8">
        <w:rPr>
          <w:rFonts w:cs="Arial"/>
        </w:rPr>
        <w:t xml:space="preserve"> pesos, en su mayoría de recursos provenientes de Participaciones Federales y del Fondo de Aportaciones para el Fortalecimiento de los Municipios y las Demarcaciones Territoriales del Distrito Federal. </w:t>
      </w:r>
    </w:p>
    <w:p w14:paraId="02EED525" w14:textId="77777777" w:rsidR="003D40E2" w:rsidRPr="000F1B6B" w:rsidRDefault="003D40E2" w:rsidP="003D40E2">
      <w:pPr>
        <w:rPr>
          <w:rFonts w:cs="Arial"/>
          <w:highlight w:val="yellow"/>
        </w:rPr>
      </w:pPr>
    </w:p>
    <w:p w14:paraId="1F739175" w14:textId="17A1F03E" w:rsidR="003D40E2" w:rsidRPr="001F68B8" w:rsidRDefault="003D40E2" w:rsidP="0044507C">
      <w:pPr>
        <w:rPr>
          <w:rFonts w:cs="Arial"/>
        </w:rPr>
      </w:pPr>
      <w:r w:rsidRPr="001F68B8">
        <w:rPr>
          <w:rFonts w:cs="Arial"/>
        </w:rPr>
        <w:t>En lo que respecta, al pago de Deuda Pública,</w:t>
      </w:r>
      <w:r w:rsidR="00CF25E7">
        <w:rPr>
          <w:rFonts w:cs="Arial"/>
        </w:rPr>
        <w:t xml:space="preserve"> i</w:t>
      </w:r>
      <w:r w:rsidR="0044507C" w:rsidRPr="0044507C">
        <w:rPr>
          <w:rFonts w:cs="Arial"/>
        </w:rPr>
        <w:t>ncluyendo los prepagos anticipados de capital originados por el refinanciamiento de la deuda en junio de 2024, el monto total</w:t>
      </w:r>
      <w:r w:rsidR="0044507C">
        <w:rPr>
          <w:rFonts w:cs="Arial"/>
        </w:rPr>
        <w:t xml:space="preserve"> </w:t>
      </w:r>
      <w:r w:rsidR="0044507C" w:rsidRPr="0044507C">
        <w:rPr>
          <w:rFonts w:cs="Arial"/>
        </w:rPr>
        <w:t xml:space="preserve">pagado de capital al </w:t>
      </w:r>
      <w:r w:rsidR="00CF25E7">
        <w:rPr>
          <w:rFonts w:cs="Arial"/>
        </w:rPr>
        <w:t>tercer</w:t>
      </w:r>
      <w:r w:rsidR="0044507C" w:rsidRPr="0044507C">
        <w:rPr>
          <w:rFonts w:cs="Arial"/>
        </w:rPr>
        <w:t xml:space="preserve"> trimestre</w:t>
      </w:r>
      <w:r w:rsidR="00CF25E7">
        <w:rPr>
          <w:rFonts w:cs="Arial"/>
        </w:rPr>
        <w:t xml:space="preserve"> </w:t>
      </w:r>
      <w:r w:rsidR="0044507C" w:rsidRPr="0044507C">
        <w:rPr>
          <w:rFonts w:cs="Arial"/>
        </w:rPr>
        <w:t xml:space="preserve">fue de </w:t>
      </w:r>
      <w:r w:rsidR="00CF25E7" w:rsidRPr="001F68B8">
        <w:rPr>
          <w:rFonts w:cs="Arial"/>
        </w:rPr>
        <w:t>3,</w:t>
      </w:r>
      <w:r w:rsidR="001F6D7C">
        <w:rPr>
          <w:rFonts w:cs="Arial"/>
        </w:rPr>
        <w:t>335,692,868.9</w:t>
      </w:r>
      <w:r w:rsidR="00CF25E7" w:rsidRPr="001F68B8">
        <w:rPr>
          <w:rFonts w:cs="Arial"/>
        </w:rPr>
        <w:t xml:space="preserve"> </w:t>
      </w:r>
      <w:r w:rsidR="0044507C">
        <w:rPr>
          <w:rFonts w:cs="Arial"/>
        </w:rPr>
        <w:t>pesos</w:t>
      </w:r>
      <w:r w:rsidR="0044507C" w:rsidRPr="0044507C">
        <w:rPr>
          <w:rFonts w:cs="Arial"/>
        </w:rPr>
        <w:t>, de los cuales, 2,781,220,489</w:t>
      </w:r>
      <w:r w:rsidR="0044507C">
        <w:rPr>
          <w:rFonts w:cs="Arial"/>
        </w:rPr>
        <w:t xml:space="preserve"> </w:t>
      </w:r>
      <w:r w:rsidR="001E6DAA">
        <w:rPr>
          <w:rFonts w:cs="Arial"/>
        </w:rPr>
        <w:t xml:space="preserve">pesos </w:t>
      </w:r>
      <w:r w:rsidR="00CF25E7">
        <w:rPr>
          <w:rFonts w:cs="Arial"/>
        </w:rPr>
        <w:t xml:space="preserve">corresponden </w:t>
      </w:r>
      <w:r w:rsidR="001F6D7C">
        <w:rPr>
          <w:rFonts w:cs="Arial"/>
        </w:rPr>
        <w:t xml:space="preserve">a </w:t>
      </w:r>
      <w:r w:rsidR="00CF25E7" w:rsidRPr="0044507C">
        <w:rPr>
          <w:rFonts w:cs="Arial"/>
        </w:rPr>
        <w:t>las amortizaciones totales anticipadas de capital de</w:t>
      </w:r>
      <w:r w:rsidR="00CF25E7">
        <w:rPr>
          <w:rFonts w:cs="Arial"/>
        </w:rPr>
        <w:t xml:space="preserve"> </w:t>
      </w:r>
      <w:r w:rsidR="00CF25E7" w:rsidRPr="0044507C">
        <w:rPr>
          <w:rFonts w:cs="Arial"/>
        </w:rPr>
        <w:t>ocho créditos pagados con recursos de financiamiento, el día 6 de junio del año en curso, mediante una operación de</w:t>
      </w:r>
      <w:r w:rsidR="00CF25E7">
        <w:rPr>
          <w:rFonts w:cs="Arial"/>
        </w:rPr>
        <w:t xml:space="preserve"> </w:t>
      </w:r>
      <w:r w:rsidR="00CF25E7" w:rsidRPr="0044507C">
        <w:rPr>
          <w:rFonts w:cs="Arial"/>
        </w:rPr>
        <w:t>refinanciamiento con autorización de la legislatura local</w:t>
      </w:r>
      <w:r w:rsidR="001E6DAA">
        <w:rPr>
          <w:rFonts w:cs="Arial"/>
        </w:rPr>
        <w:t>.</w:t>
      </w:r>
    </w:p>
    <w:p w14:paraId="1DD147F7" w14:textId="77777777" w:rsidR="00D31830" w:rsidRPr="000F1B6B" w:rsidRDefault="00D31830" w:rsidP="003D40E2">
      <w:pPr>
        <w:rPr>
          <w:rFonts w:cs="Arial"/>
          <w:highlight w:val="yellow"/>
        </w:rPr>
      </w:pPr>
    </w:p>
    <w:p w14:paraId="56EE5DCF" w14:textId="6F9665D5" w:rsidR="003D40E2" w:rsidRPr="004F56C1" w:rsidRDefault="003D40E2" w:rsidP="003D40E2">
      <w:pPr>
        <w:rPr>
          <w:rFonts w:cs="Arial"/>
        </w:rPr>
      </w:pPr>
      <w:r w:rsidRPr="001F68B8">
        <w:rPr>
          <w:rFonts w:cs="Arial"/>
        </w:rPr>
        <w:t>Gráficamente se puede observar el comportamiento del e</w:t>
      </w:r>
      <w:r w:rsidRPr="004F56C1">
        <w:rPr>
          <w:rFonts w:cs="Arial"/>
        </w:rPr>
        <w:t xml:space="preserve">greso al cierre del tercer trimestre </w:t>
      </w:r>
      <w:r w:rsidR="004F56C1" w:rsidRPr="004F56C1">
        <w:rPr>
          <w:rFonts w:cs="Arial"/>
        </w:rPr>
        <w:t xml:space="preserve">del ejercicio fiscal 2024 </w:t>
      </w:r>
      <w:r w:rsidRPr="004F56C1">
        <w:rPr>
          <w:rFonts w:cs="Arial"/>
        </w:rPr>
        <w:t>por capítulo de gasto</w:t>
      </w:r>
      <w:r w:rsidR="00D31830" w:rsidRPr="004F56C1">
        <w:rPr>
          <w:rFonts w:cs="Arial"/>
        </w:rPr>
        <w:t xml:space="preserve"> de la siguiente manera:</w:t>
      </w:r>
    </w:p>
    <w:p w14:paraId="1191A951" w14:textId="77777777" w:rsidR="003D40E2" w:rsidRPr="004F56C1" w:rsidRDefault="003D40E2" w:rsidP="003D40E2">
      <w:pPr>
        <w:rPr>
          <w:rFonts w:cs="Arial"/>
        </w:rPr>
      </w:pPr>
    </w:p>
    <w:p w14:paraId="1C19371C" w14:textId="2391D3C3" w:rsidR="003D40E2" w:rsidRPr="004F56C1" w:rsidRDefault="00A95727" w:rsidP="003D40E2">
      <w:pPr>
        <w:jc w:val="center"/>
        <w:rPr>
          <w:rFonts w:cs="Arial"/>
        </w:rPr>
      </w:pPr>
      <w:r>
        <w:rPr>
          <w:rFonts w:cs="Arial"/>
          <w:noProof/>
        </w:rPr>
        <w:drawing>
          <wp:inline distT="0" distB="0" distL="0" distR="0" wp14:anchorId="00E63897" wp14:editId="411E5257">
            <wp:extent cx="4710545" cy="215748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20927" cy="2162244"/>
                    </a:xfrm>
                    <a:prstGeom prst="rect">
                      <a:avLst/>
                    </a:prstGeom>
                    <a:noFill/>
                  </pic:spPr>
                </pic:pic>
              </a:graphicData>
            </a:graphic>
          </wp:inline>
        </w:drawing>
      </w:r>
    </w:p>
    <w:p w14:paraId="0E63E6DF" w14:textId="77777777" w:rsidR="003D40E2" w:rsidRPr="004F56C1" w:rsidRDefault="003D40E2" w:rsidP="003D40E2">
      <w:pPr>
        <w:ind w:left="426" w:right="474"/>
        <w:rPr>
          <w:rFonts w:cs="Arial"/>
          <w:sz w:val="14"/>
          <w:szCs w:val="14"/>
        </w:rPr>
      </w:pPr>
      <w:r w:rsidRPr="004F56C1">
        <w:rPr>
          <w:rFonts w:cs="Arial"/>
          <w:b/>
          <w:bCs/>
          <w:sz w:val="14"/>
          <w:szCs w:val="14"/>
        </w:rPr>
        <w:t>Fuente</w:t>
      </w:r>
      <w:r w:rsidRPr="004F56C1">
        <w:rPr>
          <w:rFonts w:cs="Arial"/>
          <w:sz w:val="14"/>
          <w:szCs w:val="14"/>
        </w:rPr>
        <w:t xml:space="preserve">: Elaboración propia con información de la Cuenta Pública Trimestral del Gobierno del Estado del Colima al Tercer Trimestre del Ejercicio Fiscal 2023 </w:t>
      </w:r>
      <w:hyperlink r:id="rId21" w:history="1">
        <w:r w:rsidRPr="004F56C1">
          <w:rPr>
            <w:rStyle w:val="Hipervnculo"/>
            <w:rFonts w:cs="Arial"/>
            <w:sz w:val="14"/>
            <w:szCs w:val="14"/>
          </w:rPr>
          <w:t>https://www.col.gob.mx/armonizacionv3/index.php/detalle/contenido/NDY0Ng==</w:t>
        </w:r>
      </w:hyperlink>
    </w:p>
    <w:p w14:paraId="79C8D222" w14:textId="77777777" w:rsidR="003D40E2" w:rsidRPr="000F1B6B" w:rsidRDefault="003D40E2" w:rsidP="003D40E2">
      <w:pPr>
        <w:rPr>
          <w:rFonts w:cs="Arial"/>
          <w:highlight w:val="yellow"/>
        </w:rPr>
      </w:pPr>
    </w:p>
    <w:p w14:paraId="28324FAC" w14:textId="7A3D2BC6" w:rsidR="003D40E2" w:rsidRPr="000F1B6B" w:rsidRDefault="003D40E2" w:rsidP="003D40E2">
      <w:pPr>
        <w:rPr>
          <w:rFonts w:cs="Arial"/>
          <w:highlight w:val="yellow"/>
        </w:rPr>
      </w:pPr>
      <w:r w:rsidRPr="00E34DD3">
        <w:rPr>
          <w:rFonts w:cs="Arial"/>
        </w:rPr>
        <w:lastRenderedPageBreak/>
        <w:t>El estado de situación financiera detallado con corte al 30 de septiembre de 202</w:t>
      </w:r>
      <w:r w:rsidR="0077603D" w:rsidRPr="00E34DD3">
        <w:rPr>
          <w:rFonts w:cs="Arial"/>
        </w:rPr>
        <w:t>4</w:t>
      </w:r>
      <w:r w:rsidRPr="00E34DD3">
        <w:rPr>
          <w:rFonts w:cs="Arial"/>
        </w:rPr>
        <w:t xml:space="preserve"> muestra pasivos por pagar a corto plazo por un monto de </w:t>
      </w:r>
      <w:r w:rsidR="00E34DD3" w:rsidRPr="00E34DD3">
        <w:rPr>
          <w:rFonts w:cs="Arial"/>
        </w:rPr>
        <w:t>1,614,130,024</w:t>
      </w:r>
      <w:r w:rsidR="001F6D7C">
        <w:rPr>
          <w:rFonts w:cs="Arial"/>
        </w:rPr>
        <w:t xml:space="preserve"> pesos.</w:t>
      </w:r>
      <w:r w:rsidRPr="00E34DD3">
        <w:rPr>
          <w:rFonts w:cs="Arial"/>
        </w:rPr>
        <w:t xml:space="preserve"> El pasivo no circulante asciende a </w:t>
      </w:r>
      <w:r w:rsidR="00E34DD3" w:rsidRPr="00E34DD3">
        <w:rPr>
          <w:rFonts w:cs="Arial"/>
        </w:rPr>
        <w:t xml:space="preserve">5,287,008,448 </w:t>
      </w:r>
      <w:r w:rsidRPr="00E34DD3">
        <w:rPr>
          <w:rFonts w:cs="Arial"/>
        </w:rPr>
        <w:t xml:space="preserve">pesos que se componen principalmente por deuda pública a largo plazo heredada. </w:t>
      </w:r>
    </w:p>
    <w:p w14:paraId="2D2753ED" w14:textId="77777777" w:rsidR="003D40E2" w:rsidRPr="000F1B6B" w:rsidRDefault="003D40E2" w:rsidP="003D40E2">
      <w:pPr>
        <w:rPr>
          <w:rFonts w:cs="Arial"/>
          <w:highlight w:val="yellow"/>
        </w:rPr>
      </w:pPr>
    </w:p>
    <w:p w14:paraId="58CB67CA" w14:textId="6952AB8C" w:rsidR="003D40E2" w:rsidRPr="0077603D" w:rsidRDefault="003D40E2" w:rsidP="003D40E2">
      <w:pPr>
        <w:rPr>
          <w:rFonts w:cs="Arial"/>
        </w:rPr>
      </w:pPr>
      <w:r w:rsidRPr="0077603D">
        <w:rPr>
          <w:rFonts w:cs="Arial"/>
        </w:rPr>
        <w:t>Es por lo anteriormente señalado que en el Proyecto de Presupuesto de Egresos del Estado de Colima para el Ejercicio Fiscal 202</w:t>
      </w:r>
      <w:r w:rsidR="0077603D" w:rsidRPr="0077603D">
        <w:rPr>
          <w:rFonts w:cs="Arial"/>
        </w:rPr>
        <w:t>5</w:t>
      </w:r>
      <w:r w:rsidRPr="0077603D">
        <w:rPr>
          <w:rFonts w:cs="Arial"/>
        </w:rPr>
        <w:t>, considera</w:t>
      </w:r>
      <w:r w:rsidR="00CB3B87">
        <w:rPr>
          <w:rFonts w:cs="Arial"/>
        </w:rPr>
        <w:t xml:space="preserve"> para </w:t>
      </w:r>
      <w:r w:rsidRPr="0077603D">
        <w:rPr>
          <w:rFonts w:cs="Arial"/>
        </w:rPr>
        <w:t xml:space="preserve">su operatividad el mínimo indispensable para el funcionamiento adecuado de las Dependencias Centralizadas y la Administración Pública Paraestatal eliminando </w:t>
      </w:r>
      <w:r w:rsidR="00FD01A3">
        <w:rPr>
          <w:rFonts w:cs="Arial"/>
        </w:rPr>
        <w:t xml:space="preserve">como ya se ha demostrado, </w:t>
      </w:r>
      <w:r w:rsidRPr="0077603D">
        <w:rPr>
          <w:rFonts w:cs="Arial"/>
        </w:rPr>
        <w:t xml:space="preserve">los gastos </w:t>
      </w:r>
      <w:r w:rsidR="00FD01A3">
        <w:rPr>
          <w:rFonts w:cs="Arial"/>
        </w:rPr>
        <w:t xml:space="preserve">innecesarios y centrando los recursos de los colimenses en lo que realmente importa, como es salud, educación y seguridad pública. </w:t>
      </w:r>
    </w:p>
    <w:p w14:paraId="0E598F2C" w14:textId="77777777" w:rsidR="003D40E2" w:rsidRPr="0077603D" w:rsidRDefault="003D40E2" w:rsidP="003D40E2">
      <w:pPr>
        <w:rPr>
          <w:rFonts w:cs="Arial"/>
        </w:rPr>
      </w:pPr>
    </w:p>
    <w:p w14:paraId="1CD635D9" w14:textId="0FF7A209" w:rsidR="003D40E2" w:rsidRPr="0077603D" w:rsidRDefault="003D40E2" w:rsidP="003D40E2">
      <w:pPr>
        <w:rPr>
          <w:rFonts w:cs="Arial"/>
        </w:rPr>
      </w:pPr>
      <w:r w:rsidRPr="004858FE">
        <w:rPr>
          <w:rFonts w:cs="Arial"/>
        </w:rPr>
        <w:t>El control del crecimiento del capítulo correspondiente a Servicios Personales que se inició durante la presente Administración Estatal se mantiene para el Ejercicio Fiscal 202</w:t>
      </w:r>
      <w:r w:rsidR="0077603D" w:rsidRPr="004858FE">
        <w:rPr>
          <w:rFonts w:cs="Arial"/>
        </w:rPr>
        <w:t>5</w:t>
      </w:r>
      <w:r w:rsidRPr="004858FE">
        <w:rPr>
          <w:rFonts w:cs="Arial"/>
        </w:rPr>
        <w:t>, este capítulo incrementa en cerca de</w:t>
      </w:r>
      <w:r w:rsidR="00D2563D" w:rsidRPr="004858FE">
        <w:rPr>
          <w:rFonts w:cs="Arial"/>
        </w:rPr>
        <w:t xml:space="preserve"> </w:t>
      </w:r>
      <w:r w:rsidR="00D24D39" w:rsidRPr="004858FE">
        <w:rPr>
          <w:rFonts w:cs="Arial"/>
        </w:rPr>
        <w:t>7.6</w:t>
      </w:r>
      <w:r w:rsidRPr="004858FE">
        <w:rPr>
          <w:rFonts w:cs="Arial"/>
          <w:color w:val="FF0000"/>
        </w:rPr>
        <w:t xml:space="preserve"> </w:t>
      </w:r>
      <w:r w:rsidRPr="004858FE">
        <w:rPr>
          <w:rFonts w:cs="Arial"/>
        </w:rPr>
        <w:t>puntos porcentuales de acuerdo al límite que señala la Ley de Disciplina Financiera</w:t>
      </w:r>
      <w:r w:rsidR="00275FB7" w:rsidRPr="004858FE">
        <w:rPr>
          <w:rFonts w:cs="Arial"/>
        </w:rPr>
        <w:t xml:space="preserve"> de las Entidades Federativas y los Municipios</w:t>
      </w:r>
      <w:r w:rsidRPr="004858FE">
        <w:rPr>
          <w:rFonts w:cs="Arial"/>
        </w:rPr>
        <w:t>.</w:t>
      </w:r>
    </w:p>
    <w:p w14:paraId="60DC7569" w14:textId="77777777" w:rsidR="003D40E2" w:rsidRPr="000F1B6B" w:rsidRDefault="003D40E2" w:rsidP="003D40E2">
      <w:pPr>
        <w:rPr>
          <w:rFonts w:cs="Arial"/>
          <w:highlight w:val="yellow"/>
        </w:rPr>
      </w:pPr>
    </w:p>
    <w:p w14:paraId="0491241A" w14:textId="542937C0" w:rsidR="003D40E2" w:rsidRPr="004858FE" w:rsidRDefault="003D40E2" w:rsidP="003D40E2">
      <w:pPr>
        <w:rPr>
          <w:rFonts w:cs="Arial"/>
        </w:rPr>
      </w:pPr>
      <w:r w:rsidRPr="004858FE">
        <w:rPr>
          <w:rFonts w:cs="Arial"/>
        </w:rPr>
        <w:t xml:space="preserve">Materiales y Suministros se propone crezca </w:t>
      </w:r>
      <w:r w:rsidR="00D2563D" w:rsidRPr="004858FE">
        <w:rPr>
          <w:rFonts w:cs="Arial"/>
        </w:rPr>
        <w:t>12.6</w:t>
      </w:r>
      <w:r w:rsidRPr="004858FE">
        <w:rPr>
          <w:rFonts w:cs="Arial"/>
        </w:rPr>
        <w:t xml:space="preserve"> por ciento respecto a lo aprobado para el Ejercicio Fiscal 202</w:t>
      </w:r>
      <w:r w:rsidR="0077603D" w:rsidRPr="004858FE">
        <w:rPr>
          <w:rFonts w:cs="Arial"/>
        </w:rPr>
        <w:t>4</w:t>
      </w:r>
      <w:r w:rsidRPr="004858FE">
        <w:rPr>
          <w:rFonts w:cs="Arial"/>
        </w:rPr>
        <w:t xml:space="preserve">, un monto aproximado de </w:t>
      </w:r>
      <w:r w:rsidR="00D2563D" w:rsidRPr="004858FE">
        <w:rPr>
          <w:rFonts w:cs="Arial"/>
        </w:rPr>
        <w:t>33.2</w:t>
      </w:r>
      <w:r w:rsidRPr="004858FE">
        <w:rPr>
          <w:rFonts w:cs="Arial"/>
        </w:rPr>
        <w:t xml:space="preserve"> mil</w:t>
      </w:r>
      <w:r w:rsidR="00D2563D" w:rsidRPr="004858FE">
        <w:rPr>
          <w:rFonts w:cs="Arial"/>
        </w:rPr>
        <w:t>lones de</w:t>
      </w:r>
      <w:r w:rsidRPr="004858FE">
        <w:rPr>
          <w:rFonts w:cs="Arial"/>
        </w:rPr>
        <w:t xml:space="preserve"> pesos. Los rubros específicos de gasto más relevantes son:</w:t>
      </w:r>
      <w:r w:rsidR="007D1B36" w:rsidRPr="004858FE">
        <w:rPr>
          <w:rFonts w:cs="Arial"/>
        </w:rPr>
        <w:t xml:space="preserve"> </w:t>
      </w:r>
      <w:r w:rsidRPr="004858FE">
        <w:rPr>
          <w:rFonts w:cs="Arial"/>
        </w:rPr>
        <w:t>Alimentos de Reclusos con una asignación de 4</w:t>
      </w:r>
      <w:r w:rsidR="008D72C8" w:rsidRPr="004858FE">
        <w:rPr>
          <w:rFonts w:cs="Arial"/>
        </w:rPr>
        <w:t>9</w:t>
      </w:r>
      <w:r w:rsidRPr="004858FE">
        <w:rPr>
          <w:rFonts w:cs="Arial"/>
        </w:rPr>
        <w:t xml:space="preserve"> millones de pesos, Combustibles, lubricantes y aditivos con </w:t>
      </w:r>
      <w:r w:rsidR="008D72C8" w:rsidRPr="004858FE">
        <w:rPr>
          <w:rFonts w:cs="Arial"/>
        </w:rPr>
        <w:t>64.2</w:t>
      </w:r>
      <w:r w:rsidRPr="004858FE">
        <w:rPr>
          <w:rFonts w:cs="Arial"/>
        </w:rPr>
        <w:t xml:space="preserve"> millones de pesos, Vestuarios y Uniformes con </w:t>
      </w:r>
      <w:r w:rsidR="008D72C8" w:rsidRPr="004858FE">
        <w:rPr>
          <w:rFonts w:cs="Arial"/>
        </w:rPr>
        <w:t>41.4</w:t>
      </w:r>
      <w:r w:rsidRPr="004858FE">
        <w:rPr>
          <w:rFonts w:cs="Arial"/>
        </w:rPr>
        <w:t xml:space="preserve"> millones de pesos</w:t>
      </w:r>
      <w:r w:rsidR="004858FE" w:rsidRPr="004858FE">
        <w:rPr>
          <w:rFonts w:cs="Arial"/>
        </w:rPr>
        <w:t>, Valores en Transito (Placas, Hologramas y Licencias) 22.5 millones de pesos</w:t>
      </w:r>
      <w:r w:rsidR="005D5F81">
        <w:rPr>
          <w:rFonts w:cs="Arial"/>
        </w:rPr>
        <w:t>, y M</w:t>
      </w:r>
      <w:r w:rsidR="00FD01A3">
        <w:rPr>
          <w:rFonts w:cs="Arial"/>
        </w:rPr>
        <w:t>edicinas y productos farmacéuticos 19.7 millones</w:t>
      </w:r>
      <w:r w:rsidR="005D5F81">
        <w:rPr>
          <w:rFonts w:cs="Arial"/>
        </w:rPr>
        <w:t xml:space="preserve"> de pesos</w:t>
      </w:r>
      <w:r w:rsidR="00FD01A3">
        <w:rPr>
          <w:rFonts w:cs="Arial"/>
        </w:rPr>
        <w:t>.</w:t>
      </w:r>
    </w:p>
    <w:p w14:paraId="4F229C96" w14:textId="77777777" w:rsidR="003D40E2" w:rsidRPr="000F1B6B" w:rsidRDefault="003D40E2" w:rsidP="003D40E2">
      <w:pPr>
        <w:rPr>
          <w:rFonts w:cs="Arial"/>
          <w:highlight w:val="yellow"/>
        </w:rPr>
      </w:pPr>
    </w:p>
    <w:p w14:paraId="08C13F76" w14:textId="128DD745" w:rsidR="004858FE" w:rsidRPr="008F6695" w:rsidRDefault="004858FE" w:rsidP="003D40E2">
      <w:pPr>
        <w:rPr>
          <w:rFonts w:cs="Arial"/>
        </w:rPr>
      </w:pPr>
      <w:r w:rsidRPr="008F6695">
        <w:rPr>
          <w:rFonts w:cs="Arial"/>
        </w:rPr>
        <w:t xml:space="preserve">El capítulo de gasto </w:t>
      </w:r>
      <w:r w:rsidR="003D40E2" w:rsidRPr="008F6695">
        <w:rPr>
          <w:rFonts w:cs="Arial"/>
        </w:rPr>
        <w:t xml:space="preserve">Servicios Generales, </w:t>
      </w:r>
      <w:r w:rsidRPr="008F6695">
        <w:rPr>
          <w:rFonts w:cs="Arial"/>
        </w:rPr>
        <w:t xml:space="preserve">presenta una disminución del 14.6 por ciento, </w:t>
      </w:r>
      <w:r w:rsidR="00FD01A3">
        <w:rPr>
          <w:rFonts w:cs="Arial"/>
        </w:rPr>
        <w:t>se concluye con</w:t>
      </w:r>
      <w:r w:rsidR="008F6695" w:rsidRPr="008F6695">
        <w:rPr>
          <w:rFonts w:cs="Arial"/>
        </w:rPr>
        <w:t xml:space="preserve"> la vigencia d</w:t>
      </w:r>
      <w:r w:rsidRPr="008F6695">
        <w:rPr>
          <w:rFonts w:cs="Arial"/>
        </w:rPr>
        <w:t>el</w:t>
      </w:r>
      <w:r w:rsidR="008F6695" w:rsidRPr="008F6695">
        <w:rPr>
          <w:rFonts w:cs="Arial"/>
        </w:rPr>
        <w:t xml:space="preserve"> contrato de</w:t>
      </w:r>
      <w:r w:rsidRPr="008F6695">
        <w:rPr>
          <w:rFonts w:cs="Arial"/>
        </w:rPr>
        <w:t xml:space="preserve"> arrendamiento de equipo de transporte</w:t>
      </w:r>
      <w:r w:rsidR="008F6695" w:rsidRPr="008F6695">
        <w:rPr>
          <w:rFonts w:cs="Arial"/>
        </w:rPr>
        <w:t xml:space="preserve">, </w:t>
      </w:r>
      <w:r w:rsidR="00FD01A3">
        <w:rPr>
          <w:rFonts w:cs="Arial"/>
        </w:rPr>
        <w:t>compromiso también heredado</w:t>
      </w:r>
      <w:r w:rsidR="008F6695" w:rsidRPr="008F6695">
        <w:rPr>
          <w:rFonts w:cs="Arial"/>
        </w:rPr>
        <w:t xml:space="preserve"> </w:t>
      </w:r>
      <w:r w:rsidR="00FD01A3">
        <w:rPr>
          <w:rFonts w:cs="Arial"/>
        </w:rPr>
        <w:t>por la a</w:t>
      </w:r>
      <w:r w:rsidR="008F6695" w:rsidRPr="008F6695">
        <w:rPr>
          <w:rFonts w:cs="Arial"/>
        </w:rPr>
        <w:t>dministración estatal anterior</w:t>
      </w:r>
      <w:r w:rsidR="00FD01A3">
        <w:rPr>
          <w:rFonts w:cs="Arial"/>
        </w:rPr>
        <w:t xml:space="preserve"> y que tuvo un costo promedio anual de 116 millones de pesos</w:t>
      </w:r>
      <w:r w:rsidR="008F6695" w:rsidRPr="008F6695">
        <w:rPr>
          <w:rFonts w:cs="Arial"/>
        </w:rPr>
        <w:t>,</w:t>
      </w:r>
      <w:r w:rsidR="00FD01A3">
        <w:rPr>
          <w:rFonts w:cs="Arial"/>
        </w:rPr>
        <w:t xml:space="preserve"> producto de ello los mencionados vehículos que se encontraban en arrendamiento financiero ya forman parte del patrimonio de los colimenses.</w:t>
      </w:r>
    </w:p>
    <w:p w14:paraId="70C24D94" w14:textId="1869CDDB" w:rsidR="008D72C8" w:rsidRPr="008F6695" w:rsidRDefault="008D72C8" w:rsidP="003D40E2">
      <w:pPr>
        <w:rPr>
          <w:rFonts w:cs="Arial"/>
        </w:rPr>
      </w:pPr>
    </w:p>
    <w:p w14:paraId="407AB015" w14:textId="7C692F5A" w:rsidR="003D40E2" w:rsidRPr="008F6695" w:rsidRDefault="003D40E2" w:rsidP="003D40E2">
      <w:pPr>
        <w:rPr>
          <w:rFonts w:cs="Arial"/>
        </w:rPr>
      </w:pPr>
      <w:r w:rsidRPr="008F6695">
        <w:rPr>
          <w:rFonts w:cs="Arial"/>
        </w:rPr>
        <w:t xml:space="preserve">Transferencias, Asignaciones, Subsidios y Otras Ayudas, presenta un incremento de </w:t>
      </w:r>
      <w:r w:rsidR="008F6695" w:rsidRPr="005D5F81">
        <w:rPr>
          <w:rFonts w:cs="Arial"/>
          <w:color w:val="000000" w:themeColor="text1"/>
        </w:rPr>
        <w:t>286.2</w:t>
      </w:r>
      <w:r w:rsidRPr="005D5F81">
        <w:rPr>
          <w:rFonts w:cs="Arial"/>
          <w:color w:val="000000" w:themeColor="text1"/>
        </w:rPr>
        <w:t xml:space="preserve"> </w:t>
      </w:r>
      <w:r w:rsidRPr="008F6695">
        <w:rPr>
          <w:rFonts w:cs="Arial"/>
        </w:rPr>
        <w:t>millones de pesos respecto al Ejercicio Fiscal 202</w:t>
      </w:r>
      <w:r w:rsidR="0077603D" w:rsidRPr="008F6695">
        <w:rPr>
          <w:rFonts w:cs="Arial"/>
        </w:rPr>
        <w:t>4</w:t>
      </w:r>
      <w:r w:rsidRPr="008F6695">
        <w:rPr>
          <w:rFonts w:cs="Arial"/>
        </w:rPr>
        <w:t>, incrementos que se explican principalmente por recursos provenientes de Aportaciones Federales en los fondos como el Fondo de Aportaciones para la Nómina Educativa y Gasto Operativo, el Fondo de Aportaciones Múltiples y el Fondo de Aportaciones para los Servicios de Salud</w:t>
      </w:r>
      <w:r w:rsidR="00FD01A3">
        <w:rPr>
          <w:rFonts w:cs="Arial"/>
        </w:rPr>
        <w:t>, así como las Aportaciones Diferenciadas del Poder Ejecutivo Estatal al Instituto de Pensiones de los Servidores Públicos del Estado de Colima.</w:t>
      </w:r>
    </w:p>
    <w:p w14:paraId="3DC1E8CD" w14:textId="77777777" w:rsidR="003D40E2" w:rsidRPr="000F1B6B" w:rsidRDefault="003D40E2" w:rsidP="003D40E2">
      <w:pPr>
        <w:rPr>
          <w:rFonts w:cs="Arial"/>
          <w:highlight w:val="yellow"/>
        </w:rPr>
      </w:pPr>
    </w:p>
    <w:p w14:paraId="530CCBC6" w14:textId="49F05688" w:rsidR="003D40E2" w:rsidRPr="00A56FC8" w:rsidRDefault="003D40E2" w:rsidP="003D40E2">
      <w:pPr>
        <w:rPr>
          <w:rFonts w:cs="Arial"/>
        </w:rPr>
      </w:pPr>
      <w:r w:rsidRPr="00A56FC8">
        <w:rPr>
          <w:rFonts w:cs="Arial"/>
        </w:rPr>
        <w:lastRenderedPageBreak/>
        <w:t>En este rubro, especial mención merecen los Órganos Públicos Autónomos, los cuales</w:t>
      </w:r>
      <w:r w:rsidR="00FD01A3">
        <w:rPr>
          <w:rFonts w:cs="Arial"/>
        </w:rPr>
        <w:t>, en términos globales,</w:t>
      </w:r>
      <w:r w:rsidRPr="00A56FC8">
        <w:rPr>
          <w:rFonts w:cs="Arial"/>
        </w:rPr>
        <w:t xml:space="preserve"> </w:t>
      </w:r>
      <w:r w:rsidR="005D5F81">
        <w:rPr>
          <w:rFonts w:cs="Arial"/>
        </w:rPr>
        <w:t>incrementan</w:t>
      </w:r>
      <w:r w:rsidRPr="00A56FC8">
        <w:rPr>
          <w:rFonts w:cs="Arial"/>
        </w:rPr>
        <w:t xml:space="preserve"> en sus asignaciones, respecto al Ejercicio Fiscal 202</w:t>
      </w:r>
      <w:r w:rsidR="0077603D" w:rsidRPr="00A56FC8">
        <w:rPr>
          <w:rFonts w:cs="Arial"/>
        </w:rPr>
        <w:t>4</w:t>
      </w:r>
      <w:r w:rsidRPr="00A56FC8">
        <w:rPr>
          <w:rFonts w:cs="Arial"/>
        </w:rPr>
        <w:t xml:space="preserve">, en </w:t>
      </w:r>
      <w:r w:rsidR="005D5F81">
        <w:rPr>
          <w:rFonts w:cs="Arial"/>
        </w:rPr>
        <w:t>2</w:t>
      </w:r>
      <w:r w:rsidR="00A56FC8" w:rsidRPr="00A56FC8">
        <w:rPr>
          <w:rFonts w:cs="Arial"/>
        </w:rPr>
        <w:t>.7</w:t>
      </w:r>
      <w:r w:rsidRPr="00A56FC8">
        <w:rPr>
          <w:rFonts w:cs="Arial"/>
        </w:rPr>
        <w:t xml:space="preserve"> millones de pesos, como a continuación se detalla.</w:t>
      </w:r>
    </w:p>
    <w:p w14:paraId="2CF259D3" w14:textId="5F25965B" w:rsidR="003D40E2" w:rsidRPr="00A56FC8" w:rsidRDefault="003D40E2" w:rsidP="003D40E2">
      <w:pPr>
        <w:rPr>
          <w:rFonts w:cs="Arial"/>
          <w:highlight w:val="yellow"/>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8"/>
        <w:gridCol w:w="3685"/>
        <w:gridCol w:w="1276"/>
        <w:gridCol w:w="1276"/>
        <w:gridCol w:w="992"/>
        <w:gridCol w:w="572"/>
      </w:tblGrid>
      <w:tr w:rsidR="00ED09E4" w:rsidRPr="00702C1C" w14:paraId="20BD6BF6" w14:textId="77777777" w:rsidTr="00702C1C">
        <w:trPr>
          <w:trHeight w:val="423"/>
          <w:tblHeader/>
          <w:jc w:val="center"/>
        </w:trPr>
        <w:tc>
          <w:tcPr>
            <w:tcW w:w="988" w:type="dxa"/>
            <w:shd w:val="clear" w:color="000000" w:fill="F2F2F2"/>
            <w:noWrap/>
            <w:vAlign w:val="center"/>
            <w:hideMark/>
          </w:tcPr>
          <w:p w14:paraId="686CC6E5" w14:textId="77777777" w:rsidR="003D40E2" w:rsidRPr="00702C1C" w:rsidRDefault="003D40E2" w:rsidP="00A04566">
            <w:pPr>
              <w:jc w:val="center"/>
              <w:rPr>
                <w:rFonts w:eastAsia="Times New Roman" w:cs="Arial"/>
                <w:b/>
                <w:bCs/>
                <w:color w:val="000000"/>
                <w:sz w:val="18"/>
                <w:szCs w:val="18"/>
              </w:rPr>
            </w:pPr>
            <w:r w:rsidRPr="00702C1C">
              <w:rPr>
                <w:rFonts w:eastAsia="Times New Roman" w:cs="Arial"/>
                <w:b/>
                <w:bCs/>
                <w:color w:val="000000"/>
                <w:sz w:val="18"/>
                <w:szCs w:val="18"/>
              </w:rPr>
              <w:t>Clave</w:t>
            </w:r>
          </w:p>
        </w:tc>
        <w:tc>
          <w:tcPr>
            <w:tcW w:w="3685" w:type="dxa"/>
            <w:shd w:val="clear" w:color="000000" w:fill="F2F2F2"/>
            <w:vAlign w:val="center"/>
            <w:hideMark/>
          </w:tcPr>
          <w:p w14:paraId="301737D4" w14:textId="77777777" w:rsidR="003D40E2" w:rsidRPr="00702C1C" w:rsidRDefault="003D40E2" w:rsidP="00A04566">
            <w:pPr>
              <w:jc w:val="center"/>
              <w:rPr>
                <w:rFonts w:eastAsia="Times New Roman" w:cs="Arial"/>
                <w:b/>
                <w:bCs/>
                <w:color w:val="000000"/>
                <w:sz w:val="18"/>
                <w:szCs w:val="18"/>
              </w:rPr>
            </w:pPr>
            <w:r w:rsidRPr="00702C1C">
              <w:rPr>
                <w:rFonts w:eastAsia="Times New Roman" w:cs="Arial"/>
                <w:b/>
                <w:bCs/>
                <w:color w:val="000000"/>
                <w:sz w:val="18"/>
                <w:szCs w:val="18"/>
              </w:rPr>
              <w:t>Dependencia</w:t>
            </w:r>
          </w:p>
        </w:tc>
        <w:tc>
          <w:tcPr>
            <w:tcW w:w="1276" w:type="dxa"/>
            <w:shd w:val="clear" w:color="000000" w:fill="F2F2F2"/>
            <w:vAlign w:val="center"/>
            <w:hideMark/>
          </w:tcPr>
          <w:p w14:paraId="05C5846E" w14:textId="4DC75F97" w:rsidR="003D40E2" w:rsidRPr="00702C1C" w:rsidRDefault="002917F4" w:rsidP="00A04566">
            <w:pPr>
              <w:jc w:val="center"/>
              <w:rPr>
                <w:rFonts w:eastAsia="Times New Roman" w:cs="Arial"/>
                <w:b/>
                <w:bCs/>
                <w:color w:val="000000"/>
                <w:sz w:val="18"/>
                <w:szCs w:val="18"/>
              </w:rPr>
            </w:pPr>
            <w:r w:rsidRPr="00702C1C">
              <w:rPr>
                <w:rFonts w:eastAsia="Times New Roman" w:cs="Arial"/>
                <w:b/>
                <w:bCs/>
                <w:color w:val="000000"/>
                <w:sz w:val="18"/>
                <w:szCs w:val="18"/>
              </w:rPr>
              <w:t xml:space="preserve">Aprobado </w:t>
            </w:r>
            <w:r w:rsidR="003D40E2" w:rsidRPr="00702C1C">
              <w:rPr>
                <w:rFonts w:eastAsia="Times New Roman" w:cs="Arial"/>
                <w:b/>
                <w:bCs/>
                <w:color w:val="000000"/>
                <w:sz w:val="18"/>
                <w:szCs w:val="18"/>
              </w:rPr>
              <w:t>202</w:t>
            </w:r>
            <w:r w:rsidR="0077603D" w:rsidRPr="00702C1C">
              <w:rPr>
                <w:rFonts w:eastAsia="Times New Roman" w:cs="Arial"/>
                <w:b/>
                <w:bCs/>
                <w:color w:val="000000"/>
                <w:sz w:val="18"/>
                <w:szCs w:val="18"/>
              </w:rPr>
              <w:t>4</w:t>
            </w:r>
          </w:p>
        </w:tc>
        <w:tc>
          <w:tcPr>
            <w:tcW w:w="1276" w:type="dxa"/>
            <w:shd w:val="clear" w:color="000000" w:fill="F2F2F2"/>
            <w:vAlign w:val="center"/>
            <w:hideMark/>
          </w:tcPr>
          <w:p w14:paraId="05761D39" w14:textId="37D06EC2" w:rsidR="003D40E2" w:rsidRPr="00702C1C" w:rsidRDefault="003D40E2" w:rsidP="00A04566">
            <w:pPr>
              <w:jc w:val="center"/>
              <w:rPr>
                <w:rFonts w:eastAsia="Times New Roman" w:cs="Arial"/>
                <w:b/>
                <w:bCs/>
                <w:color w:val="000000"/>
                <w:sz w:val="18"/>
                <w:szCs w:val="18"/>
              </w:rPr>
            </w:pPr>
            <w:r w:rsidRPr="00702C1C">
              <w:rPr>
                <w:rFonts w:eastAsia="Times New Roman" w:cs="Arial"/>
                <w:b/>
                <w:bCs/>
                <w:color w:val="000000"/>
                <w:sz w:val="18"/>
                <w:szCs w:val="18"/>
              </w:rPr>
              <w:t xml:space="preserve">Proyecto </w:t>
            </w:r>
            <w:r w:rsidR="009F433F" w:rsidRPr="00702C1C">
              <w:rPr>
                <w:rFonts w:eastAsia="Times New Roman" w:cs="Arial"/>
                <w:b/>
                <w:bCs/>
                <w:color w:val="000000"/>
                <w:sz w:val="18"/>
                <w:szCs w:val="18"/>
              </w:rPr>
              <w:br/>
            </w:r>
            <w:r w:rsidRPr="00702C1C">
              <w:rPr>
                <w:rFonts w:eastAsia="Times New Roman" w:cs="Arial"/>
                <w:b/>
                <w:bCs/>
                <w:color w:val="000000"/>
                <w:sz w:val="18"/>
                <w:szCs w:val="18"/>
              </w:rPr>
              <w:t>202</w:t>
            </w:r>
            <w:r w:rsidR="0077603D" w:rsidRPr="00702C1C">
              <w:rPr>
                <w:rFonts w:eastAsia="Times New Roman" w:cs="Arial"/>
                <w:b/>
                <w:bCs/>
                <w:color w:val="000000"/>
                <w:sz w:val="18"/>
                <w:szCs w:val="18"/>
              </w:rPr>
              <w:t>5</w:t>
            </w:r>
          </w:p>
        </w:tc>
        <w:tc>
          <w:tcPr>
            <w:tcW w:w="992" w:type="dxa"/>
            <w:shd w:val="clear" w:color="000000" w:fill="F2F2F2"/>
            <w:vAlign w:val="center"/>
            <w:hideMark/>
          </w:tcPr>
          <w:p w14:paraId="1F4BBC19" w14:textId="77777777" w:rsidR="003D40E2" w:rsidRPr="00702C1C" w:rsidRDefault="003D40E2" w:rsidP="00A04566">
            <w:pPr>
              <w:jc w:val="center"/>
              <w:rPr>
                <w:rFonts w:eastAsia="Times New Roman" w:cs="Arial"/>
                <w:b/>
                <w:bCs/>
                <w:color w:val="000000"/>
                <w:sz w:val="18"/>
                <w:szCs w:val="18"/>
              </w:rPr>
            </w:pPr>
            <w:r w:rsidRPr="00702C1C">
              <w:rPr>
                <w:rFonts w:eastAsia="Times New Roman" w:cs="Arial"/>
                <w:b/>
                <w:bCs/>
                <w:color w:val="000000"/>
                <w:sz w:val="18"/>
                <w:szCs w:val="18"/>
              </w:rPr>
              <w:t>Diferencia</w:t>
            </w:r>
          </w:p>
        </w:tc>
        <w:tc>
          <w:tcPr>
            <w:tcW w:w="572" w:type="dxa"/>
            <w:shd w:val="clear" w:color="000000" w:fill="F2F2F2"/>
            <w:vAlign w:val="center"/>
            <w:hideMark/>
          </w:tcPr>
          <w:p w14:paraId="377BBAE3" w14:textId="77777777" w:rsidR="003D40E2" w:rsidRPr="00702C1C" w:rsidRDefault="003D40E2" w:rsidP="00A04566">
            <w:pPr>
              <w:jc w:val="center"/>
              <w:rPr>
                <w:rFonts w:eastAsia="Times New Roman" w:cs="Arial"/>
                <w:b/>
                <w:bCs/>
                <w:color w:val="000000"/>
                <w:sz w:val="18"/>
                <w:szCs w:val="18"/>
              </w:rPr>
            </w:pPr>
            <w:r w:rsidRPr="00702C1C">
              <w:rPr>
                <w:rFonts w:eastAsia="Times New Roman" w:cs="Arial"/>
                <w:b/>
                <w:bCs/>
                <w:color w:val="000000"/>
                <w:sz w:val="18"/>
                <w:szCs w:val="18"/>
              </w:rPr>
              <w:t>%</w:t>
            </w:r>
          </w:p>
        </w:tc>
      </w:tr>
      <w:tr w:rsidR="000769AB" w:rsidRPr="00702C1C" w14:paraId="10DBB228" w14:textId="77777777" w:rsidTr="00702C1C">
        <w:trPr>
          <w:trHeight w:val="20"/>
          <w:jc w:val="center"/>
        </w:trPr>
        <w:tc>
          <w:tcPr>
            <w:tcW w:w="988" w:type="dxa"/>
            <w:shd w:val="clear" w:color="auto" w:fill="auto"/>
            <w:noWrap/>
            <w:vAlign w:val="center"/>
            <w:hideMark/>
          </w:tcPr>
          <w:p w14:paraId="1DE37983" w14:textId="77777777" w:rsidR="000769AB" w:rsidRPr="00702C1C" w:rsidRDefault="000769AB" w:rsidP="000769AB">
            <w:pPr>
              <w:jc w:val="center"/>
              <w:rPr>
                <w:rFonts w:eastAsia="Times New Roman" w:cs="Arial"/>
                <w:color w:val="000000"/>
                <w:sz w:val="18"/>
                <w:szCs w:val="18"/>
              </w:rPr>
            </w:pPr>
            <w:r w:rsidRPr="00702C1C">
              <w:rPr>
                <w:rFonts w:eastAsia="Times New Roman" w:cs="Arial"/>
                <w:color w:val="000000"/>
                <w:sz w:val="18"/>
                <w:szCs w:val="18"/>
              </w:rPr>
              <w:t>040102001</w:t>
            </w:r>
          </w:p>
        </w:tc>
        <w:tc>
          <w:tcPr>
            <w:tcW w:w="3685" w:type="dxa"/>
            <w:shd w:val="clear" w:color="auto" w:fill="auto"/>
            <w:vAlign w:val="center"/>
            <w:hideMark/>
          </w:tcPr>
          <w:p w14:paraId="3AB95275" w14:textId="77777777" w:rsidR="000769AB" w:rsidRPr="00702C1C" w:rsidRDefault="000769AB" w:rsidP="000769AB">
            <w:pPr>
              <w:jc w:val="left"/>
              <w:rPr>
                <w:rFonts w:eastAsia="Times New Roman" w:cs="Arial"/>
                <w:color w:val="000000"/>
                <w:sz w:val="18"/>
                <w:szCs w:val="18"/>
              </w:rPr>
            </w:pPr>
            <w:r w:rsidRPr="00702C1C">
              <w:rPr>
                <w:rFonts w:eastAsia="Times New Roman" w:cs="Arial"/>
                <w:color w:val="000000"/>
                <w:sz w:val="18"/>
                <w:szCs w:val="18"/>
              </w:rPr>
              <w:t>H. Congreso del Estado de Colima</w:t>
            </w:r>
          </w:p>
        </w:tc>
        <w:tc>
          <w:tcPr>
            <w:tcW w:w="1276" w:type="dxa"/>
            <w:shd w:val="clear" w:color="auto" w:fill="auto"/>
            <w:noWrap/>
            <w:vAlign w:val="center"/>
          </w:tcPr>
          <w:p w14:paraId="729D315C" w14:textId="482FD3C0"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125,000,000</w:t>
            </w:r>
          </w:p>
        </w:tc>
        <w:tc>
          <w:tcPr>
            <w:tcW w:w="1276" w:type="dxa"/>
            <w:shd w:val="clear" w:color="auto" w:fill="auto"/>
            <w:vAlign w:val="center"/>
          </w:tcPr>
          <w:p w14:paraId="137B94FB" w14:textId="0E2D0AB6"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125,000,000</w:t>
            </w:r>
          </w:p>
        </w:tc>
        <w:tc>
          <w:tcPr>
            <w:tcW w:w="992" w:type="dxa"/>
            <w:shd w:val="clear" w:color="auto" w:fill="auto"/>
            <w:noWrap/>
            <w:vAlign w:val="center"/>
          </w:tcPr>
          <w:p w14:paraId="070F0CB9" w14:textId="7A72B63E"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0</w:t>
            </w:r>
          </w:p>
        </w:tc>
        <w:tc>
          <w:tcPr>
            <w:tcW w:w="572" w:type="dxa"/>
            <w:shd w:val="clear" w:color="auto" w:fill="auto"/>
            <w:vAlign w:val="center"/>
          </w:tcPr>
          <w:p w14:paraId="6767B6C6" w14:textId="5CC11AF1"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0.0%</w:t>
            </w:r>
          </w:p>
        </w:tc>
      </w:tr>
      <w:tr w:rsidR="000769AB" w:rsidRPr="00702C1C" w14:paraId="2D0682B2" w14:textId="77777777" w:rsidTr="00702C1C">
        <w:trPr>
          <w:trHeight w:val="20"/>
          <w:jc w:val="center"/>
        </w:trPr>
        <w:tc>
          <w:tcPr>
            <w:tcW w:w="988" w:type="dxa"/>
            <w:shd w:val="clear" w:color="auto" w:fill="auto"/>
            <w:noWrap/>
            <w:vAlign w:val="center"/>
            <w:hideMark/>
          </w:tcPr>
          <w:p w14:paraId="574E7568" w14:textId="77777777" w:rsidR="000769AB" w:rsidRPr="00702C1C" w:rsidRDefault="000769AB" w:rsidP="000769AB">
            <w:pPr>
              <w:jc w:val="center"/>
              <w:rPr>
                <w:rFonts w:eastAsia="Times New Roman" w:cs="Arial"/>
                <w:color w:val="000000"/>
                <w:sz w:val="18"/>
                <w:szCs w:val="18"/>
              </w:rPr>
            </w:pPr>
            <w:r w:rsidRPr="00702C1C">
              <w:rPr>
                <w:rFonts w:eastAsia="Times New Roman" w:cs="Arial"/>
                <w:color w:val="000000"/>
                <w:sz w:val="18"/>
                <w:szCs w:val="18"/>
              </w:rPr>
              <w:t>040103001</w:t>
            </w:r>
          </w:p>
        </w:tc>
        <w:tc>
          <w:tcPr>
            <w:tcW w:w="3685" w:type="dxa"/>
            <w:shd w:val="clear" w:color="auto" w:fill="auto"/>
            <w:vAlign w:val="center"/>
            <w:hideMark/>
          </w:tcPr>
          <w:p w14:paraId="77FAFE8E" w14:textId="77777777" w:rsidR="000769AB" w:rsidRPr="00702C1C" w:rsidRDefault="000769AB" w:rsidP="000769AB">
            <w:pPr>
              <w:jc w:val="left"/>
              <w:rPr>
                <w:rFonts w:eastAsia="Times New Roman" w:cs="Arial"/>
                <w:color w:val="000000"/>
                <w:sz w:val="18"/>
                <w:szCs w:val="18"/>
              </w:rPr>
            </w:pPr>
            <w:r w:rsidRPr="00702C1C">
              <w:rPr>
                <w:rFonts w:eastAsia="Times New Roman" w:cs="Arial"/>
                <w:color w:val="000000"/>
                <w:sz w:val="18"/>
                <w:szCs w:val="18"/>
              </w:rPr>
              <w:t>Poder Judicial del Estado</w:t>
            </w:r>
          </w:p>
        </w:tc>
        <w:tc>
          <w:tcPr>
            <w:tcW w:w="1276" w:type="dxa"/>
            <w:shd w:val="clear" w:color="auto" w:fill="auto"/>
            <w:noWrap/>
            <w:vAlign w:val="center"/>
          </w:tcPr>
          <w:p w14:paraId="73047D60" w14:textId="7F8C26C6"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261,040,000</w:t>
            </w:r>
          </w:p>
        </w:tc>
        <w:tc>
          <w:tcPr>
            <w:tcW w:w="1276" w:type="dxa"/>
            <w:shd w:val="clear" w:color="auto" w:fill="auto"/>
            <w:vAlign w:val="center"/>
          </w:tcPr>
          <w:p w14:paraId="0E4ACC61" w14:textId="3C0DE228"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271,481,600</w:t>
            </w:r>
          </w:p>
        </w:tc>
        <w:tc>
          <w:tcPr>
            <w:tcW w:w="992" w:type="dxa"/>
            <w:shd w:val="clear" w:color="auto" w:fill="auto"/>
            <w:noWrap/>
            <w:vAlign w:val="center"/>
          </w:tcPr>
          <w:p w14:paraId="668F6C7E" w14:textId="0AF18C68"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10,441,600</w:t>
            </w:r>
          </w:p>
        </w:tc>
        <w:tc>
          <w:tcPr>
            <w:tcW w:w="572" w:type="dxa"/>
            <w:shd w:val="clear" w:color="auto" w:fill="auto"/>
            <w:vAlign w:val="center"/>
          </w:tcPr>
          <w:p w14:paraId="27421403" w14:textId="0A2744C5"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4.0%</w:t>
            </w:r>
          </w:p>
        </w:tc>
      </w:tr>
      <w:tr w:rsidR="000769AB" w:rsidRPr="00702C1C" w14:paraId="7EF094CA" w14:textId="77777777" w:rsidTr="00702C1C">
        <w:trPr>
          <w:trHeight w:val="20"/>
          <w:jc w:val="center"/>
        </w:trPr>
        <w:tc>
          <w:tcPr>
            <w:tcW w:w="988" w:type="dxa"/>
            <w:shd w:val="clear" w:color="auto" w:fill="auto"/>
            <w:noWrap/>
            <w:vAlign w:val="center"/>
            <w:hideMark/>
          </w:tcPr>
          <w:p w14:paraId="6DD0A4B4" w14:textId="77777777" w:rsidR="000769AB" w:rsidRPr="00702C1C" w:rsidRDefault="000769AB" w:rsidP="000769AB">
            <w:pPr>
              <w:jc w:val="center"/>
              <w:rPr>
                <w:rFonts w:eastAsia="Times New Roman" w:cs="Arial"/>
                <w:color w:val="000000"/>
                <w:sz w:val="18"/>
                <w:szCs w:val="18"/>
              </w:rPr>
            </w:pPr>
            <w:r w:rsidRPr="00702C1C">
              <w:rPr>
                <w:rFonts w:eastAsia="Times New Roman" w:cs="Arial"/>
                <w:color w:val="000000"/>
                <w:sz w:val="18"/>
                <w:szCs w:val="18"/>
              </w:rPr>
              <w:t>040104001</w:t>
            </w:r>
          </w:p>
        </w:tc>
        <w:tc>
          <w:tcPr>
            <w:tcW w:w="3685" w:type="dxa"/>
            <w:shd w:val="clear" w:color="auto" w:fill="auto"/>
            <w:vAlign w:val="center"/>
            <w:hideMark/>
          </w:tcPr>
          <w:p w14:paraId="784B7683" w14:textId="77777777" w:rsidR="000769AB" w:rsidRPr="00702C1C" w:rsidRDefault="000769AB" w:rsidP="000769AB">
            <w:pPr>
              <w:jc w:val="left"/>
              <w:rPr>
                <w:rFonts w:eastAsia="Times New Roman" w:cs="Arial"/>
                <w:color w:val="000000"/>
                <w:sz w:val="18"/>
                <w:szCs w:val="18"/>
              </w:rPr>
            </w:pPr>
            <w:r w:rsidRPr="00702C1C">
              <w:rPr>
                <w:rFonts w:eastAsia="Times New Roman" w:cs="Arial"/>
                <w:color w:val="000000"/>
                <w:sz w:val="18"/>
                <w:szCs w:val="18"/>
              </w:rPr>
              <w:t>Comisión de Derechos Humanos del Estado de Colima</w:t>
            </w:r>
          </w:p>
        </w:tc>
        <w:tc>
          <w:tcPr>
            <w:tcW w:w="1276" w:type="dxa"/>
            <w:shd w:val="clear" w:color="auto" w:fill="auto"/>
            <w:noWrap/>
            <w:vAlign w:val="center"/>
          </w:tcPr>
          <w:p w14:paraId="020E79CD" w14:textId="1F15BF1E"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14,445,199</w:t>
            </w:r>
          </w:p>
        </w:tc>
        <w:tc>
          <w:tcPr>
            <w:tcW w:w="1276" w:type="dxa"/>
            <w:shd w:val="clear" w:color="auto" w:fill="auto"/>
            <w:vAlign w:val="center"/>
          </w:tcPr>
          <w:p w14:paraId="00636AD8" w14:textId="168DE1EC"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15,023,007</w:t>
            </w:r>
          </w:p>
        </w:tc>
        <w:tc>
          <w:tcPr>
            <w:tcW w:w="992" w:type="dxa"/>
            <w:shd w:val="clear" w:color="auto" w:fill="auto"/>
            <w:noWrap/>
            <w:vAlign w:val="center"/>
          </w:tcPr>
          <w:p w14:paraId="01068AE2" w14:textId="6EFD9B03"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577,808</w:t>
            </w:r>
          </w:p>
        </w:tc>
        <w:tc>
          <w:tcPr>
            <w:tcW w:w="572" w:type="dxa"/>
            <w:shd w:val="clear" w:color="auto" w:fill="auto"/>
            <w:vAlign w:val="center"/>
          </w:tcPr>
          <w:p w14:paraId="730AC33B" w14:textId="713364AA"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4.0%</w:t>
            </w:r>
          </w:p>
        </w:tc>
      </w:tr>
      <w:tr w:rsidR="000769AB" w:rsidRPr="00702C1C" w14:paraId="703183ED" w14:textId="77777777" w:rsidTr="00702C1C">
        <w:trPr>
          <w:trHeight w:val="20"/>
          <w:jc w:val="center"/>
        </w:trPr>
        <w:tc>
          <w:tcPr>
            <w:tcW w:w="988" w:type="dxa"/>
            <w:shd w:val="clear" w:color="auto" w:fill="auto"/>
            <w:noWrap/>
            <w:vAlign w:val="center"/>
            <w:hideMark/>
          </w:tcPr>
          <w:p w14:paraId="6E891220" w14:textId="77777777" w:rsidR="000769AB" w:rsidRPr="00702C1C" w:rsidRDefault="000769AB" w:rsidP="000769AB">
            <w:pPr>
              <w:jc w:val="center"/>
              <w:rPr>
                <w:rFonts w:eastAsia="Times New Roman" w:cs="Arial"/>
                <w:color w:val="000000"/>
                <w:sz w:val="18"/>
                <w:szCs w:val="18"/>
              </w:rPr>
            </w:pPr>
            <w:r w:rsidRPr="00702C1C">
              <w:rPr>
                <w:rFonts w:eastAsia="Times New Roman" w:cs="Arial"/>
                <w:color w:val="000000"/>
                <w:sz w:val="18"/>
                <w:szCs w:val="18"/>
              </w:rPr>
              <w:t>040104002</w:t>
            </w:r>
          </w:p>
        </w:tc>
        <w:tc>
          <w:tcPr>
            <w:tcW w:w="3685" w:type="dxa"/>
            <w:shd w:val="clear" w:color="auto" w:fill="auto"/>
            <w:vAlign w:val="center"/>
            <w:hideMark/>
          </w:tcPr>
          <w:p w14:paraId="1B894280" w14:textId="77777777" w:rsidR="000769AB" w:rsidRPr="00702C1C" w:rsidRDefault="000769AB" w:rsidP="000769AB">
            <w:pPr>
              <w:jc w:val="left"/>
              <w:rPr>
                <w:rFonts w:eastAsia="Times New Roman" w:cs="Arial"/>
                <w:color w:val="000000"/>
                <w:sz w:val="18"/>
                <w:szCs w:val="18"/>
              </w:rPr>
            </w:pPr>
            <w:r w:rsidRPr="00702C1C">
              <w:rPr>
                <w:rFonts w:eastAsia="Times New Roman" w:cs="Arial"/>
                <w:color w:val="000000"/>
                <w:sz w:val="18"/>
                <w:szCs w:val="18"/>
              </w:rPr>
              <w:t>Fiscalía General del Estado de Colima</w:t>
            </w:r>
          </w:p>
        </w:tc>
        <w:tc>
          <w:tcPr>
            <w:tcW w:w="1276" w:type="dxa"/>
            <w:shd w:val="clear" w:color="auto" w:fill="auto"/>
            <w:noWrap/>
            <w:vAlign w:val="center"/>
          </w:tcPr>
          <w:p w14:paraId="7BC8D920" w14:textId="5BB6BFF3"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481,175,053</w:t>
            </w:r>
          </w:p>
        </w:tc>
        <w:tc>
          <w:tcPr>
            <w:tcW w:w="1276" w:type="dxa"/>
            <w:shd w:val="clear" w:color="auto" w:fill="auto"/>
            <w:vAlign w:val="center"/>
          </w:tcPr>
          <w:p w14:paraId="633E9C68" w14:textId="104BDF90"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500,422,055</w:t>
            </w:r>
          </w:p>
        </w:tc>
        <w:tc>
          <w:tcPr>
            <w:tcW w:w="992" w:type="dxa"/>
            <w:shd w:val="clear" w:color="auto" w:fill="auto"/>
            <w:noWrap/>
            <w:vAlign w:val="center"/>
          </w:tcPr>
          <w:p w14:paraId="74031E51" w14:textId="1D37FD91"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19,247,002</w:t>
            </w:r>
          </w:p>
        </w:tc>
        <w:tc>
          <w:tcPr>
            <w:tcW w:w="572" w:type="dxa"/>
            <w:shd w:val="clear" w:color="auto" w:fill="auto"/>
            <w:vAlign w:val="center"/>
          </w:tcPr>
          <w:p w14:paraId="36AEEFC7" w14:textId="1E4DD1D5"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4.0%</w:t>
            </w:r>
          </w:p>
        </w:tc>
      </w:tr>
      <w:tr w:rsidR="000769AB" w:rsidRPr="00702C1C" w14:paraId="2BF2DA17" w14:textId="77777777" w:rsidTr="00702C1C">
        <w:trPr>
          <w:trHeight w:val="20"/>
          <w:jc w:val="center"/>
        </w:trPr>
        <w:tc>
          <w:tcPr>
            <w:tcW w:w="988" w:type="dxa"/>
            <w:shd w:val="clear" w:color="auto" w:fill="auto"/>
            <w:noWrap/>
            <w:vAlign w:val="center"/>
            <w:hideMark/>
          </w:tcPr>
          <w:p w14:paraId="369F04BF" w14:textId="77777777" w:rsidR="000769AB" w:rsidRPr="00702C1C" w:rsidRDefault="000769AB" w:rsidP="000769AB">
            <w:pPr>
              <w:jc w:val="center"/>
              <w:rPr>
                <w:rFonts w:eastAsia="Times New Roman" w:cs="Arial"/>
                <w:color w:val="000000"/>
                <w:sz w:val="18"/>
                <w:szCs w:val="18"/>
              </w:rPr>
            </w:pPr>
            <w:r w:rsidRPr="00702C1C">
              <w:rPr>
                <w:rFonts w:eastAsia="Times New Roman" w:cs="Arial"/>
                <w:color w:val="000000"/>
                <w:sz w:val="18"/>
                <w:szCs w:val="18"/>
              </w:rPr>
              <w:t>040104003</w:t>
            </w:r>
          </w:p>
        </w:tc>
        <w:tc>
          <w:tcPr>
            <w:tcW w:w="3685" w:type="dxa"/>
            <w:shd w:val="clear" w:color="auto" w:fill="auto"/>
            <w:vAlign w:val="center"/>
            <w:hideMark/>
          </w:tcPr>
          <w:p w14:paraId="0D85F1BA" w14:textId="77777777" w:rsidR="000769AB" w:rsidRPr="00702C1C" w:rsidRDefault="000769AB" w:rsidP="000769AB">
            <w:pPr>
              <w:jc w:val="left"/>
              <w:rPr>
                <w:rFonts w:eastAsia="Times New Roman" w:cs="Arial"/>
                <w:color w:val="000000"/>
                <w:sz w:val="18"/>
                <w:szCs w:val="18"/>
              </w:rPr>
            </w:pPr>
            <w:r w:rsidRPr="00702C1C">
              <w:rPr>
                <w:rFonts w:eastAsia="Times New Roman" w:cs="Arial"/>
                <w:color w:val="000000"/>
                <w:sz w:val="18"/>
                <w:szCs w:val="18"/>
              </w:rPr>
              <w:t>Instituto Electoral del Estado</w:t>
            </w:r>
          </w:p>
        </w:tc>
        <w:tc>
          <w:tcPr>
            <w:tcW w:w="1276" w:type="dxa"/>
            <w:shd w:val="clear" w:color="auto" w:fill="auto"/>
            <w:noWrap/>
            <w:vAlign w:val="center"/>
          </w:tcPr>
          <w:p w14:paraId="669713FB" w14:textId="61C9223D"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155,051,474</w:t>
            </w:r>
          </w:p>
        </w:tc>
        <w:tc>
          <w:tcPr>
            <w:tcW w:w="1276" w:type="dxa"/>
            <w:shd w:val="clear" w:color="auto" w:fill="auto"/>
            <w:vAlign w:val="center"/>
          </w:tcPr>
          <w:p w14:paraId="4CE672DA" w14:textId="1364B757"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107,430,305</w:t>
            </w:r>
          </w:p>
        </w:tc>
        <w:tc>
          <w:tcPr>
            <w:tcW w:w="992" w:type="dxa"/>
            <w:shd w:val="clear" w:color="auto" w:fill="auto"/>
            <w:noWrap/>
            <w:vAlign w:val="center"/>
          </w:tcPr>
          <w:p w14:paraId="3FD0F9E6" w14:textId="5846B754" w:rsidR="000769AB" w:rsidRPr="00702C1C" w:rsidRDefault="008A4F83" w:rsidP="000769AB">
            <w:pPr>
              <w:jc w:val="right"/>
              <w:rPr>
                <w:rFonts w:eastAsia="Times New Roman" w:cs="Arial"/>
                <w:color w:val="000000"/>
                <w:sz w:val="18"/>
                <w:szCs w:val="18"/>
              </w:rPr>
            </w:pPr>
            <w:r w:rsidRPr="00702C1C">
              <w:rPr>
                <w:rFonts w:eastAsia="Times New Roman" w:cs="Arial"/>
                <w:color w:val="000000"/>
                <w:sz w:val="18"/>
                <w:szCs w:val="18"/>
              </w:rPr>
              <w:t>-47,621,170</w:t>
            </w:r>
          </w:p>
        </w:tc>
        <w:tc>
          <w:tcPr>
            <w:tcW w:w="572" w:type="dxa"/>
            <w:shd w:val="clear" w:color="auto" w:fill="auto"/>
            <w:vAlign w:val="center"/>
          </w:tcPr>
          <w:p w14:paraId="4F0FCB30" w14:textId="485F752B"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-30.7%</w:t>
            </w:r>
          </w:p>
        </w:tc>
      </w:tr>
      <w:tr w:rsidR="000769AB" w:rsidRPr="00702C1C" w14:paraId="41B23501" w14:textId="77777777" w:rsidTr="00702C1C">
        <w:trPr>
          <w:trHeight w:val="20"/>
          <w:jc w:val="center"/>
        </w:trPr>
        <w:tc>
          <w:tcPr>
            <w:tcW w:w="988" w:type="dxa"/>
            <w:shd w:val="clear" w:color="auto" w:fill="auto"/>
            <w:noWrap/>
            <w:vAlign w:val="center"/>
            <w:hideMark/>
          </w:tcPr>
          <w:p w14:paraId="1EA55C2E" w14:textId="77777777" w:rsidR="000769AB" w:rsidRPr="00702C1C" w:rsidRDefault="000769AB" w:rsidP="000769AB">
            <w:pPr>
              <w:jc w:val="center"/>
              <w:rPr>
                <w:rFonts w:eastAsia="Times New Roman" w:cs="Arial"/>
                <w:color w:val="000000"/>
                <w:sz w:val="18"/>
                <w:szCs w:val="18"/>
              </w:rPr>
            </w:pPr>
            <w:r w:rsidRPr="00702C1C">
              <w:rPr>
                <w:rFonts w:eastAsia="Times New Roman" w:cs="Arial"/>
                <w:color w:val="000000"/>
                <w:sz w:val="18"/>
                <w:szCs w:val="18"/>
              </w:rPr>
              <w:t>040104004</w:t>
            </w:r>
          </w:p>
        </w:tc>
        <w:tc>
          <w:tcPr>
            <w:tcW w:w="3685" w:type="dxa"/>
            <w:shd w:val="clear" w:color="auto" w:fill="auto"/>
            <w:vAlign w:val="center"/>
            <w:hideMark/>
          </w:tcPr>
          <w:p w14:paraId="48CE108D" w14:textId="77777777" w:rsidR="000769AB" w:rsidRPr="00702C1C" w:rsidRDefault="000769AB" w:rsidP="000769AB">
            <w:pPr>
              <w:jc w:val="left"/>
              <w:rPr>
                <w:rFonts w:eastAsia="Times New Roman" w:cs="Arial"/>
                <w:color w:val="000000"/>
                <w:sz w:val="18"/>
                <w:szCs w:val="18"/>
              </w:rPr>
            </w:pPr>
            <w:r w:rsidRPr="00702C1C">
              <w:rPr>
                <w:rFonts w:eastAsia="Times New Roman" w:cs="Arial"/>
                <w:color w:val="000000"/>
                <w:sz w:val="18"/>
                <w:szCs w:val="18"/>
              </w:rPr>
              <w:t>Instituto de Transparencia, Acceso a la Información Pública y Protección de Datos del Estado de Colima</w:t>
            </w:r>
          </w:p>
        </w:tc>
        <w:tc>
          <w:tcPr>
            <w:tcW w:w="1276" w:type="dxa"/>
            <w:shd w:val="clear" w:color="auto" w:fill="auto"/>
            <w:noWrap/>
            <w:vAlign w:val="center"/>
          </w:tcPr>
          <w:p w14:paraId="245DC1C6" w14:textId="2F9D442F"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15,000,783</w:t>
            </w:r>
          </w:p>
        </w:tc>
        <w:tc>
          <w:tcPr>
            <w:tcW w:w="1276" w:type="dxa"/>
            <w:shd w:val="clear" w:color="auto" w:fill="auto"/>
            <w:vAlign w:val="center"/>
          </w:tcPr>
          <w:p w14:paraId="3BDF8685" w14:textId="4F9A290D"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22,760,557</w:t>
            </w:r>
          </w:p>
        </w:tc>
        <w:tc>
          <w:tcPr>
            <w:tcW w:w="992" w:type="dxa"/>
            <w:shd w:val="clear" w:color="auto" w:fill="auto"/>
            <w:noWrap/>
            <w:vAlign w:val="center"/>
          </w:tcPr>
          <w:p w14:paraId="093881FF" w14:textId="6662B35B"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7,759,774</w:t>
            </w:r>
          </w:p>
        </w:tc>
        <w:tc>
          <w:tcPr>
            <w:tcW w:w="572" w:type="dxa"/>
            <w:shd w:val="clear" w:color="auto" w:fill="auto"/>
            <w:vAlign w:val="center"/>
          </w:tcPr>
          <w:p w14:paraId="57DFD9C5" w14:textId="32EFA84D"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51.7%</w:t>
            </w:r>
          </w:p>
        </w:tc>
      </w:tr>
      <w:tr w:rsidR="000769AB" w:rsidRPr="00702C1C" w14:paraId="76D8D0B0" w14:textId="77777777" w:rsidTr="00702C1C">
        <w:trPr>
          <w:trHeight w:val="20"/>
          <w:jc w:val="center"/>
        </w:trPr>
        <w:tc>
          <w:tcPr>
            <w:tcW w:w="988" w:type="dxa"/>
            <w:shd w:val="clear" w:color="auto" w:fill="auto"/>
            <w:noWrap/>
            <w:vAlign w:val="center"/>
            <w:hideMark/>
          </w:tcPr>
          <w:p w14:paraId="6CA84A6B" w14:textId="77777777" w:rsidR="000769AB" w:rsidRPr="00702C1C" w:rsidRDefault="000769AB" w:rsidP="000769AB">
            <w:pPr>
              <w:jc w:val="center"/>
              <w:rPr>
                <w:rFonts w:eastAsia="Times New Roman" w:cs="Arial"/>
                <w:color w:val="000000"/>
                <w:sz w:val="18"/>
                <w:szCs w:val="18"/>
              </w:rPr>
            </w:pPr>
            <w:r w:rsidRPr="00702C1C">
              <w:rPr>
                <w:rFonts w:eastAsia="Times New Roman" w:cs="Arial"/>
                <w:color w:val="000000"/>
                <w:sz w:val="18"/>
                <w:szCs w:val="18"/>
              </w:rPr>
              <w:t>040104005</w:t>
            </w:r>
          </w:p>
        </w:tc>
        <w:tc>
          <w:tcPr>
            <w:tcW w:w="3685" w:type="dxa"/>
            <w:shd w:val="clear" w:color="auto" w:fill="auto"/>
            <w:vAlign w:val="center"/>
            <w:hideMark/>
          </w:tcPr>
          <w:p w14:paraId="0F3BC9A9" w14:textId="77777777" w:rsidR="000769AB" w:rsidRPr="00702C1C" w:rsidRDefault="000769AB" w:rsidP="000769AB">
            <w:pPr>
              <w:jc w:val="left"/>
              <w:rPr>
                <w:rFonts w:eastAsia="Times New Roman" w:cs="Arial"/>
                <w:color w:val="000000"/>
                <w:sz w:val="18"/>
                <w:szCs w:val="18"/>
              </w:rPr>
            </w:pPr>
            <w:r w:rsidRPr="00702C1C">
              <w:rPr>
                <w:rFonts w:eastAsia="Times New Roman" w:cs="Arial"/>
                <w:color w:val="000000"/>
                <w:sz w:val="18"/>
                <w:szCs w:val="18"/>
              </w:rPr>
              <w:t>Órgano Superior de Auditoría y Fiscalización Gubernamental del Estado</w:t>
            </w:r>
          </w:p>
        </w:tc>
        <w:tc>
          <w:tcPr>
            <w:tcW w:w="1276" w:type="dxa"/>
            <w:shd w:val="clear" w:color="auto" w:fill="auto"/>
            <w:noWrap/>
            <w:vAlign w:val="center"/>
          </w:tcPr>
          <w:p w14:paraId="03B40355" w14:textId="775636DC"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43,000,000</w:t>
            </w:r>
          </w:p>
        </w:tc>
        <w:tc>
          <w:tcPr>
            <w:tcW w:w="1276" w:type="dxa"/>
            <w:shd w:val="clear" w:color="auto" w:fill="auto"/>
            <w:vAlign w:val="center"/>
          </w:tcPr>
          <w:p w14:paraId="2BF08A6E" w14:textId="72341009"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44,000,000</w:t>
            </w:r>
          </w:p>
        </w:tc>
        <w:tc>
          <w:tcPr>
            <w:tcW w:w="992" w:type="dxa"/>
            <w:shd w:val="clear" w:color="auto" w:fill="auto"/>
            <w:noWrap/>
            <w:vAlign w:val="center"/>
          </w:tcPr>
          <w:p w14:paraId="45FB5A6E" w14:textId="57995479"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1,000,000</w:t>
            </w:r>
          </w:p>
        </w:tc>
        <w:tc>
          <w:tcPr>
            <w:tcW w:w="572" w:type="dxa"/>
            <w:shd w:val="clear" w:color="auto" w:fill="auto"/>
            <w:vAlign w:val="center"/>
          </w:tcPr>
          <w:p w14:paraId="56C8F7D7" w14:textId="3834A2D4"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2.3%</w:t>
            </w:r>
          </w:p>
        </w:tc>
      </w:tr>
      <w:tr w:rsidR="000769AB" w:rsidRPr="00702C1C" w14:paraId="4837FC82" w14:textId="77777777" w:rsidTr="00702C1C">
        <w:trPr>
          <w:trHeight w:val="20"/>
          <w:jc w:val="center"/>
        </w:trPr>
        <w:tc>
          <w:tcPr>
            <w:tcW w:w="988" w:type="dxa"/>
            <w:shd w:val="clear" w:color="auto" w:fill="auto"/>
            <w:noWrap/>
            <w:vAlign w:val="center"/>
            <w:hideMark/>
          </w:tcPr>
          <w:p w14:paraId="76CAEB1E" w14:textId="77777777" w:rsidR="000769AB" w:rsidRPr="00702C1C" w:rsidRDefault="000769AB" w:rsidP="000769AB">
            <w:pPr>
              <w:jc w:val="center"/>
              <w:rPr>
                <w:rFonts w:eastAsia="Times New Roman" w:cs="Arial"/>
                <w:color w:val="000000"/>
                <w:sz w:val="18"/>
                <w:szCs w:val="18"/>
              </w:rPr>
            </w:pPr>
            <w:r w:rsidRPr="00702C1C">
              <w:rPr>
                <w:rFonts w:eastAsia="Times New Roman" w:cs="Arial"/>
                <w:color w:val="000000"/>
                <w:sz w:val="18"/>
                <w:szCs w:val="18"/>
              </w:rPr>
              <w:t>040104006</w:t>
            </w:r>
          </w:p>
        </w:tc>
        <w:tc>
          <w:tcPr>
            <w:tcW w:w="3685" w:type="dxa"/>
            <w:shd w:val="clear" w:color="auto" w:fill="auto"/>
            <w:vAlign w:val="center"/>
            <w:hideMark/>
          </w:tcPr>
          <w:p w14:paraId="61AACF6A" w14:textId="77777777" w:rsidR="000769AB" w:rsidRPr="00702C1C" w:rsidRDefault="000769AB" w:rsidP="000769AB">
            <w:pPr>
              <w:jc w:val="left"/>
              <w:rPr>
                <w:rFonts w:eastAsia="Times New Roman" w:cs="Arial"/>
                <w:color w:val="000000"/>
                <w:sz w:val="18"/>
                <w:szCs w:val="18"/>
              </w:rPr>
            </w:pPr>
            <w:r w:rsidRPr="00702C1C">
              <w:rPr>
                <w:rFonts w:eastAsia="Times New Roman" w:cs="Arial"/>
                <w:color w:val="000000"/>
                <w:sz w:val="18"/>
                <w:szCs w:val="18"/>
              </w:rPr>
              <w:t>Tribunal Electoral del Estado</w:t>
            </w:r>
          </w:p>
        </w:tc>
        <w:tc>
          <w:tcPr>
            <w:tcW w:w="1276" w:type="dxa"/>
            <w:shd w:val="clear" w:color="auto" w:fill="auto"/>
            <w:noWrap/>
            <w:vAlign w:val="center"/>
          </w:tcPr>
          <w:p w14:paraId="70E3F68A" w14:textId="5F766FDA"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22,000,000</w:t>
            </w:r>
          </w:p>
        </w:tc>
        <w:tc>
          <w:tcPr>
            <w:tcW w:w="1276" w:type="dxa"/>
            <w:shd w:val="clear" w:color="auto" w:fill="auto"/>
            <w:vAlign w:val="center"/>
          </w:tcPr>
          <w:p w14:paraId="7475EE96" w14:textId="360A4163"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27,250,538</w:t>
            </w:r>
          </w:p>
        </w:tc>
        <w:tc>
          <w:tcPr>
            <w:tcW w:w="992" w:type="dxa"/>
            <w:shd w:val="clear" w:color="auto" w:fill="auto"/>
            <w:noWrap/>
            <w:vAlign w:val="center"/>
          </w:tcPr>
          <w:p w14:paraId="6B4EE467" w14:textId="56577DA6"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5,250,538</w:t>
            </w:r>
          </w:p>
        </w:tc>
        <w:tc>
          <w:tcPr>
            <w:tcW w:w="572" w:type="dxa"/>
            <w:shd w:val="clear" w:color="auto" w:fill="auto"/>
            <w:vAlign w:val="center"/>
          </w:tcPr>
          <w:p w14:paraId="4C9D439F" w14:textId="757C32F3"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23.9%</w:t>
            </w:r>
          </w:p>
        </w:tc>
      </w:tr>
      <w:tr w:rsidR="000769AB" w:rsidRPr="00702C1C" w14:paraId="5C572058" w14:textId="77777777" w:rsidTr="00702C1C">
        <w:trPr>
          <w:trHeight w:val="20"/>
          <w:jc w:val="center"/>
        </w:trPr>
        <w:tc>
          <w:tcPr>
            <w:tcW w:w="988" w:type="dxa"/>
            <w:shd w:val="clear" w:color="auto" w:fill="auto"/>
            <w:noWrap/>
            <w:vAlign w:val="center"/>
            <w:hideMark/>
          </w:tcPr>
          <w:p w14:paraId="26DEE796" w14:textId="77777777" w:rsidR="000769AB" w:rsidRPr="00702C1C" w:rsidRDefault="000769AB" w:rsidP="000769AB">
            <w:pPr>
              <w:jc w:val="center"/>
              <w:rPr>
                <w:rFonts w:eastAsia="Times New Roman" w:cs="Arial"/>
                <w:color w:val="000000"/>
                <w:sz w:val="18"/>
                <w:szCs w:val="18"/>
              </w:rPr>
            </w:pPr>
            <w:r w:rsidRPr="00702C1C">
              <w:rPr>
                <w:rFonts w:eastAsia="Times New Roman" w:cs="Arial"/>
                <w:color w:val="000000"/>
                <w:sz w:val="18"/>
                <w:szCs w:val="18"/>
              </w:rPr>
              <w:t>040104007</w:t>
            </w:r>
          </w:p>
        </w:tc>
        <w:tc>
          <w:tcPr>
            <w:tcW w:w="3685" w:type="dxa"/>
            <w:shd w:val="clear" w:color="auto" w:fill="auto"/>
            <w:vAlign w:val="center"/>
            <w:hideMark/>
          </w:tcPr>
          <w:p w14:paraId="50672F98" w14:textId="77777777" w:rsidR="000769AB" w:rsidRPr="00702C1C" w:rsidRDefault="000769AB" w:rsidP="000769AB">
            <w:pPr>
              <w:jc w:val="left"/>
              <w:rPr>
                <w:rFonts w:eastAsia="Times New Roman" w:cs="Arial"/>
                <w:color w:val="000000"/>
                <w:sz w:val="18"/>
                <w:szCs w:val="18"/>
              </w:rPr>
            </w:pPr>
            <w:r w:rsidRPr="00702C1C">
              <w:rPr>
                <w:rFonts w:eastAsia="Times New Roman" w:cs="Arial"/>
                <w:color w:val="000000"/>
                <w:sz w:val="18"/>
                <w:szCs w:val="18"/>
              </w:rPr>
              <w:t>Tribunal de Arbitraje y Escalafón</w:t>
            </w:r>
          </w:p>
        </w:tc>
        <w:tc>
          <w:tcPr>
            <w:tcW w:w="1276" w:type="dxa"/>
            <w:shd w:val="clear" w:color="auto" w:fill="auto"/>
            <w:noWrap/>
            <w:vAlign w:val="center"/>
          </w:tcPr>
          <w:p w14:paraId="2199CCB6" w14:textId="30C432A8"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8,320,000</w:t>
            </w:r>
          </w:p>
        </w:tc>
        <w:tc>
          <w:tcPr>
            <w:tcW w:w="1276" w:type="dxa"/>
            <w:shd w:val="clear" w:color="auto" w:fill="auto"/>
            <w:vAlign w:val="center"/>
          </w:tcPr>
          <w:p w14:paraId="244F2A93" w14:textId="2F284C0C"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8,652,800</w:t>
            </w:r>
          </w:p>
        </w:tc>
        <w:tc>
          <w:tcPr>
            <w:tcW w:w="992" w:type="dxa"/>
            <w:shd w:val="clear" w:color="auto" w:fill="auto"/>
            <w:noWrap/>
            <w:vAlign w:val="center"/>
          </w:tcPr>
          <w:p w14:paraId="0C2115AF" w14:textId="0FE2BCEF"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332,800</w:t>
            </w:r>
          </w:p>
        </w:tc>
        <w:tc>
          <w:tcPr>
            <w:tcW w:w="572" w:type="dxa"/>
            <w:shd w:val="clear" w:color="auto" w:fill="auto"/>
            <w:vAlign w:val="center"/>
          </w:tcPr>
          <w:p w14:paraId="6C498A9A" w14:textId="50C8CFA7"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4.0%</w:t>
            </w:r>
          </w:p>
        </w:tc>
      </w:tr>
      <w:tr w:rsidR="000769AB" w:rsidRPr="00702C1C" w14:paraId="2CFEA7C6" w14:textId="77777777" w:rsidTr="00702C1C">
        <w:trPr>
          <w:trHeight w:val="20"/>
          <w:jc w:val="center"/>
        </w:trPr>
        <w:tc>
          <w:tcPr>
            <w:tcW w:w="988" w:type="dxa"/>
            <w:shd w:val="clear" w:color="auto" w:fill="auto"/>
            <w:noWrap/>
            <w:vAlign w:val="center"/>
            <w:hideMark/>
          </w:tcPr>
          <w:p w14:paraId="1580A71D" w14:textId="77777777" w:rsidR="000769AB" w:rsidRPr="00702C1C" w:rsidRDefault="000769AB" w:rsidP="000769AB">
            <w:pPr>
              <w:jc w:val="center"/>
              <w:rPr>
                <w:rFonts w:eastAsia="Times New Roman" w:cs="Arial"/>
                <w:color w:val="000000"/>
                <w:sz w:val="18"/>
                <w:szCs w:val="18"/>
              </w:rPr>
            </w:pPr>
            <w:r w:rsidRPr="00702C1C">
              <w:rPr>
                <w:rFonts w:eastAsia="Times New Roman" w:cs="Arial"/>
                <w:color w:val="000000"/>
                <w:sz w:val="18"/>
                <w:szCs w:val="18"/>
              </w:rPr>
              <w:t>040104008</w:t>
            </w:r>
          </w:p>
        </w:tc>
        <w:tc>
          <w:tcPr>
            <w:tcW w:w="3685" w:type="dxa"/>
            <w:shd w:val="clear" w:color="auto" w:fill="auto"/>
            <w:vAlign w:val="center"/>
            <w:hideMark/>
          </w:tcPr>
          <w:p w14:paraId="0397C088" w14:textId="77777777" w:rsidR="000769AB" w:rsidRPr="00702C1C" w:rsidRDefault="000769AB" w:rsidP="000769AB">
            <w:pPr>
              <w:jc w:val="left"/>
              <w:rPr>
                <w:rFonts w:eastAsia="Times New Roman" w:cs="Arial"/>
                <w:color w:val="000000"/>
                <w:sz w:val="18"/>
                <w:szCs w:val="18"/>
              </w:rPr>
            </w:pPr>
            <w:r w:rsidRPr="00702C1C">
              <w:rPr>
                <w:rFonts w:eastAsia="Times New Roman" w:cs="Arial"/>
                <w:color w:val="000000"/>
                <w:sz w:val="18"/>
                <w:szCs w:val="18"/>
              </w:rPr>
              <w:t>Tribunal de Justicia Administrativa del Estado de Colima</w:t>
            </w:r>
          </w:p>
        </w:tc>
        <w:tc>
          <w:tcPr>
            <w:tcW w:w="1276" w:type="dxa"/>
            <w:shd w:val="clear" w:color="auto" w:fill="auto"/>
            <w:noWrap/>
            <w:vAlign w:val="center"/>
          </w:tcPr>
          <w:p w14:paraId="6FC1CF56" w14:textId="2BC93CAA"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21,560,885</w:t>
            </w:r>
          </w:p>
        </w:tc>
        <w:tc>
          <w:tcPr>
            <w:tcW w:w="1276" w:type="dxa"/>
            <w:shd w:val="clear" w:color="auto" w:fill="auto"/>
            <w:vAlign w:val="center"/>
          </w:tcPr>
          <w:p w14:paraId="793BFD57" w14:textId="1D125B2C"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27,237,219</w:t>
            </w:r>
          </w:p>
        </w:tc>
        <w:tc>
          <w:tcPr>
            <w:tcW w:w="992" w:type="dxa"/>
            <w:shd w:val="clear" w:color="auto" w:fill="auto"/>
            <w:noWrap/>
            <w:vAlign w:val="center"/>
          </w:tcPr>
          <w:p w14:paraId="0D72F06A" w14:textId="42D31FB8"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5,676,334</w:t>
            </w:r>
          </w:p>
        </w:tc>
        <w:tc>
          <w:tcPr>
            <w:tcW w:w="572" w:type="dxa"/>
            <w:shd w:val="clear" w:color="auto" w:fill="auto"/>
            <w:vAlign w:val="center"/>
          </w:tcPr>
          <w:p w14:paraId="0D7DC516" w14:textId="3874BED2" w:rsidR="000769AB" w:rsidRPr="00702C1C" w:rsidRDefault="000769AB" w:rsidP="000769AB">
            <w:pPr>
              <w:jc w:val="right"/>
              <w:rPr>
                <w:rFonts w:eastAsia="Times New Roman" w:cs="Arial"/>
                <w:color w:val="000000"/>
                <w:sz w:val="18"/>
                <w:szCs w:val="18"/>
              </w:rPr>
            </w:pPr>
            <w:r w:rsidRPr="00702C1C">
              <w:rPr>
                <w:rFonts w:eastAsia="Times New Roman" w:cs="Arial"/>
                <w:color w:val="000000"/>
                <w:sz w:val="18"/>
                <w:szCs w:val="18"/>
              </w:rPr>
              <w:t>26.3%</w:t>
            </w:r>
          </w:p>
        </w:tc>
      </w:tr>
      <w:tr w:rsidR="000769AB" w:rsidRPr="00702C1C" w14:paraId="3D722256" w14:textId="77777777" w:rsidTr="00702C1C">
        <w:trPr>
          <w:trHeight w:val="20"/>
          <w:jc w:val="center"/>
        </w:trPr>
        <w:tc>
          <w:tcPr>
            <w:tcW w:w="988" w:type="dxa"/>
            <w:shd w:val="clear" w:color="auto" w:fill="auto"/>
            <w:noWrap/>
            <w:vAlign w:val="center"/>
            <w:hideMark/>
          </w:tcPr>
          <w:p w14:paraId="4077150C" w14:textId="77777777" w:rsidR="000769AB" w:rsidRPr="00702C1C" w:rsidRDefault="000769AB" w:rsidP="000769AB">
            <w:pPr>
              <w:jc w:val="left"/>
              <w:rPr>
                <w:rFonts w:eastAsia="Times New Roman" w:cs="Arial"/>
                <w:b/>
                <w:bCs/>
                <w:color w:val="000000"/>
                <w:sz w:val="18"/>
                <w:szCs w:val="18"/>
              </w:rPr>
            </w:pPr>
            <w:r w:rsidRPr="00702C1C">
              <w:rPr>
                <w:rFonts w:eastAsia="Times New Roman" w:cs="Arial"/>
                <w:b/>
                <w:bCs/>
                <w:color w:val="000000"/>
                <w:sz w:val="18"/>
                <w:szCs w:val="18"/>
              </w:rPr>
              <w:t> </w:t>
            </w:r>
          </w:p>
        </w:tc>
        <w:tc>
          <w:tcPr>
            <w:tcW w:w="3685" w:type="dxa"/>
            <w:shd w:val="clear" w:color="auto" w:fill="auto"/>
            <w:vAlign w:val="center"/>
            <w:hideMark/>
          </w:tcPr>
          <w:p w14:paraId="336F3717" w14:textId="77777777" w:rsidR="000769AB" w:rsidRPr="00702C1C" w:rsidRDefault="000769AB" w:rsidP="000769AB">
            <w:pPr>
              <w:jc w:val="center"/>
              <w:rPr>
                <w:rFonts w:eastAsia="Times New Roman" w:cs="Arial"/>
                <w:b/>
                <w:bCs/>
                <w:color w:val="000000"/>
                <w:sz w:val="18"/>
                <w:szCs w:val="18"/>
              </w:rPr>
            </w:pPr>
            <w:r w:rsidRPr="00702C1C">
              <w:rPr>
                <w:rFonts w:eastAsia="Times New Roman" w:cs="Arial"/>
                <w:b/>
                <w:bCs/>
                <w:color w:val="000000"/>
                <w:sz w:val="18"/>
                <w:szCs w:val="18"/>
              </w:rPr>
              <w:t>Totales</w:t>
            </w:r>
          </w:p>
        </w:tc>
        <w:tc>
          <w:tcPr>
            <w:tcW w:w="1276" w:type="dxa"/>
            <w:shd w:val="clear" w:color="auto" w:fill="auto"/>
            <w:noWrap/>
            <w:vAlign w:val="center"/>
          </w:tcPr>
          <w:p w14:paraId="4CA13D01" w14:textId="60012DF7" w:rsidR="000769AB" w:rsidRPr="00702C1C" w:rsidRDefault="000769AB" w:rsidP="000769AB">
            <w:pPr>
              <w:jc w:val="right"/>
              <w:rPr>
                <w:rFonts w:eastAsia="Times New Roman" w:cs="Arial"/>
                <w:b/>
                <w:bCs/>
                <w:color w:val="000000"/>
                <w:sz w:val="18"/>
                <w:szCs w:val="18"/>
              </w:rPr>
            </w:pPr>
            <w:r w:rsidRPr="00702C1C">
              <w:rPr>
                <w:rFonts w:eastAsia="Times New Roman" w:cs="Arial"/>
                <w:b/>
                <w:bCs/>
                <w:color w:val="000000"/>
                <w:sz w:val="18"/>
                <w:szCs w:val="18"/>
              </w:rPr>
              <w:t>1,146,593,394</w:t>
            </w:r>
          </w:p>
        </w:tc>
        <w:tc>
          <w:tcPr>
            <w:tcW w:w="1276" w:type="dxa"/>
            <w:shd w:val="clear" w:color="auto" w:fill="auto"/>
            <w:vAlign w:val="center"/>
          </w:tcPr>
          <w:p w14:paraId="60AE2C6C" w14:textId="4FBDE012" w:rsidR="000769AB" w:rsidRPr="00702C1C" w:rsidRDefault="000769AB" w:rsidP="000769AB">
            <w:pPr>
              <w:jc w:val="right"/>
              <w:rPr>
                <w:rFonts w:eastAsia="Times New Roman" w:cs="Arial"/>
                <w:b/>
                <w:bCs/>
                <w:color w:val="000000"/>
                <w:sz w:val="18"/>
                <w:szCs w:val="18"/>
              </w:rPr>
            </w:pPr>
            <w:r w:rsidRPr="00702C1C">
              <w:rPr>
                <w:rFonts w:eastAsia="Times New Roman" w:cs="Arial"/>
                <w:b/>
                <w:bCs/>
                <w:color w:val="000000"/>
                <w:sz w:val="18"/>
                <w:szCs w:val="18"/>
              </w:rPr>
              <w:t>1,149,258,081</w:t>
            </w:r>
          </w:p>
        </w:tc>
        <w:tc>
          <w:tcPr>
            <w:tcW w:w="992" w:type="dxa"/>
            <w:shd w:val="clear" w:color="auto" w:fill="auto"/>
            <w:noWrap/>
            <w:vAlign w:val="center"/>
          </w:tcPr>
          <w:p w14:paraId="14EB1C01" w14:textId="5AAB5753" w:rsidR="000769AB" w:rsidRPr="00702C1C" w:rsidRDefault="000769AB" w:rsidP="008A4F83">
            <w:pPr>
              <w:jc w:val="right"/>
              <w:rPr>
                <w:rFonts w:eastAsia="Times New Roman" w:cs="Arial"/>
                <w:b/>
                <w:bCs/>
                <w:color w:val="000000"/>
                <w:sz w:val="18"/>
                <w:szCs w:val="18"/>
              </w:rPr>
            </w:pPr>
            <w:r w:rsidRPr="00702C1C">
              <w:rPr>
                <w:rFonts w:eastAsia="Times New Roman" w:cs="Arial"/>
                <w:b/>
                <w:bCs/>
                <w:color w:val="000000"/>
                <w:sz w:val="18"/>
                <w:szCs w:val="18"/>
              </w:rPr>
              <w:t>2,664,68</w:t>
            </w:r>
            <w:r w:rsidR="008A4F83" w:rsidRPr="00702C1C">
              <w:rPr>
                <w:rFonts w:eastAsia="Times New Roman" w:cs="Arial"/>
                <w:b/>
                <w:bCs/>
                <w:color w:val="000000"/>
                <w:sz w:val="18"/>
                <w:szCs w:val="18"/>
              </w:rPr>
              <w:t>6</w:t>
            </w:r>
          </w:p>
        </w:tc>
        <w:tc>
          <w:tcPr>
            <w:tcW w:w="572" w:type="dxa"/>
            <w:shd w:val="clear" w:color="auto" w:fill="auto"/>
            <w:vAlign w:val="center"/>
          </w:tcPr>
          <w:p w14:paraId="1A9E1401" w14:textId="51473E30" w:rsidR="000769AB" w:rsidRPr="00702C1C" w:rsidRDefault="000769AB" w:rsidP="000769AB">
            <w:pPr>
              <w:jc w:val="right"/>
              <w:rPr>
                <w:rFonts w:eastAsia="Times New Roman" w:cs="Arial"/>
                <w:b/>
                <w:bCs/>
                <w:color w:val="000000"/>
                <w:sz w:val="18"/>
                <w:szCs w:val="18"/>
              </w:rPr>
            </w:pPr>
            <w:r w:rsidRPr="00702C1C">
              <w:rPr>
                <w:rFonts w:eastAsia="Times New Roman" w:cs="Arial"/>
                <w:b/>
                <w:bCs/>
                <w:color w:val="000000"/>
                <w:sz w:val="18"/>
                <w:szCs w:val="18"/>
              </w:rPr>
              <w:t>0.2%</w:t>
            </w:r>
          </w:p>
        </w:tc>
      </w:tr>
    </w:tbl>
    <w:p w14:paraId="5E9C0B04" w14:textId="77777777" w:rsidR="003D40E2" w:rsidRPr="000F1B6B" w:rsidRDefault="003D40E2" w:rsidP="003D40E2">
      <w:pPr>
        <w:rPr>
          <w:rFonts w:cs="Arial"/>
          <w:highlight w:val="yellow"/>
        </w:rPr>
      </w:pPr>
    </w:p>
    <w:p w14:paraId="360310F4" w14:textId="226C4E35" w:rsidR="000D3054" w:rsidRDefault="000D3054" w:rsidP="00A56FC8">
      <w:pPr>
        <w:rPr>
          <w:rFonts w:cs="Arial"/>
        </w:rPr>
      </w:pPr>
      <w:r>
        <w:rPr>
          <w:rFonts w:cs="Arial"/>
        </w:rPr>
        <w:t>Destaca la reducci</w:t>
      </w:r>
      <w:r w:rsidR="000A44DC">
        <w:rPr>
          <w:rFonts w:cs="Arial"/>
        </w:rPr>
        <w:t>ón</w:t>
      </w:r>
      <w:r>
        <w:rPr>
          <w:rFonts w:cs="Arial"/>
        </w:rPr>
        <w:t xml:space="preserve"> </w:t>
      </w:r>
      <w:r w:rsidR="008A4F83">
        <w:rPr>
          <w:rFonts w:cs="Arial"/>
        </w:rPr>
        <w:t>presentada por e</w:t>
      </w:r>
      <w:r w:rsidR="000A44DC">
        <w:rPr>
          <w:rFonts w:cs="Arial"/>
        </w:rPr>
        <w:t>l Instituto Electoral del Estado</w:t>
      </w:r>
      <w:r>
        <w:rPr>
          <w:rFonts w:cs="Arial"/>
        </w:rPr>
        <w:t xml:space="preserve">, dado que el ejercicio fiscal 2025 no </w:t>
      </w:r>
      <w:r w:rsidR="00396E47">
        <w:rPr>
          <w:rFonts w:cs="Arial"/>
        </w:rPr>
        <w:t xml:space="preserve">es un año electoral y solo </w:t>
      </w:r>
      <w:r w:rsidR="008A4F83">
        <w:rPr>
          <w:rFonts w:cs="Arial"/>
        </w:rPr>
        <w:t>propone</w:t>
      </w:r>
      <w:r w:rsidR="009426C5">
        <w:rPr>
          <w:rFonts w:cs="Arial"/>
        </w:rPr>
        <w:t xml:space="preserve"> </w:t>
      </w:r>
      <w:r w:rsidR="00396E47">
        <w:rPr>
          <w:rFonts w:cs="Arial"/>
        </w:rPr>
        <w:t xml:space="preserve">el financiamiento público </w:t>
      </w:r>
      <w:r w:rsidR="00DA0FEF">
        <w:rPr>
          <w:rFonts w:cs="Arial"/>
        </w:rPr>
        <w:t>ordinario,</w:t>
      </w:r>
      <w:r w:rsidR="009426C5">
        <w:rPr>
          <w:rFonts w:cs="Arial"/>
        </w:rPr>
        <w:t xml:space="preserve"> así como el financiamiento a partidos políticos</w:t>
      </w:r>
      <w:r w:rsidR="00396E47">
        <w:rPr>
          <w:rFonts w:cs="Arial"/>
        </w:rPr>
        <w:t>.</w:t>
      </w:r>
    </w:p>
    <w:p w14:paraId="6CBE7596" w14:textId="77777777" w:rsidR="000D3054" w:rsidRDefault="000D3054" w:rsidP="00A56FC8">
      <w:pPr>
        <w:rPr>
          <w:rFonts w:cs="Arial"/>
        </w:rPr>
      </w:pPr>
    </w:p>
    <w:p w14:paraId="3878804B" w14:textId="1588452F" w:rsidR="00A56FC8" w:rsidRDefault="00A56FC8" w:rsidP="00A56FC8">
      <w:pPr>
        <w:rPr>
          <w:rFonts w:cs="Arial"/>
        </w:rPr>
      </w:pPr>
      <w:r>
        <w:rPr>
          <w:rFonts w:cs="Arial"/>
        </w:rPr>
        <w:t xml:space="preserve">Con </w:t>
      </w:r>
      <w:r w:rsidRPr="00A56FC8">
        <w:rPr>
          <w:rFonts w:cs="Arial"/>
        </w:rPr>
        <w:t>fundamento en lo dispuesto por el artículo 5 de la Ley de Disciplina Financiera de las Entidades Federativas y los Municipios; y artículos 17 fracción 1, numerales I, II y IV, 26 fracción 1, numeral IV, y 37 fracción 2 de la Ley de Presupuesto y Responsabilidad Hacendaria del Estado de Colima</w:t>
      </w:r>
      <w:r>
        <w:rPr>
          <w:rFonts w:cs="Arial"/>
        </w:rPr>
        <w:t>, la Titular del Poder Ejecutivo por conducto de la Secretaría de Planeación, Finanzas y Administración determinó el techo presupuestario al que deberán ajustarse los Poderes del Estado y los Órganos Autónomos en el ejercicio fiscal 2025. Se informa que</w:t>
      </w:r>
      <w:r w:rsidR="008A4F83">
        <w:rPr>
          <w:rFonts w:cs="Arial"/>
        </w:rPr>
        <w:t xml:space="preserve"> el</w:t>
      </w:r>
      <w:r w:rsidRPr="00D52E7E">
        <w:rPr>
          <w:rFonts w:cs="Arial"/>
        </w:rPr>
        <w:t xml:space="preserve"> </w:t>
      </w:r>
      <w:r w:rsidR="008D537F">
        <w:rPr>
          <w:rFonts w:cs="Arial"/>
        </w:rPr>
        <w:t>Poder Judicial del Estado de Colima (</w:t>
      </w:r>
      <w:r w:rsidR="00104DCE">
        <w:rPr>
          <w:rFonts w:cs="Arial"/>
        </w:rPr>
        <w:t xml:space="preserve">oficio número </w:t>
      </w:r>
      <w:r w:rsidR="008D537F">
        <w:rPr>
          <w:rFonts w:cs="Arial"/>
        </w:rPr>
        <w:t xml:space="preserve">324/2024), </w:t>
      </w:r>
      <w:r w:rsidR="008A4F83">
        <w:rPr>
          <w:rFonts w:cs="Arial"/>
        </w:rPr>
        <w:t>y l</w:t>
      </w:r>
      <w:r w:rsidR="008A4F83" w:rsidRPr="00D52E7E">
        <w:rPr>
          <w:rFonts w:cs="Arial"/>
        </w:rPr>
        <w:t>os órganos autónomos</w:t>
      </w:r>
      <w:r w:rsidR="008A4F83">
        <w:rPr>
          <w:rFonts w:cs="Arial"/>
        </w:rPr>
        <w:t xml:space="preserve">: </w:t>
      </w:r>
      <w:r w:rsidRPr="00D52E7E">
        <w:rPr>
          <w:rFonts w:cs="Arial"/>
        </w:rPr>
        <w:t>Instituto Electoral del Estado</w:t>
      </w:r>
      <w:r>
        <w:rPr>
          <w:rFonts w:cs="Arial"/>
        </w:rPr>
        <w:t xml:space="preserve"> (oficio número IEEC/SECG-857/2024)</w:t>
      </w:r>
      <w:r w:rsidRPr="00D52E7E">
        <w:rPr>
          <w:rFonts w:cs="Arial"/>
        </w:rPr>
        <w:t>, Instituto de Transparencia, Acceso a la Información Pública y Protección de Datos del Estado de Colima</w:t>
      </w:r>
      <w:r>
        <w:rPr>
          <w:rFonts w:cs="Arial"/>
        </w:rPr>
        <w:t xml:space="preserve"> (oficio número OCP/085/2024)</w:t>
      </w:r>
      <w:r w:rsidRPr="00D52E7E">
        <w:rPr>
          <w:rFonts w:cs="Arial"/>
        </w:rPr>
        <w:t>, Tribunal Electoral del Estado</w:t>
      </w:r>
      <w:r>
        <w:rPr>
          <w:rFonts w:cs="Arial"/>
        </w:rPr>
        <w:t xml:space="preserve"> (oficio número TEE-P-172/2024)</w:t>
      </w:r>
      <w:r w:rsidRPr="00D52E7E">
        <w:rPr>
          <w:rFonts w:cs="Arial"/>
        </w:rPr>
        <w:t xml:space="preserve">, </w:t>
      </w:r>
      <w:r w:rsidR="008A4F83">
        <w:rPr>
          <w:rFonts w:cs="Arial"/>
        </w:rPr>
        <w:t xml:space="preserve">y </w:t>
      </w:r>
      <w:r w:rsidRPr="00D52E7E">
        <w:rPr>
          <w:rFonts w:cs="Arial"/>
        </w:rPr>
        <w:t>Tribunal de Justicia Administrativa del Estado de Colima</w:t>
      </w:r>
      <w:r>
        <w:rPr>
          <w:rFonts w:cs="Arial"/>
        </w:rPr>
        <w:t xml:space="preserve"> (oficio número P-TJA-32/2024)</w:t>
      </w:r>
      <w:r w:rsidRPr="00D52E7E">
        <w:rPr>
          <w:rFonts w:cs="Arial"/>
        </w:rPr>
        <w:t>, mediante diversos documentos remitieron a este Poder Ejecutivo sus Proyectos de Presupuesto de Egresos para el Ejercicio Fiscal 2025, los cuales se turnan de maner</w:t>
      </w:r>
      <w:r w:rsidR="008A4F83">
        <w:rPr>
          <w:rFonts w:cs="Arial"/>
        </w:rPr>
        <w:t>a íntegra para su análisis a es</w:t>
      </w:r>
      <w:r w:rsidRPr="00D52E7E">
        <w:rPr>
          <w:rFonts w:cs="Arial"/>
        </w:rPr>
        <w:t>a Soberanía.</w:t>
      </w:r>
    </w:p>
    <w:p w14:paraId="501E60E8" w14:textId="53A7750B" w:rsidR="00A56FC8" w:rsidRDefault="00A56FC8" w:rsidP="003D40E2">
      <w:pPr>
        <w:rPr>
          <w:rFonts w:cs="Arial"/>
        </w:rPr>
      </w:pPr>
    </w:p>
    <w:p w14:paraId="310A3BB6" w14:textId="1A406390" w:rsidR="00A56FC8" w:rsidRPr="002A3FD6" w:rsidRDefault="00A56FC8" w:rsidP="00A56FC8">
      <w:pPr>
        <w:rPr>
          <w:rFonts w:cs="Arial"/>
        </w:rPr>
      </w:pPr>
      <w:r w:rsidRPr="002A3FD6">
        <w:rPr>
          <w:rFonts w:cs="Arial"/>
        </w:rPr>
        <w:lastRenderedPageBreak/>
        <w:t>En relación a los Poderes del Estado, el Poder Legislativo no presenta incremento alguno, la propuesta se mantiene en la misma cantidad autorizada para el ejercicio fiscal 2024. Por su parte el Poder Judicial, presenta incrementos por 10</w:t>
      </w:r>
      <w:r w:rsidR="00D24D39" w:rsidRPr="002A3FD6">
        <w:rPr>
          <w:rFonts w:cs="Arial"/>
        </w:rPr>
        <w:t>.</w:t>
      </w:r>
      <w:r w:rsidRPr="002A3FD6">
        <w:rPr>
          <w:rFonts w:cs="Arial"/>
        </w:rPr>
        <w:t>4</w:t>
      </w:r>
      <w:r w:rsidR="00D24D39" w:rsidRPr="002A3FD6">
        <w:rPr>
          <w:rFonts w:cs="Arial"/>
        </w:rPr>
        <w:t xml:space="preserve"> millones de</w:t>
      </w:r>
      <w:r w:rsidRPr="002A3FD6">
        <w:rPr>
          <w:rFonts w:cs="Arial"/>
        </w:rPr>
        <w:t xml:space="preserve"> pesos respecto al aprobado para el Ejercicio Fiscal 2024, mismo que se remite para su análisis a es</w:t>
      </w:r>
      <w:r w:rsidR="00A67BA5">
        <w:rPr>
          <w:rFonts w:cs="Arial"/>
        </w:rPr>
        <w:t>t</w:t>
      </w:r>
      <w:r w:rsidRPr="002A3FD6">
        <w:rPr>
          <w:rFonts w:cs="Arial"/>
        </w:rPr>
        <w:t xml:space="preserve">e H. Congreso del Estado. </w:t>
      </w:r>
    </w:p>
    <w:p w14:paraId="0DAE806F" w14:textId="77777777" w:rsidR="003D40E2" w:rsidRPr="002A3FD6" w:rsidRDefault="003D40E2" w:rsidP="003D40E2">
      <w:pPr>
        <w:rPr>
          <w:rFonts w:cs="Arial"/>
          <w:highlight w:val="yellow"/>
        </w:rPr>
      </w:pPr>
    </w:p>
    <w:p w14:paraId="7A81CC81" w14:textId="44EB0C00" w:rsidR="003D40E2" w:rsidRPr="002A3FD6" w:rsidRDefault="003D40E2" w:rsidP="003D40E2">
      <w:pPr>
        <w:rPr>
          <w:rFonts w:cs="Arial"/>
        </w:rPr>
      </w:pPr>
      <w:r w:rsidRPr="002A3FD6">
        <w:rPr>
          <w:rFonts w:cs="Arial"/>
        </w:rPr>
        <w:t>En lo que respecta a ayudas sociales y subsidios, para el Ejercicio Fiscal 202</w:t>
      </w:r>
      <w:r w:rsidR="00C93A6A" w:rsidRPr="002A3FD6">
        <w:rPr>
          <w:rFonts w:cs="Arial"/>
        </w:rPr>
        <w:t>5</w:t>
      </w:r>
      <w:r w:rsidRPr="002A3FD6">
        <w:rPr>
          <w:rFonts w:cs="Arial"/>
        </w:rPr>
        <w:t xml:space="preserve"> se propone mantener e incrementar el Subsidio a la Tenencia por un monto de </w:t>
      </w:r>
      <w:r w:rsidR="00A67BA5">
        <w:rPr>
          <w:rFonts w:cs="Arial"/>
        </w:rPr>
        <w:t>422.6</w:t>
      </w:r>
      <w:r w:rsidRPr="002A3FD6">
        <w:rPr>
          <w:rFonts w:cs="Arial"/>
        </w:rPr>
        <w:t xml:space="preserve"> millones de pesos, así como la continuación de</w:t>
      </w:r>
      <w:r w:rsidR="00D24D39" w:rsidRPr="002A3FD6">
        <w:rPr>
          <w:rFonts w:cs="Arial"/>
        </w:rPr>
        <w:t>l</w:t>
      </w:r>
      <w:r w:rsidRPr="002A3FD6">
        <w:rPr>
          <w:rFonts w:cs="Arial"/>
        </w:rPr>
        <w:t xml:space="preserve"> Program</w:t>
      </w:r>
      <w:r w:rsidR="00D24D39" w:rsidRPr="002A3FD6">
        <w:rPr>
          <w:rFonts w:cs="Arial"/>
        </w:rPr>
        <w:t>a</w:t>
      </w:r>
      <w:r w:rsidRPr="002A3FD6">
        <w:rPr>
          <w:rFonts w:cs="Arial"/>
        </w:rPr>
        <w:t xml:space="preserve"> </w:t>
      </w:r>
      <w:proofErr w:type="spellStart"/>
      <w:r w:rsidR="00FC1484" w:rsidRPr="002A3FD6">
        <w:rPr>
          <w:rFonts w:cs="Arial"/>
        </w:rPr>
        <w:t>Colibecas</w:t>
      </w:r>
      <w:proofErr w:type="spellEnd"/>
      <w:r w:rsidR="00FC1484" w:rsidRPr="002A3FD6">
        <w:rPr>
          <w:rFonts w:cs="Arial"/>
        </w:rPr>
        <w:t xml:space="preserve"> </w:t>
      </w:r>
      <w:r w:rsidRPr="002A3FD6">
        <w:rPr>
          <w:rFonts w:cs="Arial"/>
        </w:rPr>
        <w:t xml:space="preserve">que otorga el Gobierno del Estado por un monto de </w:t>
      </w:r>
      <w:r w:rsidR="00DB7714" w:rsidRPr="002A3FD6">
        <w:rPr>
          <w:rFonts w:cs="Arial"/>
        </w:rPr>
        <w:t>318.1</w:t>
      </w:r>
      <w:r w:rsidRPr="002A3FD6">
        <w:rPr>
          <w:rFonts w:cs="Arial"/>
        </w:rPr>
        <w:t xml:space="preserve"> millones</w:t>
      </w:r>
      <w:r w:rsidR="00A67BA5">
        <w:rPr>
          <w:rFonts w:cs="Arial"/>
        </w:rPr>
        <w:t xml:space="preserve"> de pesos, que se integra por lo</w:t>
      </w:r>
      <w:r w:rsidRPr="002A3FD6">
        <w:rPr>
          <w:rFonts w:cs="Arial"/>
        </w:rPr>
        <w:t xml:space="preserve">s siguientes </w:t>
      </w:r>
      <w:r w:rsidR="00A67BA5">
        <w:rPr>
          <w:rFonts w:cs="Arial"/>
        </w:rPr>
        <w:t>programas</w:t>
      </w:r>
      <w:r w:rsidRPr="002A3FD6">
        <w:rPr>
          <w:rFonts w:cs="Arial"/>
        </w:rPr>
        <w:t>:</w:t>
      </w:r>
    </w:p>
    <w:p w14:paraId="608F7B2E" w14:textId="77777777" w:rsidR="003D40E2" w:rsidRPr="002A3FD6" w:rsidRDefault="003D40E2" w:rsidP="003D40E2">
      <w:pPr>
        <w:rPr>
          <w:rFonts w:cs="Arial"/>
          <w:highlight w:val="yellow"/>
        </w:rPr>
      </w:pPr>
    </w:p>
    <w:tbl>
      <w:tblPr>
        <w:tblStyle w:val="Tablaconcuadrcula"/>
        <w:tblW w:w="0" w:type="auto"/>
        <w:jc w:val="center"/>
        <w:tblLayout w:type="fixed"/>
        <w:tblLook w:val="04A0" w:firstRow="1" w:lastRow="0" w:firstColumn="1" w:lastColumn="0" w:noHBand="0" w:noVBand="1"/>
      </w:tblPr>
      <w:tblGrid>
        <w:gridCol w:w="6658"/>
        <w:gridCol w:w="1417"/>
      </w:tblGrid>
      <w:tr w:rsidR="00DB7714" w:rsidRPr="00702C1C" w14:paraId="601DD83C" w14:textId="77777777" w:rsidTr="00702C1C">
        <w:trPr>
          <w:trHeight w:val="170"/>
          <w:jc w:val="center"/>
        </w:trPr>
        <w:tc>
          <w:tcPr>
            <w:tcW w:w="6658" w:type="dxa"/>
            <w:shd w:val="clear" w:color="auto" w:fill="D9D9D9" w:themeFill="background1" w:themeFillShade="D9"/>
            <w:noWrap/>
            <w:vAlign w:val="center"/>
          </w:tcPr>
          <w:p w14:paraId="7B757989" w14:textId="24B82BD9" w:rsidR="00DB7714" w:rsidRPr="00702C1C" w:rsidRDefault="00DB7714" w:rsidP="00A04566">
            <w:pPr>
              <w:jc w:val="center"/>
              <w:rPr>
                <w:rFonts w:cs="Arial"/>
                <w:b/>
                <w:bCs/>
                <w:sz w:val="20"/>
                <w:szCs w:val="20"/>
              </w:rPr>
            </w:pPr>
            <w:r w:rsidRPr="00702C1C">
              <w:rPr>
                <w:rFonts w:cs="Arial"/>
                <w:b/>
                <w:bCs/>
                <w:sz w:val="20"/>
                <w:szCs w:val="20"/>
              </w:rPr>
              <w:t>Concepto</w:t>
            </w:r>
          </w:p>
        </w:tc>
        <w:tc>
          <w:tcPr>
            <w:tcW w:w="1417" w:type="dxa"/>
            <w:shd w:val="clear" w:color="auto" w:fill="D9D9D9" w:themeFill="background1" w:themeFillShade="D9"/>
            <w:noWrap/>
            <w:vAlign w:val="center"/>
          </w:tcPr>
          <w:p w14:paraId="64C47733" w14:textId="77777777" w:rsidR="00DB7714" w:rsidRPr="00702C1C" w:rsidRDefault="00DB7714" w:rsidP="00A04566">
            <w:pPr>
              <w:jc w:val="center"/>
              <w:rPr>
                <w:rFonts w:cs="Arial"/>
                <w:b/>
                <w:bCs/>
                <w:sz w:val="20"/>
                <w:szCs w:val="20"/>
              </w:rPr>
            </w:pPr>
            <w:r w:rsidRPr="00702C1C">
              <w:rPr>
                <w:rFonts w:cs="Arial"/>
                <w:b/>
                <w:bCs/>
                <w:sz w:val="20"/>
                <w:szCs w:val="20"/>
              </w:rPr>
              <w:t>Monto</w:t>
            </w:r>
          </w:p>
        </w:tc>
      </w:tr>
      <w:tr w:rsidR="00DB7714" w:rsidRPr="00702C1C" w14:paraId="4FB7E9FD" w14:textId="77777777" w:rsidTr="00702C1C">
        <w:trPr>
          <w:trHeight w:val="170"/>
          <w:jc w:val="center"/>
        </w:trPr>
        <w:tc>
          <w:tcPr>
            <w:tcW w:w="6658" w:type="dxa"/>
            <w:noWrap/>
            <w:vAlign w:val="bottom"/>
          </w:tcPr>
          <w:p w14:paraId="373F5EE7" w14:textId="6B15C2A1" w:rsidR="00DB7714" w:rsidRPr="00702C1C" w:rsidRDefault="00DB7714" w:rsidP="00DB7714">
            <w:pPr>
              <w:jc w:val="left"/>
              <w:rPr>
                <w:rFonts w:cs="Arial"/>
                <w:color w:val="000000"/>
                <w:sz w:val="20"/>
                <w:szCs w:val="20"/>
              </w:rPr>
            </w:pPr>
            <w:r w:rsidRPr="00702C1C">
              <w:rPr>
                <w:rFonts w:cs="Arial"/>
                <w:color w:val="000000"/>
                <w:sz w:val="20"/>
                <w:szCs w:val="20"/>
              </w:rPr>
              <w:t>Programa Entrega de Mochilas y Útiles a Alumnos de Educación Básica</w:t>
            </w:r>
          </w:p>
        </w:tc>
        <w:tc>
          <w:tcPr>
            <w:tcW w:w="1417" w:type="dxa"/>
            <w:noWrap/>
          </w:tcPr>
          <w:p w14:paraId="15288D0D" w14:textId="485CBF8E" w:rsidR="00DB7714" w:rsidRPr="00702C1C" w:rsidRDefault="00DB7714" w:rsidP="00DB7714">
            <w:pPr>
              <w:jc w:val="right"/>
              <w:rPr>
                <w:rFonts w:cs="Arial"/>
                <w:sz w:val="20"/>
                <w:szCs w:val="20"/>
              </w:rPr>
            </w:pPr>
            <w:r w:rsidRPr="00702C1C">
              <w:rPr>
                <w:sz w:val="20"/>
                <w:szCs w:val="20"/>
              </w:rPr>
              <w:t xml:space="preserve"> 15,138,505 </w:t>
            </w:r>
          </w:p>
        </w:tc>
      </w:tr>
      <w:tr w:rsidR="00DB7714" w:rsidRPr="00702C1C" w14:paraId="6EDE5E0C" w14:textId="77777777" w:rsidTr="00702C1C">
        <w:trPr>
          <w:trHeight w:val="170"/>
          <w:jc w:val="center"/>
        </w:trPr>
        <w:tc>
          <w:tcPr>
            <w:tcW w:w="6658" w:type="dxa"/>
            <w:noWrap/>
            <w:vAlign w:val="bottom"/>
          </w:tcPr>
          <w:p w14:paraId="73FD6789" w14:textId="13E0CFD9" w:rsidR="00DB7714" w:rsidRPr="00702C1C" w:rsidRDefault="00DB7714" w:rsidP="00DB7714">
            <w:pPr>
              <w:jc w:val="left"/>
              <w:rPr>
                <w:rFonts w:cs="Arial"/>
                <w:sz w:val="20"/>
                <w:szCs w:val="20"/>
              </w:rPr>
            </w:pPr>
            <w:r w:rsidRPr="00702C1C">
              <w:rPr>
                <w:rFonts w:cs="Arial"/>
                <w:color w:val="000000"/>
                <w:sz w:val="20"/>
                <w:szCs w:val="20"/>
              </w:rPr>
              <w:t>Entrega de Laptops a Estudiantes de Secundaria</w:t>
            </w:r>
          </w:p>
        </w:tc>
        <w:tc>
          <w:tcPr>
            <w:tcW w:w="1417" w:type="dxa"/>
            <w:noWrap/>
          </w:tcPr>
          <w:p w14:paraId="5B79E8A1" w14:textId="292D828E" w:rsidR="00DB7714" w:rsidRPr="00702C1C" w:rsidRDefault="00DB7714" w:rsidP="00DB7714">
            <w:pPr>
              <w:jc w:val="right"/>
              <w:rPr>
                <w:rFonts w:cs="Arial"/>
                <w:sz w:val="20"/>
                <w:szCs w:val="20"/>
              </w:rPr>
            </w:pPr>
            <w:r w:rsidRPr="00702C1C">
              <w:rPr>
                <w:sz w:val="20"/>
                <w:szCs w:val="20"/>
              </w:rPr>
              <w:t xml:space="preserve"> 90,506,061 </w:t>
            </w:r>
          </w:p>
        </w:tc>
      </w:tr>
      <w:tr w:rsidR="00DB7714" w:rsidRPr="00702C1C" w14:paraId="03DE1245" w14:textId="77777777" w:rsidTr="00702C1C">
        <w:trPr>
          <w:trHeight w:val="170"/>
          <w:jc w:val="center"/>
        </w:trPr>
        <w:tc>
          <w:tcPr>
            <w:tcW w:w="6658" w:type="dxa"/>
            <w:noWrap/>
            <w:vAlign w:val="bottom"/>
          </w:tcPr>
          <w:p w14:paraId="63CAF256" w14:textId="34D576C3" w:rsidR="00DB7714" w:rsidRPr="00702C1C" w:rsidRDefault="00DB7714" w:rsidP="00DB7714">
            <w:pPr>
              <w:jc w:val="left"/>
              <w:rPr>
                <w:rFonts w:cs="Arial"/>
                <w:sz w:val="20"/>
                <w:szCs w:val="20"/>
              </w:rPr>
            </w:pPr>
            <w:r w:rsidRPr="00702C1C">
              <w:rPr>
                <w:rFonts w:cs="Arial"/>
                <w:color w:val="000000"/>
                <w:sz w:val="20"/>
                <w:szCs w:val="20"/>
              </w:rPr>
              <w:t>Entrega de Laptops Estudiantes de Nivel Superior</w:t>
            </w:r>
          </w:p>
        </w:tc>
        <w:tc>
          <w:tcPr>
            <w:tcW w:w="1417" w:type="dxa"/>
            <w:noWrap/>
          </w:tcPr>
          <w:p w14:paraId="7BBFB05E" w14:textId="51F63E80" w:rsidR="00DB7714" w:rsidRPr="00702C1C" w:rsidRDefault="00DB7714" w:rsidP="00DB7714">
            <w:pPr>
              <w:jc w:val="right"/>
              <w:rPr>
                <w:rFonts w:cs="Arial"/>
                <w:sz w:val="20"/>
                <w:szCs w:val="20"/>
              </w:rPr>
            </w:pPr>
            <w:r w:rsidRPr="00702C1C">
              <w:rPr>
                <w:sz w:val="20"/>
                <w:szCs w:val="20"/>
              </w:rPr>
              <w:t xml:space="preserve"> 50,506,061 </w:t>
            </w:r>
          </w:p>
        </w:tc>
      </w:tr>
      <w:tr w:rsidR="00DB7714" w:rsidRPr="00702C1C" w14:paraId="3B9A4F88" w14:textId="77777777" w:rsidTr="00702C1C">
        <w:trPr>
          <w:trHeight w:val="170"/>
          <w:jc w:val="center"/>
        </w:trPr>
        <w:tc>
          <w:tcPr>
            <w:tcW w:w="6658" w:type="dxa"/>
            <w:noWrap/>
            <w:vAlign w:val="bottom"/>
          </w:tcPr>
          <w:p w14:paraId="796F87F3" w14:textId="5482C403" w:rsidR="00DB7714" w:rsidRPr="00702C1C" w:rsidRDefault="00DB7714" w:rsidP="00DB7714">
            <w:pPr>
              <w:jc w:val="left"/>
              <w:rPr>
                <w:rFonts w:cs="Arial"/>
                <w:sz w:val="20"/>
                <w:szCs w:val="20"/>
              </w:rPr>
            </w:pPr>
            <w:r w:rsidRPr="00702C1C">
              <w:rPr>
                <w:rFonts w:cs="Arial"/>
                <w:color w:val="000000"/>
                <w:sz w:val="20"/>
                <w:szCs w:val="20"/>
              </w:rPr>
              <w:t>Programa de Uniformes Escolares Preescolar, Primaria y Secundaria</w:t>
            </w:r>
          </w:p>
        </w:tc>
        <w:tc>
          <w:tcPr>
            <w:tcW w:w="1417" w:type="dxa"/>
            <w:noWrap/>
          </w:tcPr>
          <w:p w14:paraId="46BF7FE5" w14:textId="6EC8A830" w:rsidR="00DB7714" w:rsidRPr="00702C1C" w:rsidRDefault="00DB7714" w:rsidP="00DB7714">
            <w:pPr>
              <w:jc w:val="right"/>
              <w:rPr>
                <w:rFonts w:cs="Arial"/>
                <w:sz w:val="20"/>
                <w:szCs w:val="20"/>
              </w:rPr>
            </w:pPr>
            <w:r w:rsidRPr="00702C1C">
              <w:rPr>
                <w:sz w:val="20"/>
                <w:szCs w:val="20"/>
              </w:rPr>
              <w:t xml:space="preserve"> 29,088,733 </w:t>
            </w:r>
          </w:p>
        </w:tc>
      </w:tr>
      <w:tr w:rsidR="00DB7714" w:rsidRPr="00702C1C" w14:paraId="7FB545CF" w14:textId="77777777" w:rsidTr="00702C1C">
        <w:trPr>
          <w:trHeight w:val="170"/>
          <w:jc w:val="center"/>
        </w:trPr>
        <w:tc>
          <w:tcPr>
            <w:tcW w:w="6658" w:type="dxa"/>
            <w:noWrap/>
            <w:vAlign w:val="bottom"/>
          </w:tcPr>
          <w:p w14:paraId="29E9D7FE" w14:textId="0CE31726" w:rsidR="00DB7714" w:rsidRPr="00702C1C" w:rsidRDefault="00DB7714" w:rsidP="00DB7714">
            <w:pPr>
              <w:jc w:val="left"/>
              <w:rPr>
                <w:rFonts w:cs="Arial"/>
                <w:sz w:val="20"/>
                <w:szCs w:val="20"/>
              </w:rPr>
            </w:pPr>
            <w:r w:rsidRPr="00702C1C">
              <w:rPr>
                <w:rFonts w:cs="Arial"/>
                <w:color w:val="000000"/>
                <w:sz w:val="20"/>
                <w:szCs w:val="20"/>
              </w:rPr>
              <w:t>Beca Económica para Estudiantes de Preescolar y Primaria</w:t>
            </w:r>
          </w:p>
        </w:tc>
        <w:tc>
          <w:tcPr>
            <w:tcW w:w="1417" w:type="dxa"/>
            <w:noWrap/>
          </w:tcPr>
          <w:p w14:paraId="0B0FFEF9" w14:textId="22E924A9" w:rsidR="00DB7714" w:rsidRPr="00702C1C" w:rsidRDefault="00DB7714" w:rsidP="00DB7714">
            <w:pPr>
              <w:jc w:val="right"/>
              <w:rPr>
                <w:rFonts w:cs="Arial"/>
                <w:sz w:val="20"/>
                <w:szCs w:val="20"/>
              </w:rPr>
            </w:pPr>
            <w:r w:rsidRPr="00702C1C">
              <w:rPr>
                <w:sz w:val="20"/>
                <w:szCs w:val="20"/>
              </w:rPr>
              <w:t xml:space="preserve"> 130,888,000 </w:t>
            </w:r>
          </w:p>
        </w:tc>
      </w:tr>
      <w:tr w:rsidR="00DB7714" w:rsidRPr="00702C1C" w14:paraId="76ECD2EF" w14:textId="77777777" w:rsidTr="00702C1C">
        <w:trPr>
          <w:trHeight w:val="170"/>
          <w:jc w:val="center"/>
        </w:trPr>
        <w:tc>
          <w:tcPr>
            <w:tcW w:w="6658" w:type="dxa"/>
            <w:noWrap/>
            <w:vAlign w:val="bottom"/>
          </w:tcPr>
          <w:p w14:paraId="2A3E6588" w14:textId="1C934A3E" w:rsidR="00DB7714" w:rsidRPr="00702C1C" w:rsidRDefault="00DB7714" w:rsidP="00DB7714">
            <w:pPr>
              <w:jc w:val="left"/>
              <w:rPr>
                <w:rFonts w:cs="Arial"/>
                <w:color w:val="000000"/>
                <w:sz w:val="20"/>
                <w:szCs w:val="20"/>
              </w:rPr>
            </w:pPr>
            <w:r w:rsidRPr="00702C1C">
              <w:rPr>
                <w:rFonts w:cs="Arial"/>
                <w:color w:val="000000"/>
                <w:sz w:val="20"/>
                <w:szCs w:val="20"/>
              </w:rPr>
              <w:t>Programa Beca de Transporte Escolar</w:t>
            </w:r>
          </w:p>
        </w:tc>
        <w:tc>
          <w:tcPr>
            <w:tcW w:w="1417" w:type="dxa"/>
            <w:noWrap/>
          </w:tcPr>
          <w:p w14:paraId="36C9CDE6" w14:textId="65303E89" w:rsidR="00DB7714" w:rsidRPr="00702C1C" w:rsidRDefault="00DB7714" w:rsidP="00DB7714">
            <w:pPr>
              <w:jc w:val="right"/>
              <w:rPr>
                <w:rFonts w:cs="Arial"/>
                <w:sz w:val="20"/>
                <w:szCs w:val="20"/>
              </w:rPr>
            </w:pPr>
            <w:r w:rsidRPr="00702C1C">
              <w:rPr>
                <w:sz w:val="20"/>
                <w:szCs w:val="20"/>
              </w:rPr>
              <w:t xml:space="preserve"> 2,000,000 </w:t>
            </w:r>
          </w:p>
        </w:tc>
      </w:tr>
      <w:tr w:rsidR="00DB7714" w:rsidRPr="00702C1C" w14:paraId="651509FC" w14:textId="77777777" w:rsidTr="00702C1C">
        <w:trPr>
          <w:trHeight w:val="170"/>
          <w:jc w:val="center"/>
        </w:trPr>
        <w:tc>
          <w:tcPr>
            <w:tcW w:w="6658" w:type="dxa"/>
            <w:noWrap/>
            <w:vAlign w:val="center"/>
          </w:tcPr>
          <w:p w14:paraId="68440E9B" w14:textId="1B389854" w:rsidR="00DB7714" w:rsidRPr="00702C1C" w:rsidRDefault="00DB7714" w:rsidP="00A04566">
            <w:pPr>
              <w:jc w:val="center"/>
              <w:rPr>
                <w:rFonts w:cs="Arial"/>
                <w:b/>
                <w:bCs/>
                <w:sz w:val="20"/>
                <w:szCs w:val="20"/>
              </w:rPr>
            </w:pPr>
            <w:r w:rsidRPr="00702C1C">
              <w:rPr>
                <w:rFonts w:cs="Arial"/>
                <w:b/>
                <w:bCs/>
                <w:sz w:val="20"/>
                <w:szCs w:val="20"/>
              </w:rPr>
              <w:t>Total</w:t>
            </w:r>
          </w:p>
        </w:tc>
        <w:tc>
          <w:tcPr>
            <w:tcW w:w="1417" w:type="dxa"/>
            <w:noWrap/>
            <w:vAlign w:val="center"/>
          </w:tcPr>
          <w:p w14:paraId="15F14C9E" w14:textId="65D079D1" w:rsidR="00DB7714" w:rsidRPr="00702C1C" w:rsidRDefault="00DB7714" w:rsidP="00A04566">
            <w:pPr>
              <w:jc w:val="right"/>
              <w:rPr>
                <w:rFonts w:cs="Arial"/>
                <w:b/>
                <w:bCs/>
                <w:sz w:val="20"/>
                <w:szCs w:val="20"/>
              </w:rPr>
            </w:pPr>
            <w:r w:rsidRPr="00702C1C">
              <w:rPr>
                <w:rFonts w:cs="Arial"/>
                <w:b/>
                <w:bCs/>
                <w:sz w:val="20"/>
                <w:szCs w:val="20"/>
              </w:rPr>
              <w:t>318,127,360</w:t>
            </w:r>
          </w:p>
        </w:tc>
      </w:tr>
    </w:tbl>
    <w:p w14:paraId="732CF869" w14:textId="77777777" w:rsidR="003D40E2" w:rsidRPr="000F1B6B" w:rsidRDefault="003D40E2" w:rsidP="003D40E2">
      <w:pPr>
        <w:rPr>
          <w:rFonts w:cs="Arial"/>
          <w:highlight w:val="yellow"/>
        </w:rPr>
      </w:pPr>
    </w:p>
    <w:p w14:paraId="1F42DB9E" w14:textId="60C0D381" w:rsidR="003D40E2" w:rsidRPr="002A3FD6" w:rsidRDefault="003D40E2" w:rsidP="003D40E2">
      <w:pPr>
        <w:rPr>
          <w:rFonts w:cs="Arial"/>
        </w:rPr>
      </w:pPr>
      <w:r w:rsidRPr="002A3FD6">
        <w:rPr>
          <w:rFonts w:cs="Arial"/>
        </w:rPr>
        <w:t>Adicionalmente y con coparticipación del 50 por ciento con cargo a recursos de libre disposición d</w:t>
      </w:r>
      <w:r w:rsidR="008A6CD1">
        <w:rPr>
          <w:rFonts w:cs="Arial"/>
        </w:rPr>
        <w:t xml:space="preserve">el Estado, se propone mantener </w:t>
      </w:r>
      <w:r w:rsidRPr="00FC1484">
        <w:rPr>
          <w:rFonts w:cs="Arial"/>
        </w:rPr>
        <w:t>l</w:t>
      </w:r>
      <w:r w:rsidR="008A6CD1" w:rsidRPr="00FC1484">
        <w:rPr>
          <w:rFonts w:cs="Arial"/>
        </w:rPr>
        <w:t>a</w:t>
      </w:r>
      <w:r w:rsidRPr="00FC1484">
        <w:rPr>
          <w:rFonts w:cs="Arial"/>
        </w:rPr>
        <w:t xml:space="preserve"> </w:t>
      </w:r>
      <w:r w:rsidR="008A6CD1" w:rsidRPr="00FC1484">
        <w:rPr>
          <w:rFonts w:cs="Arial"/>
        </w:rPr>
        <w:t>Pensión para el Bienestar de las Personas con Discapacidad Permanente</w:t>
      </w:r>
      <w:r w:rsidR="00A67BA5" w:rsidRPr="00FC1484">
        <w:rPr>
          <w:rFonts w:cs="Arial"/>
        </w:rPr>
        <w:t>,</w:t>
      </w:r>
      <w:r w:rsidRPr="00FC1484">
        <w:rPr>
          <w:rFonts w:cs="Arial"/>
        </w:rPr>
        <w:t xml:space="preserve"> </w:t>
      </w:r>
      <w:r w:rsidRPr="002A3FD6">
        <w:rPr>
          <w:rFonts w:cs="Arial"/>
        </w:rPr>
        <w:t>mismo que representa una asignación global de 7</w:t>
      </w:r>
      <w:r w:rsidR="00F70045" w:rsidRPr="002A3FD6">
        <w:rPr>
          <w:rFonts w:cs="Arial"/>
        </w:rPr>
        <w:t>4,344,200</w:t>
      </w:r>
      <w:r w:rsidRPr="002A3FD6">
        <w:rPr>
          <w:rFonts w:cs="Arial"/>
        </w:rPr>
        <w:t xml:space="preserve"> pesos. </w:t>
      </w:r>
    </w:p>
    <w:p w14:paraId="62EFFF75" w14:textId="77777777" w:rsidR="003D40E2" w:rsidRPr="000F1B6B" w:rsidRDefault="003D40E2" w:rsidP="003D40E2">
      <w:pPr>
        <w:rPr>
          <w:rFonts w:cs="Arial"/>
          <w:highlight w:val="yellow"/>
        </w:rPr>
      </w:pPr>
    </w:p>
    <w:p w14:paraId="2C281B26" w14:textId="137ED716" w:rsidR="003D40E2" w:rsidRDefault="003D40E2" w:rsidP="003D40E2">
      <w:pPr>
        <w:rPr>
          <w:rFonts w:cs="Arial"/>
        </w:rPr>
      </w:pPr>
      <w:r w:rsidRPr="002A3FD6">
        <w:rPr>
          <w:rFonts w:cs="Arial"/>
        </w:rPr>
        <w:t xml:space="preserve">En un firme compromiso con la educación, la presente Administración por </w:t>
      </w:r>
      <w:r w:rsidR="0049470C">
        <w:rPr>
          <w:rFonts w:cs="Arial"/>
        </w:rPr>
        <w:t>cuarto</w:t>
      </w:r>
      <w:r w:rsidRPr="002A3FD6">
        <w:rPr>
          <w:rFonts w:cs="Arial"/>
        </w:rPr>
        <w:t xml:space="preserve"> año consecutivo propone asignar la totalidad de los recursos convenidos con la Universidad de Colima, integrado por </w:t>
      </w:r>
      <w:r w:rsidR="00D24D39" w:rsidRPr="002A3FD6">
        <w:rPr>
          <w:rFonts w:cs="Arial"/>
        </w:rPr>
        <w:t>550</w:t>
      </w:r>
      <w:r w:rsidR="00E17DC7" w:rsidRPr="002A3FD6">
        <w:rPr>
          <w:rFonts w:cs="Arial"/>
        </w:rPr>
        <w:t xml:space="preserve"> </w:t>
      </w:r>
      <w:r w:rsidRPr="002A3FD6">
        <w:rPr>
          <w:rFonts w:cs="Arial"/>
        </w:rPr>
        <w:t xml:space="preserve">millones de pesos de Aportación Estatal y </w:t>
      </w:r>
      <w:r w:rsidR="00E17DC7" w:rsidRPr="002A3FD6">
        <w:rPr>
          <w:rFonts w:cs="Arial"/>
        </w:rPr>
        <w:t>1,989</w:t>
      </w:r>
      <w:r w:rsidR="00D24D39" w:rsidRPr="002A3FD6">
        <w:rPr>
          <w:rFonts w:cs="Arial"/>
        </w:rPr>
        <w:t>.</w:t>
      </w:r>
      <w:r w:rsidR="00E17DC7" w:rsidRPr="002A3FD6">
        <w:rPr>
          <w:rFonts w:cs="Arial"/>
        </w:rPr>
        <w:t>1</w:t>
      </w:r>
      <w:r w:rsidR="00D24D39" w:rsidRPr="002A3FD6">
        <w:rPr>
          <w:rFonts w:cs="Arial"/>
        </w:rPr>
        <w:t xml:space="preserve"> </w:t>
      </w:r>
      <w:r w:rsidRPr="002A3FD6">
        <w:rPr>
          <w:rFonts w:cs="Arial"/>
        </w:rPr>
        <w:t>millones de pesos de</w:t>
      </w:r>
      <w:r w:rsidR="0081073A" w:rsidRPr="002A3FD6">
        <w:rPr>
          <w:rFonts w:cs="Arial"/>
        </w:rPr>
        <w:t>l</w:t>
      </w:r>
      <w:r w:rsidRPr="002A3FD6">
        <w:rPr>
          <w:rFonts w:cs="Arial"/>
        </w:rPr>
        <w:t xml:space="preserve"> </w:t>
      </w:r>
      <w:r w:rsidR="00E17DC7" w:rsidRPr="002A3FD6">
        <w:rPr>
          <w:rFonts w:cs="Arial"/>
        </w:rPr>
        <w:t xml:space="preserve">Subsidio Federal Ordinario; así como </w:t>
      </w:r>
      <w:r w:rsidR="009426C5">
        <w:rPr>
          <w:rFonts w:cs="Arial"/>
        </w:rPr>
        <w:t>21.0</w:t>
      </w:r>
      <w:r w:rsidR="00D24D39" w:rsidRPr="002A3FD6">
        <w:rPr>
          <w:rFonts w:cs="Arial"/>
        </w:rPr>
        <w:t xml:space="preserve"> millones de pesos</w:t>
      </w:r>
      <w:r w:rsidR="00E17DC7" w:rsidRPr="002A3FD6">
        <w:rPr>
          <w:rFonts w:cs="Arial"/>
        </w:rPr>
        <w:t xml:space="preserve"> del Fondo de Aportaciones Múltiples. En total la </w:t>
      </w:r>
      <w:r w:rsidRPr="002A3FD6">
        <w:rPr>
          <w:rFonts w:cs="Arial"/>
        </w:rPr>
        <w:t>Universidad de Colima para el Ejercicio Fiscal 202</w:t>
      </w:r>
      <w:r w:rsidR="007C24B4" w:rsidRPr="002A3FD6">
        <w:rPr>
          <w:rFonts w:cs="Arial"/>
        </w:rPr>
        <w:t>5</w:t>
      </w:r>
      <w:r w:rsidR="00E17DC7" w:rsidRPr="002A3FD6">
        <w:rPr>
          <w:rFonts w:cs="Arial"/>
        </w:rPr>
        <w:t xml:space="preserve"> recibirá de </w:t>
      </w:r>
      <w:r w:rsidR="00D24D39" w:rsidRPr="002A3FD6">
        <w:rPr>
          <w:rFonts w:cs="Arial"/>
        </w:rPr>
        <w:t>2,560.1 millones de pesos</w:t>
      </w:r>
      <w:r w:rsidR="00E17DC7" w:rsidRPr="002A3FD6">
        <w:rPr>
          <w:rFonts w:cs="Arial"/>
        </w:rPr>
        <w:t>.</w:t>
      </w:r>
    </w:p>
    <w:p w14:paraId="040E1C0C" w14:textId="2C569C8D" w:rsidR="00B72E0F" w:rsidRDefault="00B72E0F" w:rsidP="003D40E2">
      <w:pPr>
        <w:rPr>
          <w:rFonts w:cs="Arial"/>
        </w:rPr>
      </w:pPr>
    </w:p>
    <w:p w14:paraId="254C1434" w14:textId="6D898D16" w:rsidR="00B72E0F" w:rsidRPr="002A3FD6" w:rsidRDefault="00B72E0F" w:rsidP="00B72E0F">
      <w:pPr>
        <w:rPr>
          <w:rFonts w:cs="Arial"/>
        </w:rPr>
      </w:pPr>
      <w:r w:rsidRPr="0049165D">
        <w:rPr>
          <w:rFonts w:cs="Arial"/>
        </w:rPr>
        <w:t xml:space="preserve">En lo relacionado con obra pública, se presupuesta un importe de 401,328,829 pesos, lo que representa 236.6 millones de pesos adicionales a lo </w:t>
      </w:r>
      <w:r w:rsidR="0049165D" w:rsidRPr="0049165D">
        <w:rPr>
          <w:rFonts w:cs="Arial"/>
        </w:rPr>
        <w:t>autorizado</w:t>
      </w:r>
      <w:r w:rsidRPr="0049165D">
        <w:rPr>
          <w:rFonts w:cs="Arial"/>
        </w:rPr>
        <w:t xml:space="preserve"> para el ejercicio fiscal 2024, un importe histórico al ser 85 por ciento recursos de libre disposición </w:t>
      </w:r>
      <w:r w:rsidR="0049165D" w:rsidRPr="0049165D">
        <w:rPr>
          <w:rFonts w:cs="Arial"/>
        </w:rPr>
        <w:t>y que se verán reflejados en beneficios directos a los ciudadanos</w:t>
      </w:r>
      <w:r w:rsidRPr="0049165D">
        <w:rPr>
          <w:rFonts w:cs="Arial"/>
        </w:rPr>
        <w:t xml:space="preserve">, </w:t>
      </w:r>
      <w:r w:rsidR="0049165D" w:rsidRPr="0049165D">
        <w:rPr>
          <w:rFonts w:cs="Arial"/>
        </w:rPr>
        <w:t xml:space="preserve">de los cuales </w:t>
      </w:r>
      <w:r w:rsidRPr="0049165D">
        <w:rPr>
          <w:rFonts w:cs="Arial"/>
        </w:rPr>
        <w:t xml:space="preserve">322.9 millones de pesos </w:t>
      </w:r>
      <w:r w:rsidR="0049165D" w:rsidRPr="0049165D">
        <w:rPr>
          <w:rFonts w:cs="Arial"/>
        </w:rPr>
        <w:t>provienen</w:t>
      </w:r>
      <w:r w:rsidRPr="0049165D">
        <w:rPr>
          <w:rFonts w:cs="Arial"/>
        </w:rPr>
        <w:t xml:space="preserve"> como contraprestación del Contrato de Asociación Público Privada No. SEIDUM-PAPP-001/2024, para la prestación del Servicio de Disponibilidad carretera denominado “</w:t>
      </w:r>
      <w:r w:rsidRPr="00FC1484">
        <w:rPr>
          <w:rFonts w:cs="Arial"/>
          <w:i/>
          <w:iCs/>
        </w:rPr>
        <w:t>Autopista Colima-Armería</w:t>
      </w:r>
      <w:r w:rsidRPr="0049165D">
        <w:rPr>
          <w:rFonts w:cs="Arial"/>
        </w:rPr>
        <w:t>” y del Contrato de Asociación Público Privada No. SEIDUM-PAPP-001/2023, para la prestación del Servicio de Disponibilidad en el proyecto carretero denominado “</w:t>
      </w:r>
      <w:proofErr w:type="spellStart"/>
      <w:r w:rsidRPr="00FC1484">
        <w:rPr>
          <w:rFonts w:cs="Arial"/>
          <w:i/>
          <w:iCs/>
        </w:rPr>
        <w:t>Macrolibramiento</w:t>
      </w:r>
      <w:proofErr w:type="spellEnd"/>
      <w:r w:rsidRPr="00FC1484">
        <w:rPr>
          <w:rFonts w:cs="Arial"/>
          <w:i/>
          <w:iCs/>
        </w:rPr>
        <w:t xml:space="preserve"> Sur de Colima</w:t>
      </w:r>
      <w:r w:rsidRPr="0049165D">
        <w:rPr>
          <w:rFonts w:cs="Arial"/>
        </w:rPr>
        <w:t>”.</w:t>
      </w:r>
    </w:p>
    <w:p w14:paraId="19A64D02" w14:textId="77777777" w:rsidR="003D40E2" w:rsidRPr="000F1B6B" w:rsidRDefault="003D40E2" w:rsidP="003D40E2">
      <w:pPr>
        <w:rPr>
          <w:rFonts w:cs="Arial"/>
          <w:highlight w:val="yellow"/>
        </w:rPr>
      </w:pPr>
    </w:p>
    <w:p w14:paraId="1BE51527" w14:textId="77BEA30C" w:rsidR="003D40E2" w:rsidRDefault="003D40E2" w:rsidP="003D40E2">
      <w:pPr>
        <w:rPr>
          <w:rFonts w:cs="Arial"/>
        </w:rPr>
      </w:pPr>
      <w:r w:rsidRPr="00D24D39">
        <w:rPr>
          <w:rFonts w:cs="Arial"/>
        </w:rPr>
        <w:lastRenderedPageBreak/>
        <w:t>Para finalizar, se propone una asignación de 15</w:t>
      </w:r>
      <w:r w:rsidR="0049470C">
        <w:rPr>
          <w:rFonts w:cs="Arial"/>
        </w:rPr>
        <w:t>7</w:t>
      </w:r>
      <w:r w:rsidRPr="00D24D39">
        <w:rPr>
          <w:rFonts w:cs="Arial"/>
        </w:rPr>
        <w:t>.</w:t>
      </w:r>
      <w:r w:rsidR="0049470C">
        <w:rPr>
          <w:rFonts w:cs="Arial"/>
        </w:rPr>
        <w:t>4</w:t>
      </w:r>
      <w:r w:rsidRPr="00D24D39">
        <w:rPr>
          <w:rFonts w:cs="Arial"/>
        </w:rPr>
        <w:t xml:space="preserve"> millones de pesos para el pago de Adeudos de Ejercicios Fiscales Anteriores, con los cuales se pretende se genere una disminución en las cuentas por pagar a corto plazo, de la misma forma, se presupuestan</w:t>
      </w:r>
      <w:r w:rsidR="00AF4EE8" w:rsidRPr="00D24D39">
        <w:rPr>
          <w:rFonts w:cs="Arial"/>
        </w:rPr>
        <w:t xml:space="preserve"> </w:t>
      </w:r>
      <w:r w:rsidR="00D24D39">
        <w:rPr>
          <w:rFonts w:cs="Arial"/>
        </w:rPr>
        <w:t xml:space="preserve">763.4 </w:t>
      </w:r>
      <w:r w:rsidRPr="00D24D39">
        <w:rPr>
          <w:rFonts w:cs="Arial"/>
        </w:rPr>
        <w:t xml:space="preserve">millones de pesos para el pago de la Deuda Pública Estatal. </w:t>
      </w:r>
    </w:p>
    <w:p w14:paraId="67820788" w14:textId="77777777" w:rsidR="009E37EE" w:rsidRPr="00D24D39" w:rsidRDefault="009E37EE" w:rsidP="003D40E2">
      <w:pPr>
        <w:rPr>
          <w:rFonts w:cs="Arial"/>
        </w:rPr>
      </w:pPr>
    </w:p>
    <w:p w14:paraId="66FBE3EB" w14:textId="36370A18" w:rsidR="003D40E2" w:rsidRPr="00D24D39" w:rsidRDefault="00660866" w:rsidP="003D40E2">
      <w:pPr>
        <w:rPr>
          <w:rFonts w:cs="Arial"/>
        </w:rPr>
      </w:pPr>
      <w:r w:rsidRPr="00864072">
        <w:rPr>
          <w:rFonts w:cs="Arial"/>
        </w:rPr>
        <w:t>D</w:t>
      </w:r>
      <w:r w:rsidR="003D40E2" w:rsidRPr="00864072">
        <w:rPr>
          <w:rFonts w:cs="Arial"/>
        </w:rPr>
        <w:t>urante el Ejercicio Fiscal 202</w:t>
      </w:r>
      <w:r w:rsidR="007C24B4" w:rsidRPr="00864072">
        <w:rPr>
          <w:rFonts w:cs="Arial"/>
        </w:rPr>
        <w:t>5</w:t>
      </w:r>
      <w:r w:rsidR="00E560A3">
        <w:rPr>
          <w:rFonts w:cs="Arial"/>
        </w:rPr>
        <w:t xml:space="preserve">, en menor cantidad respecto al año anterior, pero se continua con la necesidad de la contratación de </w:t>
      </w:r>
      <w:r w:rsidRPr="00864072">
        <w:rPr>
          <w:rFonts w:cs="Arial"/>
        </w:rPr>
        <w:t xml:space="preserve">financiamientos internos a corto plazo, </w:t>
      </w:r>
      <w:r w:rsidR="00E560A3">
        <w:rPr>
          <w:rFonts w:cs="Arial"/>
        </w:rPr>
        <w:t xml:space="preserve">mismos que serán utilizados en </w:t>
      </w:r>
      <w:r w:rsidR="00AC1945">
        <w:rPr>
          <w:rFonts w:cs="Arial"/>
        </w:rPr>
        <w:t>insuficiencias</w:t>
      </w:r>
      <w:r w:rsidRPr="00864072">
        <w:rPr>
          <w:rFonts w:cs="Arial"/>
        </w:rPr>
        <w:t xml:space="preserve"> internas de liquidez </w:t>
      </w:r>
      <w:r w:rsidR="00E560A3">
        <w:rPr>
          <w:rFonts w:cs="Arial"/>
        </w:rPr>
        <w:t>de a</w:t>
      </w:r>
      <w:r w:rsidRPr="00864072">
        <w:rPr>
          <w:rFonts w:cs="Arial"/>
        </w:rPr>
        <w:t xml:space="preserve">cuerdo a </w:t>
      </w:r>
      <w:r w:rsidR="003D40E2" w:rsidRPr="00864072">
        <w:rPr>
          <w:rFonts w:cs="Arial"/>
        </w:rPr>
        <w:t>los parámetros establecidos por la Ley de Disciplina Financiera de las Entidades Federativas y los Municipios, así como la Ley de Presupuesto y Responsabilidad Hacendaria del Estado de Colima y la Ley de Deuda Pública del Estado de Colima y sus Mun</w:t>
      </w:r>
      <w:r w:rsidR="002A6C54" w:rsidRPr="00864072">
        <w:rPr>
          <w:rFonts w:cs="Arial"/>
        </w:rPr>
        <w:t>icipios para un Endeudamiento</w:t>
      </w:r>
      <w:r w:rsidR="003D40E2" w:rsidRPr="00864072">
        <w:rPr>
          <w:rFonts w:cs="Arial"/>
        </w:rPr>
        <w:t xml:space="preserve"> </w:t>
      </w:r>
      <w:r w:rsidR="0049470C" w:rsidRPr="00864072">
        <w:rPr>
          <w:rFonts w:cs="Arial"/>
        </w:rPr>
        <w:t>Sostenible</w:t>
      </w:r>
      <w:r w:rsidR="003D40E2" w:rsidRPr="00864072">
        <w:rPr>
          <w:rFonts w:cs="Arial"/>
        </w:rPr>
        <w:t>.</w:t>
      </w:r>
      <w:r w:rsidR="003D40E2" w:rsidRPr="00D24D39">
        <w:rPr>
          <w:rFonts w:cs="Arial"/>
        </w:rPr>
        <w:t xml:space="preserve"> </w:t>
      </w:r>
    </w:p>
    <w:p w14:paraId="6863953F" w14:textId="77777777" w:rsidR="003D40E2" w:rsidRPr="00D24D39" w:rsidRDefault="003D40E2" w:rsidP="003D40E2">
      <w:pPr>
        <w:rPr>
          <w:rFonts w:cs="Arial"/>
          <w:highlight w:val="yellow"/>
        </w:rPr>
      </w:pPr>
    </w:p>
    <w:p w14:paraId="6ACC4423" w14:textId="77777777" w:rsidR="00524825" w:rsidRDefault="003D40E2" w:rsidP="003D40E2">
      <w:pPr>
        <w:rPr>
          <w:rFonts w:cs="Arial"/>
        </w:rPr>
      </w:pPr>
      <w:r w:rsidRPr="00DE1F25">
        <w:rPr>
          <w:rFonts w:cs="Arial"/>
        </w:rPr>
        <w:t xml:space="preserve">De esta forma, en los grandes agregados del gasto en relación a su propósito u objetivos socioeconómicos que persiguen los diferentes entes públicos, mostrando los objetivos generales de las políticas públicas y los recursos económicos que se propone asignar para alcanzar estos. </w:t>
      </w:r>
    </w:p>
    <w:p w14:paraId="058C6D52" w14:textId="77777777" w:rsidR="00524825" w:rsidRDefault="00524825" w:rsidP="003D40E2">
      <w:pPr>
        <w:rPr>
          <w:rFonts w:cs="Arial"/>
        </w:rPr>
      </w:pPr>
    </w:p>
    <w:p w14:paraId="4F617AC9" w14:textId="2E1DA536" w:rsidR="003D40E2" w:rsidRPr="00DE1F25" w:rsidRDefault="003D40E2" w:rsidP="003D40E2">
      <w:pPr>
        <w:rPr>
          <w:rFonts w:cs="Arial"/>
        </w:rPr>
      </w:pPr>
      <w:r w:rsidRPr="00DE1F25">
        <w:rPr>
          <w:rFonts w:cs="Arial"/>
        </w:rPr>
        <w:t xml:space="preserve">En la función de </w:t>
      </w:r>
      <w:r w:rsidRPr="00524825">
        <w:rPr>
          <w:rFonts w:cs="Arial"/>
          <w:b/>
          <w:bCs/>
        </w:rPr>
        <w:t>Gobierno</w:t>
      </w:r>
      <w:r w:rsidRPr="00DE1F25">
        <w:rPr>
          <w:rFonts w:cs="Arial"/>
        </w:rPr>
        <w:t xml:space="preserve"> el crecimiento que se propone es de un </w:t>
      </w:r>
      <w:r w:rsidR="00DE1F25" w:rsidRPr="00DE1F25">
        <w:rPr>
          <w:rFonts w:cs="Arial"/>
        </w:rPr>
        <w:t>3.1</w:t>
      </w:r>
      <w:r w:rsidRPr="00DE1F25">
        <w:rPr>
          <w:rFonts w:cs="Arial"/>
        </w:rPr>
        <w:t xml:space="preserve"> por ciento, sustentado principalmente por mayores asignaciones a los asuntos de orden público y seguridad interior en cerca de </w:t>
      </w:r>
      <w:r w:rsidR="00DE1F25" w:rsidRPr="00DE1F25">
        <w:rPr>
          <w:rFonts w:cs="Arial"/>
        </w:rPr>
        <w:t>40</w:t>
      </w:r>
      <w:r w:rsidR="0095089D" w:rsidRPr="00DE1F25">
        <w:rPr>
          <w:rFonts w:cs="Arial"/>
        </w:rPr>
        <w:t>.0</w:t>
      </w:r>
      <w:r w:rsidRPr="00DE1F25">
        <w:rPr>
          <w:rFonts w:cs="Arial"/>
        </w:rPr>
        <w:t xml:space="preserve"> millones de pesos respecto al Ejercicio Fiscal 202</w:t>
      </w:r>
      <w:r w:rsidR="007C24B4" w:rsidRPr="00DE1F25">
        <w:rPr>
          <w:rFonts w:cs="Arial"/>
        </w:rPr>
        <w:t>4</w:t>
      </w:r>
      <w:r w:rsidRPr="00DE1F25">
        <w:rPr>
          <w:rFonts w:cs="Arial"/>
        </w:rPr>
        <w:t xml:space="preserve">, Justicia con </w:t>
      </w:r>
      <w:r w:rsidR="00DE1F25" w:rsidRPr="00DE1F25">
        <w:rPr>
          <w:rFonts w:cs="Arial"/>
        </w:rPr>
        <w:t>54.7</w:t>
      </w:r>
      <w:r w:rsidRPr="00DE1F25">
        <w:rPr>
          <w:rFonts w:cs="Arial"/>
        </w:rPr>
        <w:t xml:space="preserve"> millones de pesos adicionales</w:t>
      </w:r>
      <w:r w:rsidR="00DE1F25" w:rsidRPr="00DE1F25">
        <w:rPr>
          <w:rFonts w:cs="Arial"/>
        </w:rPr>
        <w:t>, es importante destacar que el ejercicio fiscal 2025 de conformidad con la legislación electoral no se considera año elector</w:t>
      </w:r>
      <w:r w:rsidR="00FE0466">
        <w:rPr>
          <w:rFonts w:cs="Arial"/>
        </w:rPr>
        <w:t>al, por lo que solo se contempla</w:t>
      </w:r>
      <w:r w:rsidR="00DE1F25" w:rsidRPr="00DE1F25">
        <w:rPr>
          <w:rFonts w:cs="Arial"/>
        </w:rPr>
        <w:t xml:space="preserve"> el financiamiento público ordinario a los organismos autónomos electorales, razón de ello es que e</w:t>
      </w:r>
      <w:r w:rsidR="009426C5">
        <w:rPr>
          <w:rFonts w:cs="Arial"/>
        </w:rPr>
        <w:t>n la función</w:t>
      </w:r>
      <w:r w:rsidR="00DE1F25" w:rsidRPr="00DE1F25">
        <w:rPr>
          <w:rFonts w:cs="Arial"/>
        </w:rPr>
        <w:t xml:space="preserve"> de </w:t>
      </w:r>
      <w:r w:rsidRPr="00DE1F25">
        <w:rPr>
          <w:rFonts w:cs="Arial"/>
        </w:rPr>
        <w:t xml:space="preserve">Coordinación de la Política de Gobierno </w:t>
      </w:r>
      <w:r w:rsidR="00DE1F25" w:rsidRPr="00DE1F25">
        <w:rPr>
          <w:rFonts w:cs="Arial"/>
        </w:rPr>
        <w:t xml:space="preserve"> presenta una disminución de 65.7</w:t>
      </w:r>
      <w:r w:rsidRPr="00DE1F25">
        <w:rPr>
          <w:rFonts w:cs="Arial"/>
          <w:color w:val="FF0000"/>
        </w:rPr>
        <w:t xml:space="preserve"> </w:t>
      </w:r>
      <w:r w:rsidR="008A6CD1">
        <w:rPr>
          <w:rFonts w:cs="Arial"/>
        </w:rPr>
        <w:t>millones de pesos</w:t>
      </w:r>
      <w:r w:rsidR="00DE1F25" w:rsidRPr="00DE1F25">
        <w:rPr>
          <w:rFonts w:cs="Arial"/>
        </w:rPr>
        <w:t>.</w:t>
      </w:r>
    </w:p>
    <w:p w14:paraId="69B0563F" w14:textId="77777777" w:rsidR="003D40E2" w:rsidRPr="000F1B6B" w:rsidRDefault="003D40E2" w:rsidP="003D40E2">
      <w:pPr>
        <w:rPr>
          <w:rFonts w:cs="Arial"/>
          <w:highlight w:val="yellow"/>
        </w:rPr>
      </w:pPr>
    </w:p>
    <w:p w14:paraId="2CE997F0" w14:textId="53726FE3" w:rsidR="003D40E2" w:rsidRPr="00524825" w:rsidRDefault="003D40E2" w:rsidP="003D40E2">
      <w:pPr>
        <w:rPr>
          <w:rFonts w:cs="Arial"/>
        </w:rPr>
      </w:pPr>
      <w:r w:rsidRPr="00524825">
        <w:rPr>
          <w:rFonts w:cs="Arial"/>
        </w:rPr>
        <w:t xml:space="preserve">Por su parte, el gasto que tiene como finalidad el </w:t>
      </w:r>
      <w:r w:rsidRPr="00524825">
        <w:rPr>
          <w:rFonts w:cs="Arial"/>
          <w:b/>
          <w:bCs/>
        </w:rPr>
        <w:t>Desarrollo Social</w:t>
      </w:r>
      <w:r w:rsidRPr="00524825">
        <w:rPr>
          <w:rFonts w:cs="Arial"/>
        </w:rPr>
        <w:t xml:space="preserve"> incrementa en un </w:t>
      </w:r>
      <w:r w:rsidR="00524825" w:rsidRPr="00524825">
        <w:rPr>
          <w:rFonts w:cs="Arial"/>
        </w:rPr>
        <w:t>2.7</w:t>
      </w:r>
      <w:r w:rsidRPr="00524825">
        <w:rPr>
          <w:rFonts w:cs="Arial"/>
        </w:rPr>
        <w:t xml:space="preserve"> por ciento, al interior</w:t>
      </w:r>
      <w:r w:rsidR="00FE0466">
        <w:rPr>
          <w:rFonts w:cs="Arial"/>
        </w:rPr>
        <w:t>,</w:t>
      </w:r>
      <w:r w:rsidRPr="00524825">
        <w:rPr>
          <w:rFonts w:cs="Arial"/>
        </w:rPr>
        <w:t xml:space="preserve"> los rubros que presentan los mayores incrementos son Educación con </w:t>
      </w:r>
      <w:r w:rsidR="00524825" w:rsidRPr="00524825">
        <w:rPr>
          <w:rFonts w:cs="Arial"/>
        </w:rPr>
        <w:t>218.4</w:t>
      </w:r>
      <w:r w:rsidRPr="00524825">
        <w:rPr>
          <w:rFonts w:cs="Arial"/>
        </w:rPr>
        <w:t xml:space="preserve"> millones de pesos adicionales a los autorizados para el Ejercicio Fiscal 202</w:t>
      </w:r>
      <w:r w:rsidR="007C24B4" w:rsidRPr="00524825">
        <w:rPr>
          <w:rFonts w:cs="Arial"/>
        </w:rPr>
        <w:t>4</w:t>
      </w:r>
      <w:r w:rsidRPr="00524825">
        <w:rPr>
          <w:rFonts w:cs="Arial"/>
        </w:rPr>
        <w:t xml:space="preserve">, Protección Social con una variación de </w:t>
      </w:r>
      <w:r w:rsidR="00524825" w:rsidRPr="00524825">
        <w:rPr>
          <w:rFonts w:cs="Arial"/>
        </w:rPr>
        <w:t xml:space="preserve">100.0 </w:t>
      </w:r>
      <w:r w:rsidRPr="00524825">
        <w:rPr>
          <w:rFonts w:cs="Arial"/>
        </w:rPr>
        <w:t>millones de pesos</w:t>
      </w:r>
      <w:r w:rsidR="00FE0466">
        <w:rPr>
          <w:rFonts w:cs="Arial"/>
        </w:rPr>
        <w:t xml:space="preserve"> y Edad A</w:t>
      </w:r>
      <w:r w:rsidR="00181875">
        <w:rPr>
          <w:rFonts w:cs="Arial"/>
        </w:rPr>
        <w:t xml:space="preserve">vanzada con 116.1 millones de pesos función que representa el pago de Pensionados y Jubilados. </w:t>
      </w:r>
    </w:p>
    <w:p w14:paraId="18769EFE" w14:textId="77777777" w:rsidR="003D40E2" w:rsidRPr="0049165D" w:rsidRDefault="003D40E2" w:rsidP="003D40E2">
      <w:pPr>
        <w:rPr>
          <w:rFonts w:cs="Arial"/>
        </w:rPr>
      </w:pPr>
    </w:p>
    <w:p w14:paraId="646FDDAB" w14:textId="1278CB13" w:rsidR="00B72E0F" w:rsidRPr="0049165D" w:rsidRDefault="00B72E0F" w:rsidP="00B72E0F">
      <w:pPr>
        <w:rPr>
          <w:rFonts w:cs="Arial"/>
        </w:rPr>
      </w:pPr>
      <w:r w:rsidRPr="0049165D">
        <w:rPr>
          <w:rFonts w:cs="Arial"/>
        </w:rPr>
        <w:t xml:space="preserve">Referente al gasto cuyo destino es el </w:t>
      </w:r>
      <w:r w:rsidRPr="0049165D">
        <w:rPr>
          <w:rFonts w:cs="Arial"/>
          <w:b/>
          <w:bCs/>
        </w:rPr>
        <w:t>Desarrollo Económico</w:t>
      </w:r>
      <w:r w:rsidRPr="0049165D">
        <w:rPr>
          <w:rFonts w:cs="Arial"/>
        </w:rPr>
        <w:t>, se incrementa en un 90.7 por ciento, respecto al año anterior, destacan el crecimiento en 25.8 por ciento el presupuesto destinado al Turismo, 16</w:t>
      </w:r>
      <w:r w:rsidR="008A6CD1">
        <w:rPr>
          <w:rFonts w:cs="Arial"/>
        </w:rPr>
        <w:t>.0</w:t>
      </w:r>
      <w:r w:rsidRPr="0049165D">
        <w:rPr>
          <w:rFonts w:cs="Arial"/>
        </w:rPr>
        <w:t xml:space="preserve"> por ciento lo relacionado a Acuacultura, Pesca y Caza</w:t>
      </w:r>
      <w:r w:rsidR="0049165D" w:rsidRPr="0049165D">
        <w:rPr>
          <w:rFonts w:cs="Arial"/>
        </w:rPr>
        <w:t>,</w:t>
      </w:r>
      <w:r w:rsidRPr="0049165D">
        <w:rPr>
          <w:rFonts w:cs="Arial"/>
        </w:rPr>
        <w:t xml:space="preserve"> en un 14</w:t>
      </w:r>
      <w:r w:rsidR="008A6CD1">
        <w:rPr>
          <w:rFonts w:cs="Arial"/>
        </w:rPr>
        <w:t>.0</w:t>
      </w:r>
      <w:r w:rsidRPr="0049165D">
        <w:rPr>
          <w:rFonts w:cs="Arial"/>
        </w:rPr>
        <w:t xml:space="preserve"> por ciento lo tocante con Silvicultura y 322.9 millones de pesos destinados a Transporte por Carretera.</w:t>
      </w:r>
    </w:p>
    <w:p w14:paraId="3297CD74" w14:textId="77777777" w:rsidR="00B72E0F" w:rsidRPr="0049165D" w:rsidRDefault="00B72E0F" w:rsidP="00B72E0F">
      <w:pPr>
        <w:rPr>
          <w:rFonts w:cs="Arial"/>
        </w:rPr>
      </w:pPr>
    </w:p>
    <w:p w14:paraId="04B1ADF1" w14:textId="77777777" w:rsidR="00B72E0F" w:rsidRPr="00FD181E" w:rsidRDefault="00B72E0F" w:rsidP="00B72E0F">
      <w:pPr>
        <w:rPr>
          <w:rFonts w:cs="Arial"/>
        </w:rPr>
      </w:pPr>
      <w:r w:rsidRPr="00FD181E">
        <w:rPr>
          <w:rFonts w:cs="Arial"/>
        </w:rPr>
        <w:t xml:space="preserve">Las </w:t>
      </w:r>
      <w:r w:rsidRPr="00FD181E">
        <w:rPr>
          <w:rFonts w:cs="Arial"/>
          <w:b/>
          <w:bCs/>
        </w:rPr>
        <w:t>Transferencias, Participaciones, y Aportaciones entre Diferentes Niveles y Ordenes</w:t>
      </w:r>
      <w:r w:rsidRPr="00FD181E">
        <w:rPr>
          <w:rFonts w:cs="Arial"/>
        </w:rPr>
        <w:t xml:space="preserve"> de Gobierno incrementan en un 3.6 por ciento, lo que representa 75.4 millones de pesos. </w:t>
      </w:r>
    </w:p>
    <w:p w14:paraId="2863133A" w14:textId="631979C8" w:rsidR="00B72E0F" w:rsidRPr="00D726A8" w:rsidRDefault="00B72E0F" w:rsidP="00B72E0F">
      <w:pPr>
        <w:rPr>
          <w:rFonts w:cs="Arial"/>
        </w:rPr>
      </w:pPr>
      <w:r w:rsidRPr="0049165D">
        <w:rPr>
          <w:rFonts w:cs="Arial"/>
        </w:rPr>
        <w:lastRenderedPageBreak/>
        <w:t xml:space="preserve">Es así que el </w:t>
      </w:r>
      <w:r w:rsidRPr="0049165D">
        <w:rPr>
          <w:rFonts w:cs="Arial"/>
          <w:b/>
          <w:bCs/>
        </w:rPr>
        <w:t>Proyecto de Presupuesto de Egresos del Estado de Colima para el Ejercicio Fiscal 2025</w:t>
      </w:r>
      <w:r w:rsidRPr="0049165D">
        <w:rPr>
          <w:rFonts w:cs="Arial"/>
        </w:rPr>
        <w:t xml:space="preserve">, que se somete a la consideración del H. Congreso del Estado de Colima, asciende a </w:t>
      </w:r>
      <w:r w:rsidRPr="0049165D">
        <w:rPr>
          <w:rFonts w:cs="Arial"/>
          <w:b/>
          <w:bCs/>
          <w:lang w:val="es-ES"/>
        </w:rPr>
        <w:t>23,004,130,279 pesos,</w:t>
      </w:r>
      <w:r w:rsidRPr="0049165D">
        <w:rPr>
          <w:rFonts w:cs="Arial"/>
        </w:rPr>
        <w:t xml:space="preserve"> cifra que refleja las necesidades y compromisos de gasto público de todo el aparato gubernamental del Estado de Colima y que es, en términos nominales, </w:t>
      </w:r>
      <w:r w:rsidRPr="0049165D">
        <w:rPr>
          <w:rFonts w:cs="Arial"/>
          <w:b/>
          <w:bCs/>
        </w:rPr>
        <w:t>4.6</w:t>
      </w:r>
      <w:r w:rsidRPr="0049165D">
        <w:rPr>
          <w:rFonts w:cs="Arial"/>
          <w:color w:val="FF0000"/>
        </w:rPr>
        <w:t xml:space="preserve"> </w:t>
      </w:r>
      <w:r w:rsidRPr="0049165D">
        <w:rPr>
          <w:rFonts w:cs="Arial"/>
        </w:rPr>
        <w:t>por ciento mayor al aprobado para el Ejercicio Fiscal 2024.</w:t>
      </w:r>
    </w:p>
    <w:p w14:paraId="4D8ADB53" w14:textId="2A080F29" w:rsidR="00ED09E4" w:rsidRDefault="00ED09E4" w:rsidP="003D40E2">
      <w:pPr>
        <w:spacing w:after="160" w:line="259" w:lineRule="auto"/>
        <w:jc w:val="left"/>
        <w:rPr>
          <w:rFonts w:cs="Arial"/>
          <w:b/>
          <w:bCs/>
        </w:rPr>
      </w:pPr>
    </w:p>
    <w:p w14:paraId="123A569D" w14:textId="77777777" w:rsidR="00702C1C" w:rsidRDefault="00702C1C" w:rsidP="003D40E2">
      <w:pPr>
        <w:spacing w:after="160" w:line="259" w:lineRule="auto"/>
        <w:jc w:val="left"/>
        <w:rPr>
          <w:rFonts w:cs="Arial"/>
          <w:b/>
          <w:bCs/>
        </w:rPr>
      </w:pPr>
    </w:p>
    <w:p w14:paraId="189AEA5D" w14:textId="77777777" w:rsidR="003D40E2" w:rsidRPr="00516AFF" w:rsidRDefault="003D40E2" w:rsidP="003D40E2">
      <w:pPr>
        <w:pStyle w:val="Ttulo1"/>
        <w:rPr>
          <w:rFonts w:cs="Arial"/>
        </w:rPr>
      </w:pPr>
      <w:r w:rsidRPr="00516AFF">
        <w:rPr>
          <w:rFonts w:cs="Arial"/>
        </w:rPr>
        <w:t>2. MARCO PLURIANUAL</w:t>
      </w:r>
    </w:p>
    <w:p w14:paraId="0A1DAC02" w14:textId="77777777" w:rsidR="003D40E2" w:rsidRPr="00516AFF" w:rsidRDefault="003D40E2" w:rsidP="003D40E2">
      <w:pPr>
        <w:rPr>
          <w:rFonts w:cs="Arial"/>
        </w:rPr>
      </w:pPr>
    </w:p>
    <w:p w14:paraId="2F5C8160" w14:textId="77777777" w:rsidR="003D40E2" w:rsidRPr="00516AFF" w:rsidRDefault="003D40E2" w:rsidP="003D40E2">
      <w:pPr>
        <w:rPr>
          <w:rFonts w:cs="Arial"/>
        </w:rPr>
      </w:pPr>
      <w:r w:rsidRPr="00516AFF">
        <w:rPr>
          <w:rFonts w:cs="Arial"/>
        </w:rPr>
        <w:t xml:space="preserve">En atención a lo dispuesto por el artículo 5 de la Ley de Disciplina Financiera de las Entidades Federativas y los Municipios, se presenta la siguiente información. </w:t>
      </w:r>
    </w:p>
    <w:p w14:paraId="0ADBFFA4" w14:textId="77777777" w:rsidR="003D40E2" w:rsidRPr="00516AFF" w:rsidRDefault="003D40E2" w:rsidP="003D40E2">
      <w:pPr>
        <w:rPr>
          <w:rFonts w:cs="Arial"/>
        </w:rPr>
      </w:pPr>
    </w:p>
    <w:p w14:paraId="34EB0029" w14:textId="640A62C2" w:rsidR="003D40E2" w:rsidRPr="00516AFF" w:rsidRDefault="003D40E2" w:rsidP="003D40E2">
      <w:pPr>
        <w:pStyle w:val="Ttulo2"/>
        <w:rPr>
          <w:rFonts w:cs="Arial"/>
        </w:rPr>
      </w:pPr>
      <w:r w:rsidRPr="00516AFF">
        <w:rPr>
          <w:rFonts w:cs="Arial"/>
        </w:rPr>
        <w:t>2.I. Objetivos anuales, estrategias y metas</w:t>
      </w:r>
      <w:r w:rsidR="0095089D">
        <w:rPr>
          <w:rFonts w:cs="Arial"/>
          <w:vertAlign w:val="superscript"/>
        </w:rPr>
        <w:t>1/</w:t>
      </w:r>
      <w:r w:rsidRPr="00516AFF">
        <w:rPr>
          <w:rFonts w:cs="Arial"/>
        </w:rPr>
        <w:t>.</w:t>
      </w:r>
    </w:p>
    <w:p w14:paraId="3671E69C" w14:textId="77777777" w:rsidR="003D40E2" w:rsidRPr="009B253C" w:rsidRDefault="003D40E2" w:rsidP="003D40E2">
      <w:pPr>
        <w:rPr>
          <w:rFonts w:cs="Arial"/>
          <w:sz w:val="16"/>
          <w:szCs w:val="16"/>
        </w:rPr>
      </w:pPr>
    </w:p>
    <w:tbl>
      <w:tblPr>
        <w:tblStyle w:val="Tablaconcuadrcula"/>
        <w:tblW w:w="8815" w:type="dxa"/>
        <w:tblLayout w:type="fixed"/>
        <w:tblLook w:val="04A0" w:firstRow="1" w:lastRow="0" w:firstColumn="1" w:lastColumn="0" w:noHBand="0" w:noVBand="1"/>
      </w:tblPr>
      <w:tblGrid>
        <w:gridCol w:w="3823"/>
        <w:gridCol w:w="4992"/>
      </w:tblGrid>
      <w:tr w:rsidR="004071CA" w:rsidRPr="00FB3D74" w14:paraId="0253CF57" w14:textId="77777777" w:rsidTr="00942E95">
        <w:trPr>
          <w:trHeight w:val="20"/>
        </w:trPr>
        <w:tc>
          <w:tcPr>
            <w:tcW w:w="3823" w:type="dxa"/>
            <w:shd w:val="clear" w:color="auto" w:fill="F2F2F2" w:themeFill="background1" w:themeFillShade="F2"/>
            <w:vAlign w:val="center"/>
          </w:tcPr>
          <w:p w14:paraId="111FCB94" w14:textId="0BE20782"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0BD19528" w14:textId="4EB4DF29" w:rsidR="004071CA" w:rsidRPr="00FB3D74" w:rsidRDefault="004071CA" w:rsidP="00942E95">
            <w:pPr>
              <w:rPr>
                <w:rFonts w:cs="Arial"/>
                <w:b/>
                <w:bCs/>
                <w:sz w:val="16"/>
                <w:szCs w:val="16"/>
              </w:rPr>
            </w:pPr>
            <w:r w:rsidRPr="00FB3D74">
              <w:rPr>
                <w:rFonts w:cs="Arial"/>
                <w:b/>
                <w:bCs/>
                <w:sz w:val="16"/>
                <w:szCs w:val="16"/>
              </w:rPr>
              <w:t>2</w:t>
            </w:r>
            <w:r w:rsidR="00942E95" w:rsidRPr="00FB3D74">
              <w:rPr>
                <w:rFonts w:cs="Arial"/>
                <w:b/>
                <w:bCs/>
                <w:sz w:val="16"/>
                <w:szCs w:val="16"/>
              </w:rPr>
              <w:t>.</w:t>
            </w:r>
          </w:p>
        </w:tc>
      </w:tr>
      <w:tr w:rsidR="004071CA" w:rsidRPr="00FB3D74" w14:paraId="3FB4A7B5" w14:textId="77777777" w:rsidTr="00942E95">
        <w:trPr>
          <w:trHeight w:val="20"/>
        </w:trPr>
        <w:tc>
          <w:tcPr>
            <w:tcW w:w="3823" w:type="dxa"/>
            <w:shd w:val="clear" w:color="auto" w:fill="F2F2F2" w:themeFill="background1" w:themeFillShade="F2"/>
            <w:vAlign w:val="center"/>
          </w:tcPr>
          <w:p w14:paraId="6445EBBC" w14:textId="7946B102"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69716ECD" w14:textId="77777777" w:rsidR="004071CA" w:rsidRPr="00FB3D74" w:rsidRDefault="004071CA" w:rsidP="00942E95">
            <w:pPr>
              <w:rPr>
                <w:rFonts w:cs="Arial"/>
                <w:b/>
                <w:bCs/>
                <w:sz w:val="16"/>
                <w:szCs w:val="16"/>
              </w:rPr>
            </w:pPr>
            <w:r w:rsidRPr="00FB3D74">
              <w:rPr>
                <w:rFonts w:cs="Arial"/>
                <w:b/>
                <w:bCs/>
                <w:sz w:val="16"/>
                <w:szCs w:val="16"/>
              </w:rPr>
              <w:t>Secretaría de Salud.</w:t>
            </w:r>
          </w:p>
        </w:tc>
      </w:tr>
      <w:tr w:rsidR="004071CA" w:rsidRPr="00FB3D74" w14:paraId="1F09AA20" w14:textId="77777777" w:rsidTr="00942E95">
        <w:trPr>
          <w:trHeight w:val="20"/>
        </w:trPr>
        <w:tc>
          <w:tcPr>
            <w:tcW w:w="3823" w:type="dxa"/>
            <w:shd w:val="clear" w:color="auto" w:fill="F2F2F2" w:themeFill="background1" w:themeFillShade="F2"/>
            <w:vAlign w:val="center"/>
          </w:tcPr>
          <w:p w14:paraId="1092A08D" w14:textId="28018F11"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6425F3DF" w14:textId="54D6BA62" w:rsidR="004071CA" w:rsidRPr="00FB3D74" w:rsidRDefault="004071CA" w:rsidP="00942E95">
            <w:pPr>
              <w:rPr>
                <w:rFonts w:cs="Arial"/>
                <w:b/>
                <w:bCs/>
                <w:sz w:val="16"/>
                <w:szCs w:val="16"/>
              </w:rPr>
            </w:pPr>
            <w:r w:rsidRPr="00FB3D74">
              <w:rPr>
                <w:rFonts w:cs="Arial"/>
                <w:sz w:val="16"/>
                <w:szCs w:val="16"/>
              </w:rPr>
              <w:t>La población no derechohabiente de</w:t>
            </w:r>
            <w:r w:rsidR="00FB3D74">
              <w:rPr>
                <w:rFonts w:cs="Arial"/>
                <w:sz w:val="16"/>
                <w:szCs w:val="16"/>
              </w:rPr>
              <w:t xml:space="preserve">l Estado de </w:t>
            </w:r>
            <w:r w:rsidRPr="00FB3D74">
              <w:rPr>
                <w:rFonts w:cs="Arial"/>
                <w:sz w:val="16"/>
                <w:szCs w:val="16"/>
              </w:rPr>
              <w:t xml:space="preserve">Colima recibe servicios de salud adecuados, accesibles, oportunos y suficientes. </w:t>
            </w:r>
          </w:p>
        </w:tc>
      </w:tr>
      <w:tr w:rsidR="004071CA" w:rsidRPr="00FB3D74" w14:paraId="17BBD8C7" w14:textId="77777777" w:rsidTr="00942E95">
        <w:trPr>
          <w:trHeight w:val="20"/>
        </w:trPr>
        <w:tc>
          <w:tcPr>
            <w:tcW w:w="3823" w:type="dxa"/>
            <w:shd w:val="clear" w:color="auto" w:fill="F2F2F2" w:themeFill="background1" w:themeFillShade="F2"/>
            <w:vAlign w:val="center"/>
          </w:tcPr>
          <w:p w14:paraId="50D0479E"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615868DD"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12640EF0" w14:textId="77777777" w:rsidTr="00942E95">
        <w:trPr>
          <w:trHeight w:val="20"/>
        </w:trPr>
        <w:tc>
          <w:tcPr>
            <w:tcW w:w="3823" w:type="dxa"/>
            <w:vMerge w:val="restart"/>
            <w:vAlign w:val="center"/>
            <w:hideMark/>
          </w:tcPr>
          <w:p w14:paraId="1C7812C0" w14:textId="77777777" w:rsidR="004071CA" w:rsidRPr="00FB3D74" w:rsidRDefault="004071CA" w:rsidP="00942E95">
            <w:pPr>
              <w:rPr>
                <w:rFonts w:cs="Arial"/>
                <w:sz w:val="16"/>
                <w:szCs w:val="16"/>
              </w:rPr>
            </w:pPr>
            <w:r w:rsidRPr="00FB3D74">
              <w:rPr>
                <w:rFonts w:cs="Arial"/>
                <w:sz w:val="16"/>
                <w:szCs w:val="16"/>
              </w:rPr>
              <w:t>Prevención y promoción de la salud calificada.</w:t>
            </w:r>
          </w:p>
        </w:tc>
        <w:tc>
          <w:tcPr>
            <w:tcW w:w="4992" w:type="dxa"/>
            <w:vAlign w:val="center"/>
            <w:hideMark/>
          </w:tcPr>
          <w:p w14:paraId="45741C07" w14:textId="77777777" w:rsidR="004071CA" w:rsidRPr="00FB3D74" w:rsidRDefault="004071CA" w:rsidP="00942E95">
            <w:pPr>
              <w:ind w:left="33" w:hanging="33"/>
              <w:rPr>
                <w:rFonts w:cs="Arial"/>
                <w:sz w:val="16"/>
                <w:szCs w:val="16"/>
              </w:rPr>
            </w:pPr>
            <w:r w:rsidRPr="00FB3D74">
              <w:rPr>
                <w:rFonts w:cs="Arial"/>
                <w:sz w:val="16"/>
                <w:szCs w:val="16"/>
              </w:rPr>
              <w:t>Mantener en 29.3 por ciento la mortalidad materna en mujeres sin seguridad social.</w:t>
            </w:r>
          </w:p>
        </w:tc>
      </w:tr>
      <w:tr w:rsidR="004071CA" w:rsidRPr="00FB3D74" w14:paraId="078DBE31" w14:textId="77777777" w:rsidTr="00942E95">
        <w:trPr>
          <w:trHeight w:val="20"/>
        </w:trPr>
        <w:tc>
          <w:tcPr>
            <w:tcW w:w="3823" w:type="dxa"/>
            <w:vMerge/>
            <w:vAlign w:val="center"/>
            <w:hideMark/>
          </w:tcPr>
          <w:p w14:paraId="239DD139" w14:textId="77777777" w:rsidR="004071CA" w:rsidRPr="00FB3D74" w:rsidRDefault="004071CA" w:rsidP="00942E95">
            <w:pPr>
              <w:rPr>
                <w:rFonts w:cs="Arial"/>
                <w:sz w:val="16"/>
                <w:szCs w:val="16"/>
              </w:rPr>
            </w:pPr>
          </w:p>
        </w:tc>
        <w:tc>
          <w:tcPr>
            <w:tcW w:w="4992" w:type="dxa"/>
            <w:vAlign w:val="center"/>
            <w:hideMark/>
          </w:tcPr>
          <w:p w14:paraId="78704ED8" w14:textId="77777777" w:rsidR="004071CA" w:rsidRPr="00FB3D74" w:rsidRDefault="004071CA" w:rsidP="00942E95">
            <w:pPr>
              <w:rPr>
                <w:rFonts w:cs="Arial"/>
                <w:sz w:val="16"/>
                <w:szCs w:val="16"/>
              </w:rPr>
            </w:pPr>
            <w:r w:rsidRPr="00FB3D74">
              <w:rPr>
                <w:rFonts w:cs="Arial"/>
                <w:sz w:val="16"/>
                <w:szCs w:val="16"/>
              </w:rPr>
              <w:t>Disminuir 2 por ciento la tasa de defunciones por cáncer de mama.</w:t>
            </w:r>
          </w:p>
        </w:tc>
      </w:tr>
      <w:tr w:rsidR="004071CA" w:rsidRPr="00FB3D74" w14:paraId="2A44C07E" w14:textId="77777777" w:rsidTr="00942E95">
        <w:trPr>
          <w:trHeight w:val="20"/>
        </w:trPr>
        <w:tc>
          <w:tcPr>
            <w:tcW w:w="3823" w:type="dxa"/>
            <w:vMerge w:val="restart"/>
            <w:vAlign w:val="center"/>
            <w:hideMark/>
          </w:tcPr>
          <w:p w14:paraId="63C60BE1" w14:textId="77777777" w:rsidR="004071CA" w:rsidRPr="00FB3D74" w:rsidRDefault="004071CA" w:rsidP="00942E95">
            <w:pPr>
              <w:rPr>
                <w:rFonts w:cs="Arial"/>
                <w:sz w:val="16"/>
                <w:szCs w:val="16"/>
              </w:rPr>
            </w:pPr>
            <w:r w:rsidRPr="00FB3D74">
              <w:rPr>
                <w:rFonts w:cs="Arial"/>
                <w:sz w:val="16"/>
                <w:szCs w:val="16"/>
              </w:rPr>
              <w:t>Enfermedades transmisibles controladas.</w:t>
            </w:r>
          </w:p>
        </w:tc>
        <w:tc>
          <w:tcPr>
            <w:tcW w:w="4992" w:type="dxa"/>
            <w:vAlign w:val="center"/>
            <w:hideMark/>
          </w:tcPr>
          <w:p w14:paraId="3FC2ABC7" w14:textId="77777777" w:rsidR="004071CA" w:rsidRPr="00FB3D74" w:rsidRDefault="004071CA" w:rsidP="00942E95">
            <w:pPr>
              <w:rPr>
                <w:rFonts w:cs="Arial"/>
                <w:sz w:val="16"/>
                <w:szCs w:val="16"/>
              </w:rPr>
            </w:pPr>
            <w:r w:rsidRPr="00FB3D74">
              <w:rPr>
                <w:rFonts w:cs="Arial"/>
                <w:sz w:val="16"/>
                <w:szCs w:val="16"/>
              </w:rPr>
              <w:t>Mantener en 24.5 por ciento la tasa incidencia de tuberculosis por cada mil habitantes.</w:t>
            </w:r>
          </w:p>
        </w:tc>
      </w:tr>
      <w:tr w:rsidR="004071CA" w:rsidRPr="00FB3D74" w14:paraId="18E94679" w14:textId="77777777" w:rsidTr="00942E95">
        <w:trPr>
          <w:trHeight w:val="20"/>
        </w:trPr>
        <w:tc>
          <w:tcPr>
            <w:tcW w:w="3823" w:type="dxa"/>
            <w:vMerge/>
            <w:vAlign w:val="center"/>
            <w:hideMark/>
          </w:tcPr>
          <w:p w14:paraId="2A997B64" w14:textId="77777777" w:rsidR="004071CA" w:rsidRPr="00FB3D74" w:rsidRDefault="004071CA" w:rsidP="00942E95">
            <w:pPr>
              <w:rPr>
                <w:rFonts w:cs="Arial"/>
                <w:sz w:val="16"/>
                <w:szCs w:val="16"/>
              </w:rPr>
            </w:pPr>
          </w:p>
        </w:tc>
        <w:tc>
          <w:tcPr>
            <w:tcW w:w="4992" w:type="dxa"/>
            <w:vAlign w:val="center"/>
            <w:hideMark/>
          </w:tcPr>
          <w:p w14:paraId="5D1F6818" w14:textId="77777777" w:rsidR="004071CA" w:rsidRPr="00FB3D74" w:rsidRDefault="004071CA" w:rsidP="00942E95">
            <w:pPr>
              <w:rPr>
                <w:rFonts w:cs="Arial"/>
                <w:sz w:val="16"/>
                <w:szCs w:val="16"/>
              </w:rPr>
            </w:pPr>
            <w:r w:rsidRPr="00FB3D74">
              <w:rPr>
                <w:rFonts w:cs="Arial"/>
                <w:sz w:val="16"/>
                <w:szCs w:val="16"/>
              </w:rPr>
              <w:t>Disminuir a 80 por ciento los casos confirmados de dengue.</w:t>
            </w:r>
          </w:p>
        </w:tc>
      </w:tr>
      <w:tr w:rsidR="004071CA" w:rsidRPr="00FB3D74" w14:paraId="0CBDE8A3" w14:textId="77777777" w:rsidTr="00942E95">
        <w:trPr>
          <w:trHeight w:val="20"/>
        </w:trPr>
        <w:tc>
          <w:tcPr>
            <w:tcW w:w="3823" w:type="dxa"/>
            <w:vAlign w:val="center"/>
            <w:hideMark/>
          </w:tcPr>
          <w:p w14:paraId="48415D0F" w14:textId="77777777" w:rsidR="004071CA" w:rsidRPr="00FB3D74" w:rsidRDefault="004071CA" w:rsidP="00942E95">
            <w:pPr>
              <w:rPr>
                <w:rFonts w:cs="Arial"/>
                <w:sz w:val="16"/>
                <w:szCs w:val="16"/>
              </w:rPr>
            </w:pPr>
            <w:r w:rsidRPr="00FB3D74">
              <w:rPr>
                <w:rFonts w:cs="Arial"/>
                <w:sz w:val="16"/>
                <w:szCs w:val="16"/>
              </w:rPr>
              <w:t>Riesgos sanitarios prevenidos.</w:t>
            </w:r>
          </w:p>
        </w:tc>
        <w:tc>
          <w:tcPr>
            <w:tcW w:w="4992" w:type="dxa"/>
            <w:vAlign w:val="center"/>
            <w:hideMark/>
          </w:tcPr>
          <w:p w14:paraId="0E9BDEC5" w14:textId="77777777" w:rsidR="004071CA" w:rsidRPr="00FB3D74" w:rsidRDefault="004071CA" w:rsidP="00942E95">
            <w:pPr>
              <w:rPr>
                <w:rFonts w:cs="Arial"/>
                <w:sz w:val="16"/>
                <w:szCs w:val="16"/>
              </w:rPr>
            </w:pPr>
            <w:r w:rsidRPr="00FB3D74">
              <w:rPr>
                <w:rFonts w:cs="Arial"/>
                <w:sz w:val="16"/>
                <w:szCs w:val="16"/>
              </w:rPr>
              <w:t>Realizar 6,148 terminaciones de cloro residual en el año.</w:t>
            </w:r>
          </w:p>
        </w:tc>
      </w:tr>
      <w:tr w:rsidR="004071CA" w:rsidRPr="00FB3D74" w14:paraId="6C5C48D7" w14:textId="77777777" w:rsidTr="00942E95">
        <w:trPr>
          <w:trHeight w:val="20"/>
        </w:trPr>
        <w:tc>
          <w:tcPr>
            <w:tcW w:w="3823" w:type="dxa"/>
            <w:vAlign w:val="center"/>
            <w:hideMark/>
          </w:tcPr>
          <w:p w14:paraId="6C926A1D" w14:textId="77777777" w:rsidR="004071CA" w:rsidRPr="00FB3D74" w:rsidRDefault="004071CA" w:rsidP="00942E95">
            <w:pPr>
              <w:rPr>
                <w:rFonts w:cs="Arial"/>
                <w:sz w:val="16"/>
                <w:szCs w:val="16"/>
              </w:rPr>
            </w:pPr>
            <w:r w:rsidRPr="00FB3D74">
              <w:rPr>
                <w:rFonts w:cs="Arial"/>
                <w:sz w:val="16"/>
                <w:szCs w:val="16"/>
              </w:rPr>
              <w:t xml:space="preserve">Sangre y </w:t>
            </w:r>
            <w:proofErr w:type="spellStart"/>
            <w:r w:rsidRPr="00FB3D74">
              <w:rPr>
                <w:rFonts w:cs="Arial"/>
                <w:sz w:val="16"/>
                <w:szCs w:val="16"/>
              </w:rPr>
              <w:t>hemocomponentes</w:t>
            </w:r>
            <w:proofErr w:type="spellEnd"/>
            <w:r w:rsidRPr="00FB3D74">
              <w:rPr>
                <w:rFonts w:cs="Arial"/>
                <w:sz w:val="16"/>
                <w:szCs w:val="16"/>
              </w:rPr>
              <w:t xml:space="preserve"> obtenidos.</w:t>
            </w:r>
          </w:p>
        </w:tc>
        <w:tc>
          <w:tcPr>
            <w:tcW w:w="4992" w:type="dxa"/>
            <w:vAlign w:val="center"/>
            <w:hideMark/>
          </w:tcPr>
          <w:p w14:paraId="47FDBD84" w14:textId="77777777" w:rsidR="004071CA" w:rsidRPr="00FB3D74" w:rsidRDefault="004071CA" w:rsidP="00942E95">
            <w:pPr>
              <w:rPr>
                <w:rFonts w:cs="Arial"/>
                <w:sz w:val="16"/>
                <w:szCs w:val="16"/>
              </w:rPr>
            </w:pPr>
            <w:r w:rsidRPr="00FB3D74">
              <w:rPr>
                <w:rFonts w:cs="Arial"/>
                <w:sz w:val="16"/>
                <w:szCs w:val="16"/>
              </w:rPr>
              <w:t xml:space="preserve">Obtener al menos 7,200 unidades de sangre y </w:t>
            </w:r>
            <w:proofErr w:type="spellStart"/>
            <w:r w:rsidRPr="00FB3D74">
              <w:rPr>
                <w:rFonts w:cs="Arial"/>
                <w:sz w:val="16"/>
                <w:szCs w:val="16"/>
              </w:rPr>
              <w:t>Hemocomponentes</w:t>
            </w:r>
            <w:proofErr w:type="spellEnd"/>
            <w:r w:rsidRPr="00FB3D74">
              <w:rPr>
                <w:rFonts w:cs="Arial"/>
                <w:sz w:val="16"/>
                <w:szCs w:val="16"/>
              </w:rPr>
              <w:t xml:space="preserve"> en el año.</w:t>
            </w:r>
          </w:p>
        </w:tc>
      </w:tr>
      <w:tr w:rsidR="004071CA" w:rsidRPr="00FB3D74" w14:paraId="61FA244B" w14:textId="77777777" w:rsidTr="00942E95">
        <w:trPr>
          <w:trHeight w:val="20"/>
        </w:trPr>
        <w:tc>
          <w:tcPr>
            <w:tcW w:w="3823" w:type="dxa"/>
            <w:vMerge w:val="restart"/>
            <w:vAlign w:val="center"/>
            <w:hideMark/>
          </w:tcPr>
          <w:p w14:paraId="2B6362C8" w14:textId="77777777" w:rsidR="004071CA" w:rsidRPr="00FB3D74" w:rsidRDefault="004071CA" w:rsidP="00942E95">
            <w:pPr>
              <w:rPr>
                <w:rFonts w:cs="Arial"/>
                <w:sz w:val="16"/>
                <w:szCs w:val="16"/>
              </w:rPr>
            </w:pPr>
            <w:r w:rsidRPr="00FB3D74">
              <w:rPr>
                <w:rFonts w:cs="Arial"/>
                <w:sz w:val="16"/>
                <w:szCs w:val="16"/>
              </w:rPr>
              <w:t>Salud mental y adicciones de la población atendida.</w:t>
            </w:r>
          </w:p>
        </w:tc>
        <w:tc>
          <w:tcPr>
            <w:tcW w:w="4992" w:type="dxa"/>
            <w:vAlign w:val="center"/>
            <w:hideMark/>
          </w:tcPr>
          <w:p w14:paraId="1ED1641B" w14:textId="77777777" w:rsidR="004071CA" w:rsidRPr="00FB3D74" w:rsidRDefault="004071CA" w:rsidP="00942E95">
            <w:pPr>
              <w:rPr>
                <w:rFonts w:cs="Arial"/>
                <w:sz w:val="16"/>
                <w:szCs w:val="16"/>
              </w:rPr>
            </w:pPr>
            <w:r w:rsidRPr="00FB3D74">
              <w:rPr>
                <w:rFonts w:cs="Arial"/>
                <w:sz w:val="16"/>
                <w:szCs w:val="16"/>
              </w:rPr>
              <w:t>Reducir a 5.9 por ciento la tasa de suicidios en el año.</w:t>
            </w:r>
          </w:p>
        </w:tc>
      </w:tr>
      <w:tr w:rsidR="004071CA" w:rsidRPr="00FB3D74" w14:paraId="5CF6C20D" w14:textId="77777777" w:rsidTr="00942E95">
        <w:trPr>
          <w:trHeight w:val="20"/>
        </w:trPr>
        <w:tc>
          <w:tcPr>
            <w:tcW w:w="3823" w:type="dxa"/>
            <w:vMerge/>
            <w:vAlign w:val="center"/>
            <w:hideMark/>
          </w:tcPr>
          <w:p w14:paraId="544F2BD5" w14:textId="77777777" w:rsidR="004071CA" w:rsidRPr="00FB3D74" w:rsidRDefault="004071CA" w:rsidP="00942E95">
            <w:pPr>
              <w:rPr>
                <w:rFonts w:cs="Arial"/>
                <w:sz w:val="16"/>
                <w:szCs w:val="16"/>
              </w:rPr>
            </w:pPr>
          </w:p>
        </w:tc>
        <w:tc>
          <w:tcPr>
            <w:tcW w:w="4992" w:type="dxa"/>
            <w:vAlign w:val="center"/>
            <w:hideMark/>
          </w:tcPr>
          <w:p w14:paraId="7C517B5E" w14:textId="77777777" w:rsidR="004071CA" w:rsidRPr="00FB3D74" w:rsidRDefault="004071CA" w:rsidP="00942E95">
            <w:pPr>
              <w:rPr>
                <w:rFonts w:cs="Arial"/>
                <w:sz w:val="16"/>
                <w:szCs w:val="16"/>
              </w:rPr>
            </w:pPr>
            <w:r w:rsidRPr="00FB3D74">
              <w:rPr>
                <w:rFonts w:cs="Arial"/>
                <w:sz w:val="16"/>
                <w:szCs w:val="16"/>
              </w:rPr>
              <w:t>Lograr que al menos 319 adolescentes de 12 a 17 años inicien tratamiento en los CAPA.</w:t>
            </w:r>
          </w:p>
        </w:tc>
      </w:tr>
      <w:tr w:rsidR="004071CA" w:rsidRPr="00FB3D74" w14:paraId="2F840754" w14:textId="77777777" w:rsidTr="00942E95">
        <w:trPr>
          <w:trHeight w:val="20"/>
        </w:trPr>
        <w:tc>
          <w:tcPr>
            <w:tcW w:w="3823" w:type="dxa"/>
            <w:vAlign w:val="center"/>
            <w:hideMark/>
          </w:tcPr>
          <w:p w14:paraId="017F6523" w14:textId="77777777" w:rsidR="004071CA" w:rsidRPr="00FB3D74" w:rsidRDefault="004071CA" w:rsidP="00942E95">
            <w:pPr>
              <w:rPr>
                <w:rFonts w:cs="Arial"/>
                <w:sz w:val="16"/>
                <w:szCs w:val="16"/>
              </w:rPr>
            </w:pPr>
            <w:r w:rsidRPr="00FB3D74">
              <w:rPr>
                <w:rFonts w:cs="Arial"/>
                <w:sz w:val="16"/>
                <w:szCs w:val="16"/>
              </w:rPr>
              <w:t>Ejercicio del gasto en salud aplicado.</w:t>
            </w:r>
          </w:p>
        </w:tc>
        <w:tc>
          <w:tcPr>
            <w:tcW w:w="4992" w:type="dxa"/>
            <w:vAlign w:val="center"/>
            <w:hideMark/>
          </w:tcPr>
          <w:p w14:paraId="0F579F39" w14:textId="77777777" w:rsidR="004071CA" w:rsidRPr="00FB3D74" w:rsidRDefault="004071CA" w:rsidP="00942E95">
            <w:pPr>
              <w:rPr>
                <w:rFonts w:cs="Arial"/>
                <w:sz w:val="16"/>
                <w:szCs w:val="16"/>
              </w:rPr>
            </w:pPr>
            <w:r w:rsidRPr="00FB3D74">
              <w:rPr>
                <w:rFonts w:cs="Arial"/>
                <w:sz w:val="16"/>
                <w:szCs w:val="16"/>
              </w:rPr>
              <w:t>Alcanzar un porcentaje de 90 por ciento de ejercicio del gasto conforme a lo establecido.</w:t>
            </w:r>
          </w:p>
        </w:tc>
      </w:tr>
      <w:tr w:rsidR="004071CA" w:rsidRPr="00FB3D74" w14:paraId="40152879" w14:textId="77777777" w:rsidTr="00942E95">
        <w:trPr>
          <w:trHeight w:val="20"/>
        </w:trPr>
        <w:tc>
          <w:tcPr>
            <w:tcW w:w="3823" w:type="dxa"/>
            <w:shd w:val="clear" w:color="auto" w:fill="F2F2F2" w:themeFill="background1" w:themeFillShade="F2"/>
            <w:vAlign w:val="center"/>
          </w:tcPr>
          <w:p w14:paraId="7719FAA4" w14:textId="7670E455"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3AB154F6" w14:textId="5EDA4409" w:rsidR="004071CA" w:rsidRPr="00FB3D74" w:rsidRDefault="004071CA" w:rsidP="00942E95">
            <w:pPr>
              <w:rPr>
                <w:rFonts w:cs="Arial"/>
                <w:b/>
                <w:bCs/>
                <w:sz w:val="16"/>
                <w:szCs w:val="16"/>
              </w:rPr>
            </w:pPr>
            <w:r w:rsidRPr="00FB3D74">
              <w:rPr>
                <w:rFonts w:cs="Arial"/>
                <w:b/>
                <w:bCs/>
                <w:sz w:val="16"/>
                <w:szCs w:val="16"/>
              </w:rPr>
              <w:t>3</w:t>
            </w:r>
            <w:r w:rsidR="00942E95" w:rsidRPr="00FB3D74">
              <w:rPr>
                <w:rFonts w:cs="Arial"/>
                <w:b/>
                <w:bCs/>
                <w:sz w:val="16"/>
                <w:szCs w:val="16"/>
              </w:rPr>
              <w:t>.</w:t>
            </w:r>
          </w:p>
        </w:tc>
      </w:tr>
      <w:tr w:rsidR="004071CA" w:rsidRPr="00FB3D74" w14:paraId="3D0178F2" w14:textId="77777777" w:rsidTr="00942E95">
        <w:trPr>
          <w:trHeight w:val="20"/>
        </w:trPr>
        <w:tc>
          <w:tcPr>
            <w:tcW w:w="3823" w:type="dxa"/>
            <w:shd w:val="clear" w:color="auto" w:fill="F2F2F2" w:themeFill="background1" w:themeFillShade="F2"/>
            <w:vAlign w:val="center"/>
          </w:tcPr>
          <w:p w14:paraId="06BE9243" w14:textId="63F493A0"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57FDC1D2" w14:textId="77777777" w:rsidR="004071CA" w:rsidRPr="00FB3D74" w:rsidRDefault="004071CA" w:rsidP="00942E95">
            <w:pPr>
              <w:rPr>
                <w:rFonts w:cs="Arial"/>
                <w:b/>
                <w:bCs/>
                <w:sz w:val="16"/>
                <w:szCs w:val="16"/>
              </w:rPr>
            </w:pPr>
            <w:r w:rsidRPr="00FB3D74">
              <w:rPr>
                <w:rFonts w:cs="Arial"/>
                <w:b/>
                <w:bCs/>
                <w:sz w:val="16"/>
                <w:szCs w:val="16"/>
              </w:rPr>
              <w:t>Junta de Asistencia Privada del Estado de Colima.</w:t>
            </w:r>
          </w:p>
        </w:tc>
      </w:tr>
      <w:tr w:rsidR="004071CA" w:rsidRPr="00FB3D74" w14:paraId="7A4639CE" w14:textId="77777777" w:rsidTr="00942E95">
        <w:trPr>
          <w:trHeight w:val="20"/>
        </w:trPr>
        <w:tc>
          <w:tcPr>
            <w:tcW w:w="3823" w:type="dxa"/>
            <w:shd w:val="clear" w:color="auto" w:fill="F2F2F2" w:themeFill="background1" w:themeFillShade="F2"/>
            <w:vAlign w:val="center"/>
          </w:tcPr>
          <w:p w14:paraId="7C89A5B7" w14:textId="38D05FFB"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47A75A76" w14:textId="77777777" w:rsidR="004071CA" w:rsidRPr="00FB3D74" w:rsidRDefault="004071CA" w:rsidP="00942E95">
            <w:pPr>
              <w:rPr>
                <w:rFonts w:cs="Arial"/>
                <w:b/>
                <w:bCs/>
                <w:sz w:val="16"/>
                <w:szCs w:val="16"/>
              </w:rPr>
            </w:pPr>
            <w:r w:rsidRPr="00FB3D74">
              <w:rPr>
                <w:rFonts w:cs="Arial"/>
                <w:sz w:val="16"/>
                <w:szCs w:val="16"/>
              </w:rPr>
              <w:t>Las Instituciones de Asistencia Privada (IAPS) reciben asistencia y asesoría técnica para el manejo eficaz y eficiente de los recursos para beneficio de la población vulnerable.</w:t>
            </w:r>
          </w:p>
        </w:tc>
      </w:tr>
      <w:tr w:rsidR="004071CA" w:rsidRPr="00FB3D74" w14:paraId="4F0AC685" w14:textId="77777777" w:rsidTr="00942E95">
        <w:trPr>
          <w:trHeight w:val="20"/>
        </w:trPr>
        <w:tc>
          <w:tcPr>
            <w:tcW w:w="3823" w:type="dxa"/>
            <w:shd w:val="clear" w:color="auto" w:fill="F2F2F2" w:themeFill="background1" w:themeFillShade="F2"/>
            <w:vAlign w:val="center"/>
          </w:tcPr>
          <w:p w14:paraId="732484FA" w14:textId="77777777" w:rsidR="004071CA" w:rsidRPr="00FB3D74" w:rsidRDefault="004071CA" w:rsidP="00942E95">
            <w:pPr>
              <w:jc w:val="center"/>
              <w:rPr>
                <w:rFonts w:cs="Arial"/>
                <w:sz w:val="16"/>
                <w:szCs w:val="16"/>
              </w:rPr>
            </w:pPr>
            <w:r w:rsidRPr="00FB3D74">
              <w:rPr>
                <w:rFonts w:cs="Arial"/>
                <w:b/>
                <w:bCs/>
                <w:sz w:val="16"/>
                <w:szCs w:val="16"/>
              </w:rPr>
              <w:t>Estrategia</w:t>
            </w:r>
          </w:p>
        </w:tc>
        <w:tc>
          <w:tcPr>
            <w:tcW w:w="4992" w:type="dxa"/>
            <w:shd w:val="clear" w:color="auto" w:fill="F2F2F2" w:themeFill="background1" w:themeFillShade="F2"/>
            <w:vAlign w:val="center"/>
          </w:tcPr>
          <w:p w14:paraId="5B0E4F73" w14:textId="77777777" w:rsidR="004071CA" w:rsidRPr="00FB3D74" w:rsidRDefault="004071CA" w:rsidP="00942E95">
            <w:pPr>
              <w:jc w:val="center"/>
              <w:rPr>
                <w:rFonts w:cs="Arial"/>
                <w:sz w:val="16"/>
                <w:szCs w:val="16"/>
              </w:rPr>
            </w:pPr>
            <w:r w:rsidRPr="00FB3D74">
              <w:rPr>
                <w:rFonts w:cs="Arial"/>
                <w:b/>
                <w:bCs/>
                <w:sz w:val="16"/>
                <w:szCs w:val="16"/>
              </w:rPr>
              <w:t>Meta</w:t>
            </w:r>
          </w:p>
        </w:tc>
      </w:tr>
      <w:tr w:rsidR="004071CA" w:rsidRPr="00FB3D74" w14:paraId="33FFD116" w14:textId="77777777" w:rsidTr="00942E95">
        <w:trPr>
          <w:trHeight w:val="20"/>
        </w:trPr>
        <w:tc>
          <w:tcPr>
            <w:tcW w:w="3823" w:type="dxa"/>
            <w:vAlign w:val="center"/>
          </w:tcPr>
          <w:p w14:paraId="6B6EAAB0" w14:textId="77777777" w:rsidR="004071CA" w:rsidRPr="00FB3D74" w:rsidRDefault="004071CA" w:rsidP="00942E95">
            <w:pPr>
              <w:rPr>
                <w:rFonts w:cs="Arial"/>
                <w:sz w:val="16"/>
                <w:szCs w:val="16"/>
              </w:rPr>
            </w:pPr>
            <w:r w:rsidRPr="00FB3D74">
              <w:rPr>
                <w:rFonts w:cs="Arial"/>
                <w:sz w:val="16"/>
                <w:szCs w:val="16"/>
              </w:rPr>
              <w:t>Profesionalización a las Instituciones de Asistencia Privada pertenecientes a la Junta de Asistencia Privada proporcionadas.</w:t>
            </w:r>
          </w:p>
        </w:tc>
        <w:tc>
          <w:tcPr>
            <w:tcW w:w="4992" w:type="dxa"/>
            <w:vAlign w:val="center"/>
          </w:tcPr>
          <w:p w14:paraId="0F9721FE" w14:textId="0579D910" w:rsidR="004071CA" w:rsidRPr="00FB3D74" w:rsidRDefault="004071CA" w:rsidP="00942E95">
            <w:pPr>
              <w:rPr>
                <w:rFonts w:cs="Arial"/>
                <w:sz w:val="16"/>
                <w:szCs w:val="16"/>
              </w:rPr>
            </w:pPr>
            <w:r w:rsidRPr="00FB3D74">
              <w:rPr>
                <w:rFonts w:cs="Arial"/>
                <w:sz w:val="16"/>
                <w:szCs w:val="16"/>
              </w:rPr>
              <w:t xml:space="preserve">100 por ciento, Alcanzar anualmente la entrega de 60 informes dobles de las 63 </w:t>
            </w:r>
            <w:r w:rsidR="00F73CAF" w:rsidRPr="00FB3D74">
              <w:rPr>
                <w:rFonts w:cs="Arial"/>
                <w:sz w:val="16"/>
                <w:szCs w:val="16"/>
              </w:rPr>
              <w:t xml:space="preserve">Instituciones </w:t>
            </w:r>
            <w:r w:rsidRPr="00FB3D74">
              <w:rPr>
                <w:rFonts w:cs="Arial"/>
                <w:sz w:val="16"/>
                <w:szCs w:val="16"/>
              </w:rPr>
              <w:t>de Asistencia Privada registradas en el periódico oficial.</w:t>
            </w:r>
          </w:p>
        </w:tc>
      </w:tr>
      <w:tr w:rsidR="004071CA" w:rsidRPr="00FB3D74" w14:paraId="55FE4BA1" w14:textId="77777777" w:rsidTr="00942E95">
        <w:trPr>
          <w:trHeight w:val="20"/>
        </w:trPr>
        <w:tc>
          <w:tcPr>
            <w:tcW w:w="3823" w:type="dxa"/>
            <w:shd w:val="clear" w:color="auto" w:fill="F2F2F2" w:themeFill="background1" w:themeFillShade="F2"/>
            <w:vAlign w:val="center"/>
          </w:tcPr>
          <w:p w14:paraId="7804FB3A" w14:textId="2CFEE784"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7226CFC9" w14:textId="16CD6BA3" w:rsidR="004071CA" w:rsidRPr="00FB3D74" w:rsidRDefault="004071CA" w:rsidP="00942E95">
            <w:pPr>
              <w:rPr>
                <w:rFonts w:cs="Arial"/>
                <w:b/>
                <w:bCs/>
                <w:sz w:val="16"/>
                <w:szCs w:val="16"/>
              </w:rPr>
            </w:pPr>
            <w:r w:rsidRPr="00FB3D74">
              <w:rPr>
                <w:rFonts w:cs="Arial"/>
                <w:b/>
                <w:bCs/>
                <w:sz w:val="16"/>
                <w:szCs w:val="16"/>
              </w:rPr>
              <w:t>4</w:t>
            </w:r>
            <w:r w:rsidR="00942E95" w:rsidRPr="00FB3D74">
              <w:rPr>
                <w:rFonts w:cs="Arial"/>
                <w:b/>
                <w:bCs/>
                <w:sz w:val="16"/>
                <w:szCs w:val="16"/>
              </w:rPr>
              <w:t>.</w:t>
            </w:r>
          </w:p>
        </w:tc>
      </w:tr>
      <w:tr w:rsidR="004071CA" w:rsidRPr="00FB3D74" w14:paraId="716736C2" w14:textId="77777777" w:rsidTr="00942E95">
        <w:trPr>
          <w:trHeight w:val="20"/>
        </w:trPr>
        <w:tc>
          <w:tcPr>
            <w:tcW w:w="3823" w:type="dxa"/>
            <w:shd w:val="clear" w:color="auto" w:fill="F2F2F2" w:themeFill="background1" w:themeFillShade="F2"/>
            <w:vAlign w:val="center"/>
          </w:tcPr>
          <w:p w14:paraId="17A831D6" w14:textId="4A0489CB"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2A8CAA1F" w14:textId="77777777" w:rsidR="004071CA" w:rsidRPr="00FB3D74" w:rsidRDefault="004071CA" w:rsidP="00942E95">
            <w:pPr>
              <w:rPr>
                <w:rFonts w:cs="Arial"/>
                <w:b/>
                <w:bCs/>
                <w:sz w:val="16"/>
                <w:szCs w:val="16"/>
              </w:rPr>
            </w:pPr>
            <w:r w:rsidRPr="00FB3D74">
              <w:rPr>
                <w:rFonts w:cs="Arial"/>
                <w:b/>
                <w:bCs/>
                <w:sz w:val="16"/>
                <w:szCs w:val="16"/>
              </w:rPr>
              <w:t>Consejo de Participación Social del Estado de Colima.</w:t>
            </w:r>
          </w:p>
        </w:tc>
      </w:tr>
      <w:tr w:rsidR="004071CA" w:rsidRPr="00FB3D74" w14:paraId="51589520" w14:textId="77777777" w:rsidTr="00942E95">
        <w:trPr>
          <w:trHeight w:val="20"/>
        </w:trPr>
        <w:tc>
          <w:tcPr>
            <w:tcW w:w="3823" w:type="dxa"/>
            <w:shd w:val="clear" w:color="auto" w:fill="F2F2F2" w:themeFill="background1" w:themeFillShade="F2"/>
            <w:vAlign w:val="center"/>
          </w:tcPr>
          <w:p w14:paraId="1FACA5F7" w14:textId="2B271E98"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3D67C760" w14:textId="76DF92E1" w:rsidR="004071CA" w:rsidRPr="00FB3D74" w:rsidRDefault="004071CA" w:rsidP="00942E95">
            <w:pPr>
              <w:rPr>
                <w:rFonts w:cs="Arial"/>
                <w:b/>
                <w:bCs/>
                <w:sz w:val="16"/>
                <w:szCs w:val="16"/>
              </w:rPr>
            </w:pPr>
            <w:r w:rsidRPr="00FB3D74">
              <w:rPr>
                <w:rFonts w:cs="Arial"/>
                <w:sz w:val="16"/>
                <w:szCs w:val="16"/>
              </w:rPr>
              <w:t xml:space="preserve">Las </w:t>
            </w:r>
            <w:r w:rsidR="00FB3D74" w:rsidRPr="00FB3D74">
              <w:rPr>
                <w:rFonts w:cs="Arial"/>
                <w:sz w:val="16"/>
                <w:szCs w:val="16"/>
              </w:rPr>
              <w:t xml:space="preserve">Organizaciones Sociales </w:t>
            </w:r>
            <w:r w:rsidRPr="00FB3D74">
              <w:rPr>
                <w:rFonts w:cs="Arial"/>
                <w:sz w:val="16"/>
                <w:szCs w:val="16"/>
              </w:rPr>
              <w:t>cuentan con mecanismos de participación en la planeación.</w:t>
            </w:r>
          </w:p>
        </w:tc>
      </w:tr>
      <w:tr w:rsidR="004071CA" w:rsidRPr="00FB3D74" w14:paraId="551FEE78" w14:textId="77777777" w:rsidTr="00942E95">
        <w:trPr>
          <w:trHeight w:val="20"/>
        </w:trPr>
        <w:tc>
          <w:tcPr>
            <w:tcW w:w="3823" w:type="dxa"/>
            <w:shd w:val="clear" w:color="auto" w:fill="F2F2F2" w:themeFill="background1" w:themeFillShade="F2"/>
            <w:vAlign w:val="center"/>
          </w:tcPr>
          <w:p w14:paraId="4E5DD201"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004E40FE"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737A3BEE" w14:textId="77777777" w:rsidTr="00942E95">
        <w:trPr>
          <w:trHeight w:val="20"/>
        </w:trPr>
        <w:tc>
          <w:tcPr>
            <w:tcW w:w="3823" w:type="dxa"/>
            <w:vAlign w:val="center"/>
          </w:tcPr>
          <w:p w14:paraId="450C5327" w14:textId="77777777" w:rsidR="004071CA" w:rsidRPr="00FB3D74" w:rsidRDefault="004071CA" w:rsidP="00942E95">
            <w:pPr>
              <w:rPr>
                <w:rFonts w:cs="Arial"/>
                <w:sz w:val="16"/>
                <w:szCs w:val="16"/>
              </w:rPr>
            </w:pPr>
            <w:r w:rsidRPr="00FB3D74">
              <w:rPr>
                <w:rFonts w:cs="Arial"/>
                <w:sz w:val="16"/>
                <w:szCs w:val="16"/>
              </w:rPr>
              <w:t xml:space="preserve">Servicios de vinculación realizados de la Sociedad Civil Organizada en los programas sectoriales, </w:t>
            </w:r>
            <w:r w:rsidRPr="00FB3D74">
              <w:rPr>
                <w:rFonts w:cs="Arial"/>
                <w:sz w:val="16"/>
                <w:szCs w:val="16"/>
              </w:rPr>
              <w:lastRenderedPageBreak/>
              <w:t xml:space="preserve">especiales, regionales e institucionales, derivados del Plan Estatal de Desarrollo. </w:t>
            </w:r>
          </w:p>
        </w:tc>
        <w:tc>
          <w:tcPr>
            <w:tcW w:w="4992" w:type="dxa"/>
            <w:vAlign w:val="center"/>
          </w:tcPr>
          <w:p w14:paraId="04DED411" w14:textId="77777777" w:rsidR="004071CA" w:rsidRPr="00FB3D74" w:rsidRDefault="004071CA" w:rsidP="00942E95">
            <w:pPr>
              <w:rPr>
                <w:rFonts w:cs="Arial"/>
                <w:sz w:val="16"/>
                <w:szCs w:val="16"/>
              </w:rPr>
            </w:pPr>
            <w:r w:rsidRPr="00FB3D74">
              <w:rPr>
                <w:rFonts w:cs="Arial"/>
                <w:sz w:val="16"/>
                <w:szCs w:val="16"/>
              </w:rPr>
              <w:lastRenderedPageBreak/>
              <w:t>100 organizaciones alinean sus servicios y actividades a los programas sectoriales, especiales, regionales e institucionales.</w:t>
            </w:r>
          </w:p>
        </w:tc>
      </w:tr>
      <w:tr w:rsidR="004071CA" w:rsidRPr="00FB3D74" w14:paraId="5F5EA0D9" w14:textId="77777777" w:rsidTr="00942E95">
        <w:trPr>
          <w:trHeight w:val="20"/>
        </w:trPr>
        <w:tc>
          <w:tcPr>
            <w:tcW w:w="3823" w:type="dxa"/>
            <w:shd w:val="clear" w:color="auto" w:fill="F2F2F2" w:themeFill="background1" w:themeFillShade="F2"/>
            <w:vAlign w:val="center"/>
          </w:tcPr>
          <w:p w14:paraId="335A1CA9" w14:textId="606F46AB"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230A5B55" w14:textId="61A70B74" w:rsidR="004071CA" w:rsidRPr="00FB3D74" w:rsidRDefault="004071CA" w:rsidP="00942E95">
            <w:pPr>
              <w:rPr>
                <w:rFonts w:cs="Arial"/>
                <w:b/>
                <w:bCs/>
                <w:sz w:val="16"/>
                <w:szCs w:val="16"/>
              </w:rPr>
            </w:pPr>
            <w:r w:rsidRPr="00FB3D74">
              <w:rPr>
                <w:rFonts w:cs="Arial"/>
                <w:b/>
                <w:bCs/>
                <w:sz w:val="16"/>
                <w:szCs w:val="16"/>
              </w:rPr>
              <w:t>5</w:t>
            </w:r>
            <w:r w:rsidR="00942E95" w:rsidRPr="00FB3D74">
              <w:rPr>
                <w:rFonts w:cs="Arial"/>
                <w:b/>
                <w:bCs/>
                <w:sz w:val="16"/>
                <w:szCs w:val="16"/>
              </w:rPr>
              <w:t>.</w:t>
            </w:r>
          </w:p>
        </w:tc>
      </w:tr>
      <w:tr w:rsidR="004071CA" w:rsidRPr="00FB3D74" w14:paraId="04C5DB05" w14:textId="77777777" w:rsidTr="00942E95">
        <w:trPr>
          <w:trHeight w:val="20"/>
        </w:trPr>
        <w:tc>
          <w:tcPr>
            <w:tcW w:w="3823" w:type="dxa"/>
            <w:shd w:val="clear" w:color="auto" w:fill="F2F2F2" w:themeFill="background1" w:themeFillShade="F2"/>
            <w:vAlign w:val="center"/>
          </w:tcPr>
          <w:p w14:paraId="4C4D7DEC" w14:textId="27F6ECAF"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53E49F73" w14:textId="77777777" w:rsidR="004071CA" w:rsidRPr="00FB3D74" w:rsidRDefault="004071CA" w:rsidP="00942E95">
            <w:pPr>
              <w:rPr>
                <w:rFonts w:cs="Arial"/>
                <w:b/>
                <w:bCs/>
                <w:sz w:val="16"/>
                <w:szCs w:val="16"/>
              </w:rPr>
            </w:pPr>
            <w:r w:rsidRPr="00FB3D74">
              <w:rPr>
                <w:rFonts w:cs="Arial"/>
                <w:b/>
                <w:bCs/>
                <w:sz w:val="16"/>
                <w:szCs w:val="16"/>
              </w:rPr>
              <w:t>Secretaría de Bienestar, Inclusión Social y Mujeres.</w:t>
            </w:r>
          </w:p>
        </w:tc>
      </w:tr>
      <w:tr w:rsidR="004071CA" w:rsidRPr="00FB3D74" w14:paraId="5B09ED2C" w14:textId="77777777" w:rsidTr="00942E95">
        <w:trPr>
          <w:trHeight w:val="20"/>
        </w:trPr>
        <w:tc>
          <w:tcPr>
            <w:tcW w:w="3823" w:type="dxa"/>
            <w:shd w:val="clear" w:color="auto" w:fill="F2F2F2" w:themeFill="background1" w:themeFillShade="F2"/>
            <w:vAlign w:val="center"/>
          </w:tcPr>
          <w:p w14:paraId="356FF2EF" w14:textId="46E2B1E4"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22C7836F" w14:textId="3CD7EA06" w:rsidR="004071CA" w:rsidRPr="00FB3D74" w:rsidRDefault="004071CA" w:rsidP="00942E95">
            <w:pPr>
              <w:rPr>
                <w:rFonts w:cs="Arial"/>
                <w:b/>
                <w:bCs/>
                <w:sz w:val="16"/>
                <w:szCs w:val="16"/>
              </w:rPr>
            </w:pPr>
            <w:r w:rsidRPr="00FB3D74">
              <w:rPr>
                <w:rFonts w:cs="Arial"/>
                <w:sz w:val="16"/>
                <w:szCs w:val="16"/>
              </w:rPr>
              <w:t xml:space="preserve">Se reduce el número de habitantes del </w:t>
            </w:r>
            <w:r w:rsidR="00FB3D74" w:rsidRPr="00FB3D74">
              <w:rPr>
                <w:rFonts w:cs="Arial"/>
                <w:sz w:val="16"/>
                <w:szCs w:val="16"/>
              </w:rPr>
              <w:t xml:space="preserve">Estado </w:t>
            </w:r>
            <w:r w:rsidRPr="00FB3D74">
              <w:rPr>
                <w:rFonts w:cs="Arial"/>
                <w:sz w:val="16"/>
                <w:szCs w:val="16"/>
              </w:rPr>
              <w:t>de Colima que se encuentran en rezago social.</w:t>
            </w:r>
          </w:p>
        </w:tc>
      </w:tr>
      <w:tr w:rsidR="004071CA" w:rsidRPr="00FB3D74" w14:paraId="37D3949E" w14:textId="77777777" w:rsidTr="00942E95">
        <w:trPr>
          <w:trHeight w:val="20"/>
        </w:trPr>
        <w:tc>
          <w:tcPr>
            <w:tcW w:w="3823" w:type="dxa"/>
            <w:shd w:val="clear" w:color="auto" w:fill="F2F2F2" w:themeFill="background1" w:themeFillShade="F2"/>
            <w:vAlign w:val="center"/>
          </w:tcPr>
          <w:p w14:paraId="26DCA580" w14:textId="0AC1B02F"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79C5E448"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5860E2ED" w14:textId="77777777" w:rsidTr="00942E95">
        <w:trPr>
          <w:trHeight w:val="20"/>
        </w:trPr>
        <w:tc>
          <w:tcPr>
            <w:tcW w:w="3823" w:type="dxa"/>
            <w:vAlign w:val="center"/>
          </w:tcPr>
          <w:p w14:paraId="4AF951FB" w14:textId="77777777" w:rsidR="004071CA" w:rsidRPr="00FB3D74" w:rsidRDefault="004071CA" w:rsidP="00942E95">
            <w:pPr>
              <w:rPr>
                <w:rFonts w:cs="Arial"/>
                <w:sz w:val="16"/>
                <w:szCs w:val="16"/>
              </w:rPr>
            </w:pPr>
            <w:r w:rsidRPr="00FB3D74">
              <w:rPr>
                <w:rFonts w:cs="Arial"/>
                <w:sz w:val="16"/>
                <w:szCs w:val="16"/>
              </w:rPr>
              <w:t>Alumnos beneficiados con los programas sociales para la educación.</w:t>
            </w:r>
          </w:p>
        </w:tc>
        <w:tc>
          <w:tcPr>
            <w:tcW w:w="4992" w:type="dxa"/>
            <w:vAlign w:val="center"/>
          </w:tcPr>
          <w:p w14:paraId="59CAE931" w14:textId="3DC680A0" w:rsidR="004071CA" w:rsidRPr="00FB3D74" w:rsidRDefault="004071CA" w:rsidP="00942E95">
            <w:pPr>
              <w:rPr>
                <w:rFonts w:cs="Arial"/>
                <w:sz w:val="16"/>
                <w:szCs w:val="16"/>
              </w:rPr>
            </w:pPr>
            <w:r w:rsidRPr="00FB3D74">
              <w:rPr>
                <w:rFonts w:cs="Arial"/>
                <w:sz w:val="16"/>
                <w:szCs w:val="16"/>
              </w:rPr>
              <w:t xml:space="preserve">Mantener el 17.7 por ciento de la </w:t>
            </w:r>
            <w:r w:rsidR="00FB3D74" w:rsidRPr="00FB3D74">
              <w:rPr>
                <w:rFonts w:cs="Arial"/>
                <w:sz w:val="16"/>
                <w:szCs w:val="16"/>
              </w:rPr>
              <w:t>población en rezago educativo</w:t>
            </w:r>
            <w:r w:rsidRPr="00FB3D74">
              <w:rPr>
                <w:rFonts w:cs="Arial"/>
                <w:sz w:val="16"/>
                <w:szCs w:val="16"/>
              </w:rPr>
              <w:t>.</w:t>
            </w:r>
          </w:p>
        </w:tc>
      </w:tr>
      <w:tr w:rsidR="004071CA" w:rsidRPr="00FB3D74" w14:paraId="6DD0EE0E" w14:textId="77777777" w:rsidTr="00942E95">
        <w:trPr>
          <w:trHeight w:val="20"/>
        </w:trPr>
        <w:tc>
          <w:tcPr>
            <w:tcW w:w="3823" w:type="dxa"/>
            <w:vAlign w:val="center"/>
          </w:tcPr>
          <w:p w14:paraId="17EE8E0B" w14:textId="625A80A4" w:rsidR="004071CA" w:rsidRPr="00FB3D74" w:rsidRDefault="004071CA" w:rsidP="00942E95">
            <w:pPr>
              <w:rPr>
                <w:rFonts w:cs="Arial"/>
                <w:sz w:val="16"/>
                <w:szCs w:val="16"/>
              </w:rPr>
            </w:pPr>
            <w:r w:rsidRPr="00FB3D74">
              <w:rPr>
                <w:rFonts w:cs="Arial"/>
                <w:sz w:val="16"/>
                <w:szCs w:val="16"/>
              </w:rPr>
              <w:t xml:space="preserve">Acciones realizadas y verificadas de proyectos de infraestructura social con el </w:t>
            </w:r>
            <w:r w:rsidR="00F73CAF" w:rsidRPr="00FB3D74">
              <w:rPr>
                <w:rFonts w:cs="Arial"/>
                <w:sz w:val="16"/>
                <w:szCs w:val="16"/>
              </w:rPr>
              <w:t>Fondo de Aportaciones para la Infraestructura Social Estatal (</w:t>
            </w:r>
            <w:r w:rsidRPr="00FB3D74">
              <w:rPr>
                <w:rFonts w:cs="Arial"/>
                <w:sz w:val="16"/>
                <w:szCs w:val="16"/>
              </w:rPr>
              <w:t>FISE</w:t>
            </w:r>
            <w:r w:rsidR="00F73CAF" w:rsidRPr="00FB3D74">
              <w:rPr>
                <w:rFonts w:cs="Arial"/>
                <w:sz w:val="16"/>
                <w:szCs w:val="16"/>
              </w:rPr>
              <w:t>)</w:t>
            </w:r>
            <w:r w:rsidRPr="00FB3D74">
              <w:rPr>
                <w:rFonts w:cs="Arial"/>
                <w:sz w:val="16"/>
                <w:szCs w:val="16"/>
              </w:rPr>
              <w:t xml:space="preserve"> para la entrega de apoyos de mejoramiento de vivienda.</w:t>
            </w:r>
          </w:p>
        </w:tc>
        <w:tc>
          <w:tcPr>
            <w:tcW w:w="4992" w:type="dxa"/>
            <w:vAlign w:val="center"/>
          </w:tcPr>
          <w:p w14:paraId="35CBFDB6" w14:textId="77777777" w:rsidR="004071CA" w:rsidRPr="00FB3D74" w:rsidRDefault="004071CA" w:rsidP="00942E95">
            <w:pPr>
              <w:rPr>
                <w:rFonts w:cs="Arial"/>
                <w:sz w:val="16"/>
                <w:szCs w:val="16"/>
              </w:rPr>
            </w:pPr>
            <w:r w:rsidRPr="00FB3D74">
              <w:rPr>
                <w:rFonts w:cs="Arial"/>
                <w:sz w:val="16"/>
                <w:szCs w:val="16"/>
              </w:rPr>
              <w:t>Concluir 10 proyectos de obra.</w:t>
            </w:r>
          </w:p>
        </w:tc>
      </w:tr>
      <w:tr w:rsidR="004071CA" w:rsidRPr="00FB3D74" w14:paraId="082F3778" w14:textId="77777777" w:rsidTr="00942E95">
        <w:trPr>
          <w:trHeight w:val="20"/>
        </w:trPr>
        <w:tc>
          <w:tcPr>
            <w:tcW w:w="3823" w:type="dxa"/>
            <w:vAlign w:val="center"/>
          </w:tcPr>
          <w:p w14:paraId="03497F1C" w14:textId="77777777" w:rsidR="004071CA" w:rsidRPr="00FB3D74" w:rsidRDefault="004071CA" w:rsidP="00942E95">
            <w:pPr>
              <w:rPr>
                <w:rFonts w:cs="Arial"/>
                <w:sz w:val="16"/>
                <w:szCs w:val="16"/>
              </w:rPr>
            </w:pPr>
            <w:r w:rsidRPr="00FB3D74">
              <w:rPr>
                <w:rFonts w:cs="Arial"/>
                <w:sz w:val="16"/>
                <w:szCs w:val="16"/>
              </w:rPr>
              <w:t>Proyectos y acciones de inclusión social y no discriminación realizados.</w:t>
            </w:r>
          </w:p>
        </w:tc>
        <w:tc>
          <w:tcPr>
            <w:tcW w:w="4992" w:type="dxa"/>
            <w:vAlign w:val="center"/>
          </w:tcPr>
          <w:p w14:paraId="359DF791" w14:textId="77777777" w:rsidR="004071CA" w:rsidRPr="00FB3D74" w:rsidRDefault="004071CA" w:rsidP="00942E95">
            <w:pPr>
              <w:rPr>
                <w:rFonts w:cs="Arial"/>
                <w:sz w:val="16"/>
                <w:szCs w:val="16"/>
              </w:rPr>
            </w:pPr>
            <w:r w:rsidRPr="00FB3D74">
              <w:rPr>
                <w:rFonts w:cs="Arial"/>
                <w:sz w:val="16"/>
                <w:szCs w:val="16"/>
              </w:rPr>
              <w:t>Realizar 1 proyecto de inclusión y no discriminación.</w:t>
            </w:r>
          </w:p>
        </w:tc>
      </w:tr>
      <w:tr w:rsidR="004071CA" w:rsidRPr="00FB3D74" w14:paraId="4AC55486" w14:textId="77777777" w:rsidTr="00942E95">
        <w:trPr>
          <w:trHeight w:val="20"/>
        </w:trPr>
        <w:tc>
          <w:tcPr>
            <w:tcW w:w="3823" w:type="dxa"/>
            <w:vAlign w:val="center"/>
          </w:tcPr>
          <w:p w14:paraId="166FAD25" w14:textId="77777777" w:rsidR="004071CA" w:rsidRPr="00FB3D74" w:rsidRDefault="004071CA" w:rsidP="00942E95">
            <w:pPr>
              <w:rPr>
                <w:rFonts w:cs="Arial"/>
                <w:sz w:val="16"/>
                <w:szCs w:val="16"/>
              </w:rPr>
            </w:pPr>
            <w:r w:rsidRPr="00FB3D74">
              <w:rPr>
                <w:rFonts w:cs="Arial"/>
                <w:sz w:val="16"/>
                <w:szCs w:val="16"/>
              </w:rPr>
              <w:t>Desempeño de funciones realizadas.</w:t>
            </w:r>
          </w:p>
        </w:tc>
        <w:tc>
          <w:tcPr>
            <w:tcW w:w="4992" w:type="dxa"/>
            <w:vAlign w:val="center"/>
          </w:tcPr>
          <w:p w14:paraId="555220E8" w14:textId="77777777" w:rsidR="004071CA" w:rsidRPr="00FB3D74" w:rsidRDefault="004071CA" w:rsidP="00942E95">
            <w:pPr>
              <w:rPr>
                <w:rFonts w:cs="Arial"/>
                <w:sz w:val="16"/>
                <w:szCs w:val="16"/>
              </w:rPr>
            </w:pPr>
            <w:r w:rsidRPr="00FB3D74">
              <w:rPr>
                <w:rFonts w:cs="Arial"/>
                <w:sz w:val="16"/>
                <w:szCs w:val="16"/>
              </w:rPr>
              <w:t>Cumplir con 9 actividades de funcionamiento.</w:t>
            </w:r>
          </w:p>
        </w:tc>
      </w:tr>
      <w:tr w:rsidR="004071CA" w:rsidRPr="00FB3D74" w14:paraId="663E56D5" w14:textId="77777777" w:rsidTr="00942E95">
        <w:trPr>
          <w:trHeight w:val="20"/>
        </w:trPr>
        <w:tc>
          <w:tcPr>
            <w:tcW w:w="3823" w:type="dxa"/>
            <w:shd w:val="clear" w:color="auto" w:fill="F2F2F2" w:themeFill="background1" w:themeFillShade="F2"/>
            <w:vAlign w:val="center"/>
          </w:tcPr>
          <w:p w14:paraId="0F487645" w14:textId="4390A8C8"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69EDE385" w14:textId="5D48C7FC" w:rsidR="004071CA" w:rsidRPr="00FB3D74" w:rsidRDefault="004071CA" w:rsidP="00942E95">
            <w:pPr>
              <w:rPr>
                <w:rFonts w:cs="Arial"/>
                <w:b/>
                <w:bCs/>
                <w:sz w:val="16"/>
                <w:szCs w:val="16"/>
              </w:rPr>
            </w:pPr>
            <w:r w:rsidRPr="00FB3D74">
              <w:rPr>
                <w:rFonts w:cs="Arial"/>
                <w:b/>
                <w:bCs/>
                <w:sz w:val="16"/>
                <w:szCs w:val="16"/>
              </w:rPr>
              <w:t>6</w:t>
            </w:r>
            <w:r w:rsidR="00942E95" w:rsidRPr="00FB3D74">
              <w:rPr>
                <w:rFonts w:cs="Arial"/>
                <w:b/>
                <w:bCs/>
                <w:sz w:val="16"/>
                <w:szCs w:val="16"/>
              </w:rPr>
              <w:t>.</w:t>
            </w:r>
          </w:p>
        </w:tc>
      </w:tr>
      <w:tr w:rsidR="004071CA" w:rsidRPr="00FB3D74" w14:paraId="76E6B774" w14:textId="77777777" w:rsidTr="00942E95">
        <w:trPr>
          <w:trHeight w:val="20"/>
        </w:trPr>
        <w:tc>
          <w:tcPr>
            <w:tcW w:w="3823" w:type="dxa"/>
            <w:shd w:val="clear" w:color="auto" w:fill="F2F2F2" w:themeFill="background1" w:themeFillShade="F2"/>
            <w:vAlign w:val="center"/>
          </w:tcPr>
          <w:p w14:paraId="00960A57" w14:textId="1FA7E9D9"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171760BC" w14:textId="77777777" w:rsidR="004071CA" w:rsidRPr="00FB3D74" w:rsidRDefault="004071CA" w:rsidP="00942E95">
            <w:pPr>
              <w:rPr>
                <w:rFonts w:cs="Arial"/>
                <w:b/>
                <w:bCs/>
                <w:sz w:val="16"/>
                <w:szCs w:val="16"/>
              </w:rPr>
            </w:pPr>
            <w:r w:rsidRPr="00FB3D74">
              <w:rPr>
                <w:rFonts w:cs="Arial"/>
                <w:b/>
                <w:bCs/>
                <w:sz w:val="16"/>
                <w:szCs w:val="16"/>
              </w:rPr>
              <w:t>Universidad Intercultural de Colima.</w:t>
            </w:r>
          </w:p>
        </w:tc>
      </w:tr>
      <w:tr w:rsidR="004071CA" w:rsidRPr="00FB3D74" w14:paraId="77D9B1FB" w14:textId="77777777" w:rsidTr="00942E95">
        <w:trPr>
          <w:trHeight w:val="20"/>
        </w:trPr>
        <w:tc>
          <w:tcPr>
            <w:tcW w:w="3823" w:type="dxa"/>
            <w:shd w:val="clear" w:color="auto" w:fill="F2F2F2" w:themeFill="background1" w:themeFillShade="F2"/>
            <w:vAlign w:val="center"/>
          </w:tcPr>
          <w:p w14:paraId="0C18DA76" w14:textId="07C2F54A"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30819FBC" w14:textId="77777777" w:rsidR="004071CA" w:rsidRPr="00FB3D74" w:rsidRDefault="004071CA" w:rsidP="00942E95">
            <w:pPr>
              <w:rPr>
                <w:rFonts w:cs="Arial"/>
                <w:sz w:val="16"/>
                <w:szCs w:val="16"/>
              </w:rPr>
            </w:pPr>
            <w:r w:rsidRPr="00FB3D74">
              <w:rPr>
                <w:rFonts w:cs="Arial"/>
                <w:sz w:val="16"/>
                <w:szCs w:val="16"/>
              </w:rPr>
              <w:t>La población estudiantil recibe una educación intercultural, global, de calidad y humanista, diseñada para la formación de estudiantes con sentido crítico, ético, inclusivo y sostenible.</w:t>
            </w:r>
          </w:p>
        </w:tc>
      </w:tr>
      <w:tr w:rsidR="004071CA" w:rsidRPr="00FB3D74" w14:paraId="43509293" w14:textId="77777777" w:rsidTr="00942E95">
        <w:trPr>
          <w:trHeight w:val="20"/>
        </w:trPr>
        <w:tc>
          <w:tcPr>
            <w:tcW w:w="3823" w:type="dxa"/>
            <w:shd w:val="clear" w:color="auto" w:fill="F2F2F2" w:themeFill="background1" w:themeFillShade="F2"/>
            <w:vAlign w:val="center"/>
          </w:tcPr>
          <w:p w14:paraId="758DDD58"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5E718036"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30945482" w14:textId="77777777" w:rsidTr="00942E95">
        <w:trPr>
          <w:trHeight w:val="20"/>
        </w:trPr>
        <w:tc>
          <w:tcPr>
            <w:tcW w:w="3823" w:type="dxa"/>
            <w:vAlign w:val="center"/>
          </w:tcPr>
          <w:p w14:paraId="0513EE05" w14:textId="0D10F6BB" w:rsidR="004071CA" w:rsidRPr="00FB3D74" w:rsidRDefault="004071CA" w:rsidP="00942E95">
            <w:pPr>
              <w:rPr>
                <w:rFonts w:cs="Arial"/>
                <w:sz w:val="16"/>
                <w:szCs w:val="16"/>
              </w:rPr>
            </w:pPr>
            <w:r w:rsidRPr="00FB3D74">
              <w:rPr>
                <w:rFonts w:cs="Arial"/>
                <w:sz w:val="16"/>
                <w:szCs w:val="16"/>
              </w:rPr>
              <w:t xml:space="preserve">Las y los Docentes, </w:t>
            </w:r>
            <w:r w:rsidR="00F73CAF" w:rsidRPr="00FB3D74">
              <w:rPr>
                <w:rFonts w:cs="Arial"/>
                <w:sz w:val="16"/>
                <w:szCs w:val="16"/>
              </w:rPr>
              <w:t xml:space="preserve">Académicos </w:t>
            </w:r>
            <w:r w:rsidRPr="00FB3D74">
              <w:rPr>
                <w:rFonts w:cs="Arial"/>
                <w:sz w:val="16"/>
                <w:szCs w:val="16"/>
              </w:rPr>
              <w:t xml:space="preserve">y </w:t>
            </w:r>
            <w:r w:rsidR="00F73CAF" w:rsidRPr="00FB3D74">
              <w:rPr>
                <w:rFonts w:cs="Arial"/>
                <w:sz w:val="16"/>
                <w:szCs w:val="16"/>
              </w:rPr>
              <w:t>Comunitarios</w:t>
            </w:r>
            <w:r w:rsidRPr="00FB3D74">
              <w:rPr>
                <w:rFonts w:cs="Arial"/>
                <w:sz w:val="16"/>
                <w:szCs w:val="16"/>
              </w:rPr>
              <w:t>, capacitados y habilitados en los procesos de aprendizaje dialógico entre los saberes comunitarios.</w:t>
            </w:r>
          </w:p>
        </w:tc>
        <w:tc>
          <w:tcPr>
            <w:tcW w:w="4992" w:type="dxa"/>
            <w:vAlign w:val="center"/>
          </w:tcPr>
          <w:p w14:paraId="689ED668" w14:textId="77777777" w:rsidR="004071CA" w:rsidRPr="00FB3D74" w:rsidRDefault="004071CA" w:rsidP="00942E95">
            <w:pPr>
              <w:rPr>
                <w:rFonts w:cs="Arial"/>
                <w:sz w:val="16"/>
                <w:szCs w:val="16"/>
              </w:rPr>
            </w:pPr>
            <w:r w:rsidRPr="00FB3D74">
              <w:rPr>
                <w:rFonts w:cs="Arial"/>
                <w:sz w:val="16"/>
                <w:szCs w:val="16"/>
              </w:rPr>
              <w:t>26 docentes reconocidos, actualizados o habilitados.</w:t>
            </w:r>
          </w:p>
        </w:tc>
      </w:tr>
      <w:tr w:rsidR="004071CA" w:rsidRPr="00FB3D74" w14:paraId="4A79F0F1" w14:textId="77777777" w:rsidTr="00942E95">
        <w:trPr>
          <w:trHeight w:val="20"/>
        </w:trPr>
        <w:tc>
          <w:tcPr>
            <w:tcW w:w="3823" w:type="dxa"/>
            <w:vAlign w:val="center"/>
          </w:tcPr>
          <w:p w14:paraId="457ADB50" w14:textId="77777777" w:rsidR="004071CA" w:rsidRPr="00FB3D74" w:rsidRDefault="004071CA" w:rsidP="00942E95">
            <w:pPr>
              <w:rPr>
                <w:rFonts w:cs="Arial"/>
                <w:sz w:val="16"/>
                <w:szCs w:val="16"/>
              </w:rPr>
            </w:pPr>
            <w:r w:rsidRPr="00FB3D74">
              <w:rPr>
                <w:rFonts w:cs="Arial"/>
                <w:sz w:val="16"/>
                <w:szCs w:val="16"/>
              </w:rPr>
              <w:t>Programas Educativos pertinentes desde la interculturalidad, la diversidad de saberes y sujetos sociales, mediante relaciones y prácticas interculturales para el cuidado de la vida, los territorios y el bienestar social.</w:t>
            </w:r>
          </w:p>
        </w:tc>
        <w:tc>
          <w:tcPr>
            <w:tcW w:w="4992" w:type="dxa"/>
            <w:vAlign w:val="center"/>
          </w:tcPr>
          <w:p w14:paraId="153C6EF9" w14:textId="77777777" w:rsidR="004071CA" w:rsidRPr="00FB3D74" w:rsidRDefault="004071CA" w:rsidP="00942E95">
            <w:pPr>
              <w:rPr>
                <w:rFonts w:cs="Arial"/>
                <w:sz w:val="16"/>
                <w:szCs w:val="16"/>
              </w:rPr>
            </w:pPr>
            <w:r w:rsidRPr="00FB3D74">
              <w:rPr>
                <w:rFonts w:cs="Arial"/>
                <w:sz w:val="16"/>
                <w:szCs w:val="16"/>
              </w:rPr>
              <w:t>100 por ciento proyectos de vinculación.</w:t>
            </w:r>
          </w:p>
        </w:tc>
      </w:tr>
      <w:tr w:rsidR="004071CA" w:rsidRPr="00FB3D74" w14:paraId="3E093CF0" w14:textId="77777777" w:rsidTr="00942E95">
        <w:trPr>
          <w:trHeight w:val="20"/>
        </w:trPr>
        <w:tc>
          <w:tcPr>
            <w:tcW w:w="3823" w:type="dxa"/>
            <w:vAlign w:val="center"/>
          </w:tcPr>
          <w:p w14:paraId="431D2704" w14:textId="77777777" w:rsidR="004071CA" w:rsidRPr="00FB3D74" w:rsidRDefault="004071CA" w:rsidP="00942E95">
            <w:pPr>
              <w:rPr>
                <w:rFonts w:cs="Arial"/>
                <w:sz w:val="16"/>
                <w:szCs w:val="16"/>
              </w:rPr>
            </w:pPr>
            <w:r w:rsidRPr="00FB3D74">
              <w:rPr>
                <w:rFonts w:cs="Arial"/>
                <w:sz w:val="16"/>
                <w:szCs w:val="16"/>
              </w:rPr>
              <w:t>Infraestructura suficiente para la demanda de Nivel Superior.</w:t>
            </w:r>
          </w:p>
        </w:tc>
        <w:tc>
          <w:tcPr>
            <w:tcW w:w="4992" w:type="dxa"/>
            <w:vAlign w:val="center"/>
          </w:tcPr>
          <w:p w14:paraId="506E99A5" w14:textId="77777777" w:rsidR="004071CA" w:rsidRPr="00FB3D74" w:rsidRDefault="004071CA" w:rsidP="00942E95">
            <w:pPr>
              <w:rPr>
                <w:rFonts w:cs="Arial"/>
                <w:sz w:val="16"/>
                <w:szCs w:val="16"/>
              </w:rPr>
            </w:pPr>
            <w:r w:rsidRPr="00FB3D74">
              <w:rPr>
                <w:rFonts w:cs="Arial"/>
                <w:sz w:val="16"/>
                <w:szCs w:val="16"/>
              </w:rPr>
              <w:t>3 obras programadas.</w:t>
            </w:r>
          </w:p>
        </w:tc>
      </w:tr>
      <w:tr w:rsidR="004071CA" w:rsidRPr="00FB3D74" w14:paraId="283F8E0D" w14:textId="77777777" w:rsidTr="00942E95">
        <w:trPr>
          <w:trHeight w:val="20"/>
        </w:trPr>
        <w:tc>
          <w:tcPr>
            <w:tcW w:w="3823" w:type="dxa"/>
            <w:vAlign w:val="center"/>
          </w:tcPr>
          <w:p w14:paraId="03738F8B" w14:textId="77777777" w:rsidR="004071CA" w:rsidRPr="00FB3D74" w:rsidRDefault="004071CA" w:rsidP="00942E95">
            <w:pPr>
              <w:rPr>
                <w:rFonts w:cs="Arial"/>
                <w:sz w:val="16"/>
                <w:szCs w:val="16"/>
              </w:rPr>
            </w:pPr>
            <w:r w:rsidRPr="00FB3D74">
              <w:rPr>
                <w:rFonts w:cs="Arial"/>
                <w:sz w:val="16"/>
                <w:szCs w:val="16"/>
              </w:rPr>
              <w:t>Operación de la Universidad Intercultural de Colima.</w:t>
            </w:r>
          </w:p>
        </w:tc>
        <w:tc>
          <w:tcPr>
            <w:tcW w:w="4992" w:type="dxa"/>
            <w:vAlign w:val="center"/>
          </w:tcPr>
          <w:p w14:paraId="03567E7F" w14:textId="7D7D6754" w:rsidR="004071CA" w:rsidRPr="00FB3D74" w:rsidRDefault="004071CA" w:rsidP="00942E95">
            <w:pPr>
              <w:rPr>
                <w:rFonts w:cs="Arial"/>
                <w:sz w:val="16"/>
                <w:szCs w:val="16"/>
              </w:rPr>
            </w:pPr>
            <w:r w:rsidRPr="00FB3D74">
              <w:rPr>
                <w:rFonts w:cs="Arial"/>
                <w:sz w:val="16"/>
                <w:szCs w:val="16"/>
              </w:rPr>
              <w:t>Se ejerc</w:t>
            </w:r>
            <w:r w:rsidR="00FB3D74">
              <w:rPr>
                <w:rFonts w:cs="Arial"/>
                <w:sz w:val="16"/>
                <w:szCs w:val="16"/>
              </w:rPr>
              <w:t>e</w:t>
            </w:r>
            <w:r w:rsidRPr="00FB3D74">
              <w:rPr>
                <w:rFonts w:cs="Arial"/>
                <w:sz w:val="16"/>
                <w:szCs w:val="16"/>
              </w:rPr>
              <w:t xml:space="preserve"> el 100 por ciento del presupuesto asignado para la operatividad de la </w:t>
            </w:r>
            <w:r w:rsidR="00FB3D74" w:rsidRPr="00FB3D74">
              <w:rPr>
                <w:rFonts w:cs="Arial"/>
                <w:sz w:val="16"/>
                <w:szCs w:val="16"/>
              </w:rPr>
              <w:t>Universidad Intercultural de Colima</w:t>
            </w:r>
            <w:r w:rsidRPr="00FB3D74">
              <w:rPr>
                <w:rFonts w:cs="Arial"/>
                <w:sz w:val="16"/>
                <w:szCs w:val="16"/>
              </w:rPr>
              <w:t>.</w:t>
            </w:r>
          </w:p>
        </w:tc>
      </w:tr>
      <w:tr w:rsidR="004071CA" w:rsidRPr="00FB3D74" w14:paraId="10906D54" w14:textId="77777777" w:rsidTr="00942E95">
        <w:trPr>
          <w:trHeight w:val="20"/>
        </w:trPr>
        <w:tc>
          <w:tcPr>
            <w:tcW w:w="3823" w:type="dxa"/>
            <w:vAlign w:val="center"/>
          </w:tcPr>
          <w:p w14:paraId="2939603E" w14:textId="77777777" w:rsidR="004071CA" w:rsidRPr="00FB3D74" w:rsidRDefault="004071CA" w:rsidP="00942E95">
            <w:pPr>
              <w:rPr>
                <w:rFonts w:cs="Arial"/>
                <w:sz w:val="16"/>
                <w:szCs w:val="16"/>
              </w:rPr>
            </w:pPr>
            <w:r w:rsidRPr="00FB3D74">
              <w:rPr>
                <w:rFonts w:cs="Arial"/>
                <w:sz w:val="16"/>
                <w:szCs w:val="16"/>
              </w:rPr>
              <w:t>Participación activa, en conjunto con otros estudiantes y docentes, en proyectos de investigación científica-comunitaria que generan propuestas bajo rigor epistemológico, acordes a las necesidades locales, regionales e internacionales; asimismo plantea escenarios para la construcción de futuro desde las diferentes disciplinas.</w:t>
            </w:r>
          </w:p>
        </w:tc>
        <w:tc>
          <w:tcPr>
            <w:tcW w:w="4992" w:type="dxa"/>
            <w:vAlign w:val="center"/>
          </w:tcPr>
          <w:p w14:paraId="192DE3FF" w14:textId="77777777" w:rsidR="004071CA" w:rsidRPr="00FB3D74" w:rsidRDefault="004071CA" w:rsidP="00942E95">
            <w:pPr>
              <w:rPr>
                <w:rFonts w:cs="Arial"/>
                <w:sz w:val="16"/>
                <w:szCs w:val="16"/>
              </w:rPr>
            </w:pPr>
            <w:r w:rsidRPr="00FB3D74">
              <w:rPr>
                <w:rFonts w:cs="Arial"/>
                <w:sz w:val="16"/>
                <w:szCs w:val="16"/>
              </w:rPr>
              <w:t xml:space="preserve">100 por ciento de actividades planeadas. </w:t>
            </w:r>
          </w:p>
        </w:tc>
      </w:tr>
      <w:tr w:rsidR="004071CA" w:rsidRPr="00FB3D74" w14:paraId="755BDA37" w14:textId="77777777" w:rsidTr="00942E95">
        <w:trPr>
          <w:trHeight w:val="20"/>
        </w:trPr>
        <w:tc>
          <w:tcPr>
            <w:tcW w:w="3823" w:type="dxa"/>
            <w:shd w:val="clear" w:color="auto" w:fill="F2F2F2" w:themeFill="background1" w:themeFillShade="F2"/>
            <w:vAlign w:val="center"/>
          </w:tcPr>
          <w:p w14:paraId="0FBEF221" w14:textId="4C2CFFEA"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2B5BA1D3" w14:textId="5FE2FB45" w:rsidR="004071CA" w:rsidRPr="00FB3D74" w:rsidRDefault="004071CA" w:rsidP="00942E95">
            <w:pPr>
              <w:rPr>
                <w:rFonts w:cs="Arial"/>
                <w:b/>
                <w:bCs/>
                <w:sz w:val="16"/>
                <w:szCs w:val="16"/>
              </w:rPr>
            </w:pPr>
            <w:r w:rsidRPr="00FB3D74">
              <w:rPr>
                <w:rFonts w:cs="Arial"/>
                <w:b/>
                <w:bCs/>
                <w:sz w:val="16"/>
                <w:szCs w:val="16"/>
              </w:rPr>
              <w:t>7</w:t>
            </w:r>
            <w:r w:rsidR="00942E95" w:rsidRPr="00FB3D74">
              <w:rPr>
                <w:rFonts w:cs="Arial"/>
                <w:b/>
                <w:bCs/>
                <w:sz w:val="16"/>
                <w:szCs w:val="16"/>
              </w:rPr>
              <w:t>.</w:t>
            </w:r>
          </w:p>
        </w:tc>
      </w:tr>
      <w:tr w:rsidR="004071CA" w:rsidRPr="00FB3D74" w14:paraId="07212D00" w14:textId="77777777" w:rsidTr="00942E95">
        <w:trPr>
          <w:trHeight w:val="20"/>
        </w:trPr>
        <w:tc>
          <w:tcPr>
            <w:tcW w:w="3823" w:type="dxa"/>
            <w:shd w:val="clear" w:color="auto" w:fill="F2F2F2" w:themeFill="background1" w:themeFillShade="F2"/>
            <w:vAlign w:val="center"/>
          </w:tcPr>
          <w:p w14:paraId="5FCF6385" w14:textId="75628707"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3229C2C1" w14:textId="77777777" w:rsidR="004071CA" w:rsidRPr="00FB3D74" w:rsidRDefault="004071CA" w:rsidP="00942E95">
            <w:pPr>
              <w:rPr>
                <w:rFonts w:cs="Arial"/>
                <w:b/>
                <w:bCs/>
                <w:sz w:val="16"/>
                <w:szCs w:val="16"/>
              </w:rPr>
            </w:pPr>
            <w:r w:rsidRPr="00FB3D74">
              <w:rPr>
                <w:rFonts w:cs="Arial"/>
                <w:b/>
                <w:bCs/>
                <w:sz w:val="16"/>
                <w:szCs w:val="16"/>
              </w:rPr>
              <w:t>Universidad de Colima.</w:t>
            </w:r>
          </w:p>
        </w:tc>
      </w:tr>
      <w:tr w:rsidR="004071CA" w:rsidRPr="00FB3D74" w14:paraId="577AD811" w14:textId="77777777" w:rsidTr="00942E95">
        <w:trPr>
          <w:trHeight w:val="20"/>
        </w:trPr>
        <w:tc>
          <w:tcPr>
            <w:tcW w:w="3823" w:type="dxa"/>
            <w:shd w:val="clear" w:color="auto" w:fill="F2F2F2" w:themeFill="background1" w:themeFillShade="F2"/>
            <w:vAlign w:val="center"/>
          </w:tcPr>
          <w:p w14:paraId="1EC80609" w14:textId="21CE7D48"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7A9C411C" w14:textId="570AA048" w:rsidR="004071CA" w:rsidRPr="00FB3D74" w:rsidRDefault="004071CA" w:rsidP="00942E95">
            <w:pPr>
              <w:rPr>
                <w:rFonts w:cs="Arial"/>
                <w:sz w:val="16"/>
                <w:szCs w:val="16"/>
              </w:rPr>
            </w:pPr>
            <w:r w:rsidRPr="00FB3D74">
              <w:rPr>
                <w:rFonts w:cs="Arial"/>
                <w:sz w:val="16"/>
                <w:szCs w:val="16"/>
              </w:rPr>
              <w:t xml:space="preserve">La población de 15 a 23 años del </w:t>
            </w:r>
            <w:r w:rsidR="00F73CAF" w:rsidRPr="00FB3D74">
              <w:rPr>
                <w:rFonts w:cs="Arial"/>
                <w:sz w:val="16"/>
                <w:szCs w:val="16"/>
              </w:rPr>
              <w:t>E</w:t>
            </w:r>
            <w:r w:rsidRPr="00FB3D74">
              <w:rPr>
                <w:rFonts w:cs="Arial"/>
                <w:sz w:val="16"/>
                <w:szCs w:val="16"/>
              </w:rPr>
              <w:t>stado de Colima recibe una educación integral, global, pertinente y de calidad, para la formación de bachilleres y profesionales con pensamiento científico, sentido crítico, humanista, ético, inclusivo y sostenible.</w:t>
            </w:r>
          </w:p>
        </w:tc>
      </w:tr>
      <w:tr w:rsidR="004071CA" w:rsidRPr="00FB3D74" w14:paraId="569109E3" w14:textId="77777777" w:rsidTr="00942E95">
        <w:trPr>
          <w:trHeight w:val="20"/>
        </w:trPr>
        <w:tc>
          <w:tcPr>
            <w:tcW w:w="3823" w:type="dxa"/>
            <w:shd w:val="clear" w:color="auto" w:fill="F2F2F2" w:themeFill="background1" w:themeFillShade="F2"/>
            <w:vAlign w:val="center"/>
          </w:tcPr>
          <w:p w14:paraId="1EBFD89F"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40E61A70" w14:textId="77777777" w:rsidR="004071CA" w:rsidRPr="00FB3D74" w:rsidRDefault="004071CA" w:rsidP="00942E95">
            <w:pPr>
              <w:jc w:val="center"/>
              <w:rPr>
                <w:rFonts w:cs="Arial"/>
                <w:b/>
                <w:bCs/>
                <w:sz w:val="16"/>
                <w:szCs w:val="16"/>
              </w:rPr>
            </w:pPr>
            <w:r w:rsidRPr="00FB3D74">
              <w:rPr>
                <w:rFonts w:cs="Arial"/>
                <w:b/>
                <w:bCs/>
                <w:sz w:val="16"/>
                <w:szCs w:val="16"/>
              </w:rPr>
              <w:t>Metas</w:t>
            </w:r>
          </w:p>
        </w:tc>
      </w:tr>
      <w:tr w:rsidR="004071CA" w:rsidRPr="00FB3D74" w14:paraId="49FC9D72" w14:textId="77777777" w:rsidTr="00942E95">
        <w:trPr>
          <w:trHeight w:val="20"/>
        </w:trPr>
        <w:tc>
          <w:tcPr>
            <w:tcW w:w="3823" w:type="dxa"/>
            <w:vMerge w:val="restart"/>
            <w:vAlign w:val="center"/>
          </w:tcPr>
          <w:p w14:paraId="15352315" w14:textId="77777777" w:rsidR="004071CA" w:rsidRPr="00FB3D74" w:rsidRDefault="004071CA" w:rsidP="00942E95">
            <w:pPr>
              <w:rPr>
                <w:rFonts w:cs="Arial"/>
                <w:sz w:val="16"/>
                <w:szCs w:val="16"/>
              </w:rPr>
            </w:pPr>
            <w:r w:rsidRPr="00FB3D74">
              <w:rPr>
                <w:rFonts w:cs="Arial"/>
                <w:sz w:val="16"/>
                <w:szCs w:val="16"/>
              </w:rPr>
              <w:t>Servicios de educación media superior y superior, pertinentes y de calidad brindados.</w:t>
            </w:r>
          </w:p>
        </w:tc>
        <w:tc>
          <w:tcPr>
            <w:tcW w:w="4992" w:type="dxa"/>
            <w:vAlign w:val="center"/>
          </w:tcPr>
          <w:p w14:paraId="328F9966" w14:textId="01E63F50" w:rsidR="004071CA" w:rsidRPr="00FB3D74" w:rsidRDefault="004071CA" w:rsidP="00942E95">
            <w:pPr>
              <w:rPr>
                <w:rFonts w:cs="Arial"/>
                <w:sz w:val="16"/>
                <w:szCs w:val="16"/>
              </w:rPr>
            </w:pPr>
            <w:r w:rsidRPr="00FB3D74">
              <w:rPr>
                <w:rFonts w:cs="Arial"/>
                <w:sz w:val="16"/>
                <w:szCs w:val="16"/>
              </w:rPr>
              <w:t xml:space="preserve">54.6 por ciento, absorción de </w:t>
            </w:r>
            <w:r w:rsidR="00F73CAF" w:rsidRPr="00FB3D74">
              <w:rPr>
                <w:rFonts w:cs="Arial"/>
                <w:sz w:val="16"/>
                <w:szCs w:val="16"/>
              </w:rPr>
              <w:t>Nivel Medio Superior</w:t>
            </w:r>
            <w:r w:rsidRPr="00FB3D74">
              <w:rPr>
                <w:rFonts w:cs="Arial"/>
                <w:sz w:val="16"/>
                <w:szCs w:val="16"/>
              </w:rPr>
              <w:t>.</w:t>
            </w:r>
          </w:p>
        </w:tc>
      </w:tr>
      <w:tr w:rsidR="004071CA" w:rsidRPr="00FB3D74" w14:paraId="794C237E" w14:textId="77777777" w:rsidTr="00942E95">
        <w:trPr>
          <w:trHeight w:val="20"/>
        </w:trPr>
        <w:tc>
          <w:tcPr>
            <w:tcW w:w="3823" w:type="dxa"/>
            <w:vMerge/>
            <w:vAlign w:val="center"/>
          </w:tcPr>
          <w:p w14:paraId="7B30EB83" w14:textId="77777777" w:rsidR="004071CA" w:rsidRPr="00FB3D74" w:rsidRDefault="004071CA" w:rsidP="00942E95">
            <w:pPr>
              <w:rPr>
                <w:rFonts w:cs="Arial"/>
                <w:sz w:val="16"/>
                <w:szCs w:val="16"/>
              </w:rPr>
            </w:pPr>
          </w:p>
        </w:tc>
        <w:tc>
          <w:tcPr>
            <w:tcW w:w="4992" w:type="dxa"/>
            <w:vAlign w:val="center"/>
          </w:tcPr>
          <w:p w14:paraId="1EC7FD46" w14:textId="7917884C" w:rsidR="004071CA" w:rsidRPr="00FB3D74" w:rsidRDefault="004071CA" w:rsidP="00942E95">
            <w:pPr>
              <w:rPr>
                <w:rFonts w:cs="Arial"/>
                <w:sz w:val="16"/>
                <w:szCs w:val="16"/>
              </w:rPr>
            </w:pPr>
            <w:r w:rsidRPr="00FB3D74">
              <w:rPr>
                <w:rFonts w:cs="Arial"/>
                <w:sz w:val="16"/>
                <w:szCs w:val="16"/>
              </w:rPr>
              <w:t xml:space="preserve">35.8 por ciento, absorción de </w:t>
            </w:r>
            <w:r w:rsidR="00F73CAF" w:rsidRPr="00FB3D74">
              <w:rPr>
                <w:rFonts w:cs="Arial"/>
                <w:sz w:val="16"/>
                <w:szCs w:val="16"/>
              </w:rPr>
              <w:t>Licenciatura</w:t>
            </w:r>
            <w:r w:rsidRPr="00FB3D74">
              <w:rPr>
                <w:rFonts w:cs="Arial"/>
                <w:sz w:val="16"/>
                <w:szCs w:val="16"/>
              </w:rPr>
              <w:t>.</w:t>
            </w:r>
          </w:p>
        </w:tc>
      </w:tr>
      <w:tr w:rsidR="004071CA" w:rsidRPr="00FB3D74" w14:paraId="094CD6E8" w14:textId="77777777" w:rsidTr="00942E95">
        <w:trPr>
          <w:trHeight w:val="20"/>
        </w:trPr>
        <w:tc>
          <w:tcPr>
            <w:tcW w:w="3823" w:type="dxa"/>
            <w:vMerge/>
            <w:vAlign w:val="center"/>
          </w:tcPr>
          <w:p w14:paraId="78FA9A65" w14:textId="77777777" w:rsidR="004071CA" w:rsidRPr="00FB3D74" w:rsidRDefault="004071CA" w:rsidP="00942E95">
            <w:pPr>
              <w:rPr>
                <w:rFonts w:cs="Arial"/>
                <w:sz w:val="16"/>
                <w:szCs w:val="16"/>
              </w:rPr>
            </w:pPr>
          </w:p>
        </w:tc>
        <w:tc>
          <w:tcPr>
            <w:tcW w:w="4992" w:type="dxa"/>
            <w:vAlign w:val="center"/>
          </w:tcPr>
          <w:p w14:paraId="41021E2F" w14:textId="7D99EAFB" w:rsidR="004071CA" w:rsidRPr="00FB3D74" w:rsidRDefault="004071CA" w:rsidP="00942E95">
            <w:pPr>
              <w:rPr>
                <w:rFonts w:cs="Arial"/>
                <w:sz w:val="16"/>
                <w:szCs w:val="16"/>
              </w:rPr>
            </w:pPr>
            <w:r w:rsidRPr="00FB3D74">
              <w:rPr>
                <w:rFonts w:cs="Arial"/>
                <w:sz w:val="16"/>
                <w:szCs w:val="16"/>
              </w:rPr>
              <w:t xml:space="preserve">7. por ciento, matrícula en </w:t>
            </w:r>
            <w:r w:rsidR="00F73CAF" w:rsidRPr="00FB3D74">
              <w:rPr>
                <w:rFonts w:cs="Arial"/>
                <w:sz w:val="16"/>
                <w:szCs w:val="16"/>
              </w:rPr>
              <w:t>Posgrado</w:t>
            </w:r>
            <w:r w:rsidRPr="00FB3D74">
              <w:rPr>
                <w:rFonts w:cs="Arial"/>
                <w:sz w:val="16"/>
                <w:szCs w:val="16"/>
              </w:rPr>
              <w:t>.</w:t>
            </w:r>
          </w:p>
        </w:tc>
      </w:tr>
      <w:tr w:rsidR="004071CA" w:rsidRPr="00FB3D74" w14:paraId="0470B8C8" w14:textId="77777777" w:rsidTr="00942E95">
        <w:trPr>
          <w:trHeight w:val="20"/>
        </w:trPr>
        <w:tc>
          <w:tcPr>
            <w:tcW w:w="3823" w:type="dxa"/>
            <w:vMerge w:val="restart"/>
            <w:vAlign w:val="center"/>
          </w:tcPr>
          <w:p w14:paraId="3786CF1B" w14:textId="77777777" w:rsidR="004071CA" w:rsidRPr="00FB3D74" w:rsidRDefault="004071CA" w:rsidP="00942E95">
            <w:pPr>
              <w:rPr>
                <w:rFonts w:cs="Arial"/>
                <w:sz w:val="16"/>
                <w:szCs w:val="16"/>
              </w:rPr>
            </w:pPr>
            <w:r w:rsidRPr="00FB3D74">
              <w:rPr>
                <w:rFonts w:cs="Arial"/>
                <w:sz w:val="16"/>
                <w:szCs w:val="16"/>
              </w:rPr>
              <w:t>Investigación científica competitiva y de calidad atendiendo los problemas sociales y productivos.</w:t>
            </w:r>
          </w:p>
        </w:tc>
        <w:tc>
          <w:tcPr>
            <w:tcW w:w="4992" w:type="dxa"/>
            <w:vAlign w:val="center"/>
          </w:tcPr>
          <w:p w14:paraId="49C4229D" w14:textId="14D8AADA" w:rsidR="004071CA" w:rsidRPr="00FB3D74" w:rsidRDefault="004071CA" w:rsidP="00942E95">
            <w:pPr>
              <w:rPr>
                <w:rFonts w:cs="Arial"/>
                <w:sz w:val="16"/>
                <w:szCs w:val="16"/>
              </w:rPr>
            </w:pPr>
            <w:r w:rsidRPr="00FB3D74">
              <w:rPr>
                <w:rFonts w:cs="Arial"/>
                <w:sz w:val="16"/>
                <w:szCs w:val="16"/>
              </w:rPr>
              <w:t>50.6 por ciento, PTC en el SNI.</w:t>
            </w:r>
          </w:p>
        </w:tc>
      </w:tr>
      <w:tr w:rsidR="004071CA" w:rsidRPr="00FB3D74" w14:paraId="28A71C60" w14:textId="77777777" w:rsidTr="00942E95">
        <w:trPr>
          <w:trHeight w:val="20"/>
        </w:trPr>
        <w:tc>
          <w:tcPr>
            <w:tcW w:w="3823" w:type="dxa"/>
            <w:vMerge/>
            <w:vAlign w:val="center"/>
          </w:tcPr>
          <w:p w14:paraId="736D78AA" w14:textId="77777777" w:rsidR="004071CA" w:rsidRPr="00FB3D74" w:rsidRDefault="004071CA" w:rsidP="00942E95">
            <w:pPr>
              <w:rPr>
                <w:rFonts w:cs="Arial"/>
                <w:sz w:val="16"/>
                <w:szCs w:val="16"/>
              </w:rPr>
            </w:pPr>
          </w:p>
        </w:tc>
        <w:tc>
          <w:tcPr>
            <w:tcW w:w="4992" w:type="dxa"/>
            <w:vAlign w:val="center"/>
          </w:tcPr>
          <w:p w14:paraId="49BB11CF" w14:textId="77777777" w:rsidR="004071CA" w:rsidRPr="00FB3D74" w:rsidRDefault="004071CA" w:rsidP="00942E95">
            <w:pPr>
              <w:rPr>
                <w:rFonts w:cs="Arial"/>
                <w:sz w:val="16"/>
                <w:szCs w:val="16"/>
              </w:rPr>
            </w:pPr>
            <w:r w:rsidRPr="00FB3D74">
              <w:rPr>
                <w:rFonts w:cs="Arial"/>
                <w:sz w:val="16"/>
                <w:szCs w:val="16"/>
              </w:rPr>
              <w:t>Proyectos que atienden problemas sociales y productivos.</w:t>
            </w:r>
          </w:p>
        </w:tc>
      </w:tr>
      <w:tr w:rsidR="004071CA" w:rsidRPr="00FB3D74" w14:paraId="561293FF" w14:textId="77777777" w:rsidTr="00942E95">
        <w:trPr>
          <w:trHeight w:val="20"/>
        </w:trPr>
        <w:tc>
          <w:tcPr>
            <w:tcW w:w="3823" w:type="dxa"/>
            <w:vAlign w:val="center"/>
          </w:tcPr>
          <w:p w14:paraId="2DF8511D" w14:textId="7CD5E329" w:rsidR="004071CA" w:rsidRPr="00FB3D74" w:rsidRDefault="004071CA" w:rsidP="00942E95">
            <w:pPr>
              <w:rPr>
                <w:rFonts w:cs="Arial"/>
                <w:sz w:val="16"/>
                <w:szCs w:val="16"/>
              </w:rPr>
            </w:pPr>
            <w:r w:rsidRPr="00FB3D74">
              <w:rPr>
                <w:rFonts w:cs="Arial"/>
                <w:sz w:val="16"/>
                <w:szCs w:val="16"/>
              </w:rPr>
              <w:t xml:space="preserve">Colaboración entre </w:t>
            </w:r>
            <w:r w:rsidR="00FB3D74" w:rsidRPr="00FB3D74">
              <w:rPr>
                <w:rFonts w:cs="Arial"/>
                <w:sz w:val="16"/>
                <w:szCs w:val="16"/>
              </w:rPr>
              <w:t xml:space="preserve">Universidad-Sociedad-Empresa </w:t>
            </w:r>
            <w:r w:rsidRPr="00FB3D74">
              <w:rPr>
                <w:rFonts w:cs="Arial"/>
                <w:sz w:val="16"/>
                <w:szCs w:val="16"/>
              </w:rPr>
              <w:t xml:space="preserve">orientada a la </w:t>
            </w:r>
            <w:r w:rsidR="00FB3D74" w:rsidRPr="00FB3D74">
              <w:rPr>
                <w:rFonts w:cs="Arial"/>
                <w:sz w:val="16"/>
                <w:szCs w:val="16"/>
              </w:rPr>
              <w:t>Extensión-Vinculación</w:t>
            </w:r>
            <w:r w:rsidRPr="00FB3D74">
              <w:rPr>
                <w:rFonts w:cs="Arial"/>
                <w:sz w:val="16"/>
                <w:szCs w:val="16"/>
              </w:rPr>
              <w:t>, con los sectores de la sociedad, incrementada.</w:t>
            </w:r>
          </w:p>
        </w:tc>
        <w:tc>
          <w:tcPr>
            <w:tcW w:w="4992" w:type="dxa"/>
            <w:vAlign w:val="center"/>
          </w:tcPr>
          <w:p w14:paraId="2A4C8EE4" w14:textId="1D7623E9" w:rsidR="004071CA" w:rsidRPr="00FB3D74" w:rsidRDefault="004071CA" w:rsidP="00942E95">
            <w:pPr>
              <w:rPr>
                <w:rFonts w:cs="Arial"/>
                <w:sz w:val="16"/>
                <w:szCs w:val="16"/>
              </w:rPr>
            </w:pPr>
            <w:r w:rsidRPr="00FB3D74">
              <w:rPr>
                <w:rFonts w:cs="Arial"/>
                <w:sz w:val="16"/>
                <w:szCs w:val="16"/>
              </w:rPr>
              <w:t>25 por ciento, proyectos de vinculación que atiendan necesidades específicas del sector público y empresarial.</w:t>
            </w:r>
          </w:p>
        </w:tc>
      </w:tr>
      <w:tr w:rsidR="004071CA" w:rsidRPr="00FB3D74" w14:paraId="66C8F6E4" w14:textId="77777777" w:rsidTr="00942E95">
        <w:trPr>
          <w:trHeight w:val="20"/>
        </w:trPr>
        <w:tc>
          <w:tcPr>
            <w:tcW w:w="3823" w:type="dxa"/>
            <w:vAlign w:val="center"/>
          </w:tcPr>
          <w:p w14:paraId="21C48F4E" w14:textId="77777777" w:rsidR="004071CA" w:rsidRPr="00FB3D74" w:rsidRDefault="004071CA" w:rsidP="00942E95">
            <w:pPr>
              <w:rPr>
                <w:rFonts w:cs="Arial"/>
                <w:sz w:val="16"/>
                <w:szCs w:val="16"/>
              </w:rPr>
            </w:pPr>
            <w:r w:rsidRPr="00FB3D74">
              <w:rPr>
                <w:rFonts w:cs="Arial"/>
                <w:sz w:val="16"/>
                <w:szCs w:val="16"/>
              </w:rPr>
              <w:lastRenderedPageBreak/>
              <w:t>Procesos para el desarrollo eficiente y eficaz de la gobernanza institucional actualizados.</w:t>
            </w:r>
          </w:p>
        </w:tc>
        <w:tc>
          <w:tcPr>
            <w:tcW w:w="4992" w:type="dxa"/>
            <w:vAlign w:val="center"/>
          </w:tcPr>
          <w:p w14:paraId="0CBA6BDF" w14:textId="0F671D93" w:rsidR="004071CA" w:rsidRPr="00FB3D74" w:rsidRDefault="004071CA" w:rsidP="00942E95">
            <w:pPr>
              <w:rPr>
                <w:rFonts w:cs="Arial"/>
                <w:sz w:val="16"/>
                <w:szCs w:val="16"/>
              </w:rPr>
            </w:pPr>
            <w:r w:rsidRPr="00FB3D74">
              <w:rPr>
                <w:rFonts w:cs="Arial"/>
                <w:sz w:val="16"/>
                <w:szCs w:val="16"/>
              </w:rPr>
              <w:t>44 por ciento, procesos adecuados y documentados para la gobernanza institucional.</w:t>
            </w:r>
          </w:p>
        </w:tc>
      </w:tr>
      <w:tr w:rsidR="004071CA" w:rsidRPr="00FB3D74" w14:paraId="05EF4534" w14:textId="77777777" w:rsidTr="00942E95">
        <w:trPr>
          <w:trHeight w:val="20"/>
        </w:trPr>
        <w:tc>
          <w:tcPr>
            <w:tcW w:w="3823" w:type="dxa"/>
            <w:shd w:val="clear" w:color="auto" w:fill="F2F2F2" w:themeFill="background1" w:themeFillShade="F2"/>
            <w:vAlign w:val="center"/>
          </w:tcPr>
          <w:p w14:paraId="46B48176" w14:textId="33352A9E"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15D776A5" w14:textId="52352273" w:rsidR="004071CA" w:rsidRPr="00FB3D74" w:rsidRDefault="004071CA" w:rsidP="00942E95">
            <w:pPr>
              <w:rPr>
                <w:rFonts w:cs="Arial"/>
                <w:b/>
                <w:bCs/>
                <w:sz w:val="16"/>
                <w:szCs w:val="16"/>
              </w:rPr>
            </w:pPr>
            <w:r w:rsidRPr="00FB3D74">
              <w:rPr>
                <w:rFonts w:cs="Arial"/>
                <w:b/>
                <w:bCs/>
                <w:sz w:val="16"/>
                <w:szCs w:val="16"/>
              </w:rPr>
              <w:t>9</w:t>
            </w:r>
            <w:r w:rsidR="00942E95" w:rsidRPr="00FB3D74">
              <w:rPr>
                <w:rFonts w:cs="Arial"/>
                <w:b/>
                <w:bCs/>
                <w:sz w:val="16"/>
                <w:szCs w:val="16"/>
              </w:rPr>
              <w:t>.</w:t>
            </w:r>
          </w:p>
        </w:tc>
      </w:tr>
      <w:tr w:rsidR="004071CA" w:rsidRPr="00FB3D74" w14:paraId="02384BDD" w14:textId="77777777" w:rsidTr="00942E95">
        <w:trPr>
          <w:trHeight w:val="20"/>
        </w:trPr>
        <w:tc>
          <w:tcPr>
            <w:tcW w:w="3823" w:type="dxa"/>
            <w:shd w:val="clear" w:color="auto" w:fill="F2F2F2" w:themeFill="background1" w:themeFillShade="F2"/>
            <w:vAlign w:val="center"/>
          </w:tcPr>
          <w:p w14:paraId="473E8447" w14:textId="19B0BBC1"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44656DF6" w14:textId="77777777" w:rsidR="004071CA" w:rsidRPr="00FB3D74" w:rsidRDefault="004071CA" w:rsidP="00942E95">
            <w:pPr>
              <w:rPr>
                <w:rFonts w:cs="Arial"/>
                <w:b/>
                <w:bCs/>
                <w:sz w:val="16"/>
                <w:szCs w:val="16"/>
              </w:rPr>
            </w:pPr>
            <w:r w:rsidRPr="00FB3D74">
              <w:rPr>
                <w:rFonts w:cs="Arial"/>
                <w:b/>
                <w:bCs/>
                <w:sz w:val="16"/>
                <w:szCs w:val="16"/>
              </w:rPr>
              <w:t>Universidad Tecnológica de Manzanillo.</w:t>
            </w:r>
          </w:p>
        </w:tc>
      </w:tr>
      <w:tr w:rsidR="004071CA" w:rsidRPr="00FB3D74" w14:paraId="38551FE1" w14:textId="77777777" w:rsidTr="00942E95">
        <w:trPr>
          <w:trHeight w:val="20"/>
        </w:trPr>
        <w:tc>
          <w:tcPr>
            <w:tcW w:w="3823" w:type="dxa"/>
            <w:shd w:val="clear" w:color="auto" w:fill="F2F2F2" w:themeFill="background1" w:themeFillShade="F2"/>
            <w:vAlign w:val="center"/>
          </w:tcPr>
          <w:p w14:paraId="44C31A6D" w14:textId="2C1F921D"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0BD9A9D6" w14:textId="77777777" w:rsidR="004071CA" w:rsidRPr="00FB3D74" w:rsidRDefault="004071CA" w:rsidP="00942E95">
            <w:pPr>
              <w:rPr>
                <w:rFonts w:cs="Arial"/>
                <w:sz w:val="16"/>
                <w:szCs w:val="16"/>
              </w:rPr>
            </w:pPr>
            <w:r w:rsidRPr="00FB3D74">
              <w:rPr>
                <w:rFonts w:cs="Arial"/>
                <w:sz w:val="16"/>
                <w:szCs w:val="16"/>
              </w:rPr>
              <w:t>La población de 18 a 22 años en el Estado de Colima accede a una educación superior de calidad, con amplia cobertura y pertinencia.</w:t>
            </w:r>
          </w:p>
        </w:tc>
      </w:tr>
      <w:tr w:rsidR="004071CA" w:rsidRPr="00FB3D74" w14:paraId="1DD792B7" w14:textId="77777777" w:rsidTr="00942E95">
        <w:trPr>
          <w:trHeight w:val="20"/>
        </w:trPr>
        <w:tc>
          <w:tcPr>
            <w:tcW w:w="3823" w:type="dxa"/>
            <w:shd w:val="clear" w:color="auto" w:fill="F2F2F2" w:themeFill="background1" w:themeFillShade="F2"/>
            <w:vAlign w:val="center"/>
          </w:tcPr>
          <w:p w14:paraId="34B4C9DD"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16B0F5EF" w14:textId="77777777" w:rsidR="004071CA" w:rsidRPr="00FB3D74" w:rsidRDefault="004071CA" w:rsidP="00942E95">
            <w:pPr>
              <w:jc w:val="center"/>
              <w:rPr>
                <w:rFonts w:cs="Arial"/>
                <w:b/>
                <w:bCs/>
                <w:sz w:val="16"/>
                <w:szCs w:val="16"/>
              </w:rPr>
            </w:pPr>
            <w:r w:rsidRPr="00FB3D74">
              <w:rPr>
                <w:rFonts w:cs="Arial"/>
                <w:b/>
                <w:bCs/>
                <w:sz w:val="16"/>
                <w:szCs w:val="16"/>
              </w:rPr>
              <w:t>Metas</w:t>
            </w:r>
          </w:p>
        </w:tc>
      </w:tr>
      <w:tr w:rsidR="004071CA" w:rsidRPr="00FB3D74" w14:paraId="145A1267" w14:textId="77777777" w:rsidTr="00942E95">
        <w:trPr>
          <w:trHeight w:val="20"/>
        </w:trPr>
        <w:tc>
          <w:tcPr>
            <w:tcW w:w="3823" w:type="dxa"/>
            <w:vMerge w:val="restart"/>
            <w:vAlign w:val="center"/>
          </w:tcPr>
          <w:p w14:paraId="7224357E" w14:textId="77777777" w:rsidR="004071CA" w:rsidRPr="00FB3D74" w:rsidRDefault="004071CA" w:rsidP="00942E95">
            <w:pPr>
              <w:rPr>
                <w:rFonts w:cs="Arial"/>
                <w:sz w:val="16"/>
                <w:szCs w:val="16"/>
              </w:rPr>
            </w:pPr>
            <w:r w:rsidRPr="00FB3D74">
              <w:rPr>
                <w:rFonts w:cs="Arial"/>
                <w:sz w:val="16"/>
                <w:szCs w:val="16"/>
              </w:rPr>
              <w:t>Alumnos de educación superior atendidos.</w:t>
            </w:r>
          </w:p>
        </w:tc>
        <w:tc>
          <w:tcPr>
            <w:tcW w:w="4992" w:type="dxa"/>
            <w:vAlign w:val="center"/>
          </w:tcPr>
          <w:p w14:paraId="722519C2" w14:textId="77777777" w:rsidR="004071CA" w:rsidRPr="00FB3D74" w:rsidRDefault="004071CA" w:rsidP="00942E95">
            <w:pPr>
              <w:rPr>
                <w:rFonts w:cs="Arial"/>
                <w:sz w:val="16"/>
                <w:szCs w:val="16"/>
              </w:rPr>
            </w:pPr>
            <w:r w:rsidRPr="00FB3D74">
              <w:rPr>
                <w:rFonts w:cs="Arial"/>
                <w:sz w:val="16"/>
                <w:szCs w:val="16"/>
              </w:rPr>
              <w:t xml:space="preserve">Mantener el 91.6 por ciento alumnos aprobados y regularizados al final del ciclo escolar que representa a 946 alumnos. </w:t>
            </w:r>
          </w:p>
        </w:tc>
      </w:tr>
      <w:tr w:rsidR="004071CA" w:rsidRPr="00FB3D74" w14:paraId="4CF7624E" w14:textId="77777777" w:rsidTr="00942E95">
        <w:trPr>
          <w:trHeight w:val="20"/>
        </w:trPr>
        <w:tc>
          <w:tcPr>
            <w:tcW w:w="3823" w:type="dxa"/>
            <w:vMerge/>
            <w:vAlign w:val="center"/>
          </w:tcPr>
          <w:p w14:paraId="5E80B4AF" w14:textId="77777777" w:rsidR="004071CA" w:rsidRPr="00FB3D74" w:rsidRDefault="004071CA" w:rsidP="00942E95">
            <w:pPr>
              <w:rPr>
                <w:rFonts w:cs="Arial"/>
                <w:sz w:val="16"/>
                <w:szCs w:val="16"/>
              </w:rPr>
            </w:pPr>
          </w:p>
        </w:tc>
        <w:tc>
          <w:tcPr>
            <w:tcW w:w="4992" w:type="dxa"/>
            <w:vAlign w:val="center"/>
          </w:tcPr>
          <w:p w14:paraId="0AA0916B" w14:textId="571F36D9" w:rsidR="004071CA" w:rsidRPr="00FB3D74" w:rsidRDefault="004071CA" w:rsidP="00942E95">
            <w:pPr>
              <w:rPr>
                <w:rFonts w:cs="Arial"/>
                <w:sz w:val="16"/>
                <w:szCs w:val="16"/>
              </w:rPr>
            </w:pPr>
            <w:r w:rsidRPr="00FB3D74">
              <w:rPr>
                <w:rFonts w:cs="Arial"/>
                <w:sz w:val="16"/>
                <w:szCs w:val="16"/>
              </w:rPr>
              <w:t>Lograr el 62.5 por ciento de alumnos egresados de la licenciatura de cohorte.</w:t>
            </w:r>
          </w:p>
        </w:tc>
      </w:tr>
      <w:tr w:rsidR="004071CA" w:rsidRPr="00FB3D74" w14:paraId="6BA55F47" w14:textId="77777777" w:rsidTr="00942E95">
        <w:trPr>
          <w:trHeight w:val="20"/>
        </w:trPr>
        <w:tc>
          <w:tcPr>
            <w:tcW w:w="3823" w:type="dxa"/>
            <w:vMerge/>
            <w:vAlign w:val="center"/>
          </w:tcPr>
          <w:p w14:paraId="49831929" w14:textId="77777777" w:rsidR="004071CA" w:rsidRPr="00FB3D74" w:rsidRDefault="004071CA" w:rsidP="00942E95">
            <w:pPr>
              <w:rPr>
                <w:rFonts w:cs="Arial"/>
                <w:sz w:val="16"/>
                <w:szCs w:val="16"/>
              </w:rPr>
            </w:pPr>
          </w:p>
        </w:tc>
        <w:tc>
          <w:tcPr>
            <w:tcW w:w="4992" w:type="dxa"/>
            <w:vAlign w:val="center"/>
          </w:tcPr>
          <w:p w14:paraId="45691708" w14:textId="294FFAFB" w:rsidR="004071CA" w:rsidRPr="00FB3D74" w:rsidRDefault="004071CA" w:rsidP="00942E95">
            <w:pPr>
              <w:rPr>
                <w:rFonts w:cs="Arial"/>
                <w:sz w:val="16"/>
                <w:szCs w:val="16"/>
              </w:rPr>
            </w:pPr>
            <w:r w:rsidRPr="00FB3D74">
              <w:rPr>
                <w:rFonts w:cs="Arial"/>
                <w:sz w:val="16"/>
                <w:szCs w:val="16"/>
              </w:rPr>
              <w:t>Lograr el 63 por ciento que representa 253 alumnos inscritos al segundo año de la generación N.</w:t>
            </w:r>
          </w:p>
        </w:tc>
      </w:tr>
      <w:tr w:rsidR="004071CA" w:rsidRPr="00FB3D74" w14:paraId="2B35F34A" w14:textId="77777777" w:rsidTr="00942E95">
        <w:trPr>
          <w:trHeight w:val="20"/>
        </w:trPr>
        <w:tc>
          <w:tcPr>
            <w:tcW w:w="3823" w:type="dxa"/>
            <w:vMerge/>
            <w:vAlign w:val="center"/>
          </w:tcPr>
          <w:p w14:paraId="42450AAC" w14:textId="77777777" w:rsidR="004071CA" w:rsidRPr="00FB3D74" w:rsidRDefault="004071CA" w:rsidP="00942E95">
            <w:pPr>
              <w:rPr>
                <w:rFonts w:cs="Arial"/>
                <w:sz w:val="16"/>
                <w:szCs w:val="16"/>
              </w:rPr>
            </w:pPr>
          </w:p>
        </w:tc>
        <w:tc>
          <w:tcPr>
            <w:tcW w:w="4992" w:type="dxa"/>
            <w:vAlign w:val="center"/>
          </w:tcPr>
          <w:p w14:paraId="6DB74744" w14:textId="77777777" w:rsidR="004071CA" w:rsidRPr="00FB3D74" w:rsidRDefault="004071CA" w:rsidP="00942E95">
            <w:pPr>
              <w:rPr>
                <w:rFonts w:cs="Arial"/>
                <w:sz w:val="16"/>
                <w:szCs w:val="16"/>
              </w:rPr>
            </w:pPr>
            <w:r w:rsidRPr="00FB3D74">
              <w:rPr>
                <w:rFonts w:cs="Arial"/>
                <w:sz w:val="16"/>
                <w:szCs w:val="16"/>
              </w:rPr>
              <w:t xml:space="preserve">Lograr una tasa de titulación del 50 por ciento. </w:t>
            </w:r>
          </w:p>
        </w:tc>
      </w:tr>
      <w:tr w:rsidR="004071CA" w:rsidRPr="00FB3D74" w14:paraId="5FF85FD0" w14:textId="77777777" w:rsidTr="00942E95">
        <w:trPr>
          <w:trHeight w:val="20"/>
        </w:trPr>
        <w:tc>
          <w:tcPr>
            <w:tcW w:w="3823" w:type="dxa"/>
            <w:vMerge w:val="restart"/>
            <w:vAlign w:val="center"/>
          </w:tcPr>
          <w:p w14:paraId="4FC333D3" w14:textId="77777777" w:rsidR="004071CA" w:rsidRPr="00FB3D74" w:rsidRDefault="004071CA" w:rsidP="00942E95">
            <w:pPr>
              <w:rPr>
                <w:rFonts w:cs="Arial"/>
                <w:sz w:val="16"/>
                <w:szCs w:val="16"/>
              </w:rPr>
            </w:pPr>
            <w:r w:rsidRPr="00FB3D74">
              <w:rPr>
                <w:rFonts w:cs="Arial"/>
                <w:sz w:val="16"/>
                <w:szCs w:val="16"/>
              </w:rPr>
              <w:t>Docentes reconocidos, actualizados o habilitados.</w:t>
            </w:r>
          </w:p>
        </w:tc>
        <w:tc>
          <w:tcPr>
            <w:tcW w:w="4992" w:type="dxa"/>
            <w:vAlign w:val="center"/>
          </w:tcPr>
          <w:p w14:paraId="0EA80C9B" w14:textId="51C326E9" w:rsidR="004071CA" w:rsidRPr="00FB3D74" w:rsidRDefault="004071CA" w:rsidP="00942E95">
            <w:pPr>
              <w:rPr>
                <w:rFonts w:cs="Arial"/>
                <w:sz w:val="16"/>
                <w:szCs w:val="16"/>
              </w:rPr>
            </w:pPr>
            <w:r w:rsidRPr="00FB3D74">
              <w:rPr>
                <w:rFonts w:cs="Arial"/>
                <w:sz w:val="16"/>
                <w:szCs w:val="16"/>
              </w:rPr>
              <w:t>Lograr que el 8.</w:t>
            </w:r>
            <w:r w:rsidR="00FB3D74">
              <w:rPr>
                <w:rFonts w:cs="Arial"/>
                <w:sz w:val="16"/>
                <w:szCs w:val="16"/>
              </w:rPr>
              <w:t>6</w:t>
            </w:r>
            <w:r w:rsidRPr="00FB3D74">
              <w:rPr>
                <w:rFonts w:cs="Arial"/>
                <w:sz w:val="16"/>
                <w:szCs w:val="16"/>
              </w:rPr>
              <w:t xml:space="preserve"> por ciento que representa 35 profesores de tiempo completo cuenten con perfil PRODEP. </w:t>
            </w:r>
          </w:p>
        </w:tc>
      </w:tr>
      <w:tr w:rsidR="004071CA" w:rsidRPr="00FB3D74" w14:paraId="35FAD024" w14:textId="77777777" w:rsidTr="00942E95">
        <w:trPr>
          <w:trHeight w:val="20"/>
        </w:trPr>
        <w:tc>
          <w:tcPr>
            <w:tcW w:w="3823" w:type="dxa"/>
            <w:vMerge/>
            <w:vAlign w:val="center"/>
          </w:tcPr>
          <w:p w14:paraId="56808FAB" w14:textId="77777777" w:rsidR="004071CA" w:rsidRPr="00FB3D74" w:rsidRDefault="004071CA" w:rsidP="00942E95">
            <w:pPr>
              <w:rPr>
                <w:rFonts w:cs="Arial"/>
                <w:sz w:val="16"/>
                <w:szCs w:val="16"/>
              </w:rPr>
            </w:pPr>
          </w:p>
        </w:tc>
        <w:tc>
          <w:tcPr>
            <w:tcW w:w="4992" w:type="dxa"/>
            <w:vAlign w:val="center"/>
          </w:tcPr>
          <w:p w14:paraId="1D147C8C" w14:textId="531EDFAD" w:rsidR="004071CA" w:rsidRPr="00FB3D74" w:rsidRDefault="004071CA" w:rsidP="00942E95">
            <w:pPr>
              <w:rPr>
                <w:rFonts w:cs="Arial"/>
                <w:sz w:val="16"/>
                <w:szCs w:val="16"/>
              </w:rPr>
            </w:pPr>
            <w:r w:rsidRPr="00FB3D74">
              <w:rPr>
                <w:rFonts w:cs="Arial"/>
                <w:sz w:val="16"/>
                <w:szCs w:val="16"/>
              </w:rPr>
              <w:t>Lograr el 8.</w:t>
            </w:r>
            <w:r w:rsidR="00FB3D74">
              <w:rPr>
                <w:rFonts w:cs="Arial"/>
                <w:sz w:val="16"/>
                <w:szCs w:val="16"/>
              </w:rPr>
              <w:t>6</w:t>
            </w:r>
            <w:r w:rsidRPr="00FB3D74">
              <w:rPr>
                <w:rFonts w:cs="Arial"/>
                <w:sz w:val="16"/>
                <w:szCs w:val="16"/>
              </w:rPr>
              <w:t xml:space="preserve"> por ciento que equivalen a 35 docentes de tiempo completo o su equivalente en horas pertenezcan al Sistema Nacional de Investigadores o su equivalente.</w:t>
            </w:r>
          </w:p>
        </w:tc>
      </w:tr>
      <w:tr w:rsidR="004071CA" w:rsidRPr="00FB3D74" w14:paraId="22473A49" w14:textId="77777777" w:rsidTr="00942E95">
        <w:trPr>
          <w:trHeight w:val="20"/>
        </w:trPr>
        <w:tc>
          <w:tcPr>
            <w:tcW w:w="3823" w:type="dxa"/>
            <w:vMerge w:val="restart"/>
            <w:vAlign w:val="center"/>
          </w:tcPr>
          <w:p w14:paraId="720FC147" w14:textId="77777777" w:rsidR="004071CA" w:rsidRPr="00FB3D74" w:rsidRDefault="004071CA" w:rsidP="00942E95">
            <w:pPr>
              <w:rPr>
                <w:rFonts w:cs="Arial"/>
                <w:sz w:val="16"/>
                <w:szCs w:val="16"/>
              </w:rPr>
            </w:pPr>
            <w:r w:rsidRPr="00FB3D74">
              <w:rPr>
                <w:rFonts w:cs="Arial"/>
                <w:sz w:val="16"/>
                <w:szCs w:val="16"/>
              </w:rPr>
              <w:t>Programas y procesos reconocidos por su calidad evaluados.</w:t>
            </w:r>
          </w:p>
        </w:tc>
        <w:tc>
          <w:tcPr>
            <w:tcW w:w="4992" w:type="dxa"/>
            <w:vAlign w:val="center"/>
          </w:tcPr>
          <w:p w14:paraId="6176B694" w14:textId="77777777" w:rsidR="004071CA" w:rsidRPr="00FB3D74" w:rsidRDefault="004071CA" w:rsidP="00942E95">
            <w:pPr>
              <w:rPr>
                <w:rFonts w:cs="Arial"/>
                <w:sz w:val="16"/>
                <w:szCs w:val="16"/>
              </w:rPr>
            </w:pPr>
            <w:r w:rsidRPr="00FB3D74">
              <w:rPr>
                <w:rFonts w:cs="Arial"/>
                <w:sz w:val="16"/>
                <w:szCs w:val="16"/>
              </w:rPr>
              <w:t>Lograr el 37.5 por ciento que representa 6 PE nivel licenciatura evaluables, reconocidos por su calidad.</w:t>
            </w:r>
          </w:p>
        </w:tc>
      </w:tr>
      <w:tr w:rsidR="004071CA" w:rsidRPr="00FB3D74" w14:paraId="67F98797" w14:textId="77777777" w:rsidTr="00942E95">
        <w:trPr>
          <w:trHeight w:val="20"/>
        </w:trPr>
        <w:tc>
          <w:tcPr>
            <w:tcW w:w="3823" w:type="dxa"/>
            <w:vMerge/>
            <w:vAlign w:val="center"/>
          </w:tcPr>
          <w:p w14:paraId="2193D94A" w14:textId="77777777" w:rsidR="004071CA" w:rsidRPr="00FB3D74" w:rsidRDefault="004071CA" w:rsidP="00942E95">
            <w:pPr>
              <w:rPr>
                <w:rFonts w:cs="Arial"/>
                <w:sz w:val="16"/>
                <w:szCs w:val="16"/>
              </w:rPr>
            </w:pPr>
          </w:p>
        </w:tc>
        <w:tc>
          <w:tcPr>
            <w:tcW w:w="4992" w:type="dxa"/>
            <w:vAlign w:val="center"/>
          </w:tcPr>
          <w:p w14:paraId="4003AC65" w14:textId="77777777" w:rsidR="004071CA" w:rsidRPr="00FB3D74" w:rsidRDefault="004071CA" w:rsidP="00942E95">
            <w:pPr>
              <w:rPr>
                <w:rFonts w:cs="Arial"/>
                <w:sz w:val="16"/>
                <w:szCs w:val="16"/>
              </w:rPr>
            </w:pPr>
            <w:r w:rsidRPr="00FB3D74">
              <w:rPr>
                <w:rFonts w:cs="Arial"/>
                <w:sz w:val="16"/>
                <w:szCs w:val="16"/>
              </w:rPr>
              <w:t>Lograr el 100 por ciento de procesos certificados en normas de calidad.</w:t>
            </w:r>
          </w:p>
        </w:tc>
      </w:tr>
      <w:tr w:rsidR="004071CA" w:rsidRPr="00FB3D74" w14:paraId="1339CF2A" w14:textId="77777777" w:rsidTr="00942E95">
        <w:trPr>
          <w:trHeight w:val="20"/>
        </w:trPr>
        <w:tc>
          <w:tcPr>
            <w:tcW w:w="3823" w:type="dxa"/>
            <w:vAlign w:val="center"/>
          </w:tcPr>
          <w:p w14:paraId="6AD39115" w14:textId="77777777" w:rsidR="004071CA" w:rsidRPr="00FB3D74" w:rsidRDefault="004071CA" w:rsidP="00942E95">
            <w:pPr>
              <w:rPr>
                <w:rFonts w:cs="Arial"/>
                <w:sz w:val="16"/>
                <w:szCs w:val="16"/>
              </w:rPr>
            </w:pPr>
            <w:r w:rsidRPr="00FB3D74">
              <w:rPr>
                <w:rFonts w:cs="Arial"/>
                <w:sz w:val="16"/>
                <w:szCs w:val="16"/>
              </w:rPr>
              <w:t>Actividades de vinculación con los sectores productivo y social, realizados.</w:t>
            </w:r>
          </w:p>
        </w:tc>
        <w:tc>
          <w:tcPr>
            <w:tcW w:w="4992" w:type="dxa"/>
            <w:vAlign w:val="center"/>
          </w:tcPr>
          <w:p w14:paraId="5171BBAD" w14:textId="77777777" w:rsidR="004071CA" w:rsidRPr="00FB3D74" w:rsidRDefault="004071CA" w:rsidP="00942E95">
            <w:pPr>
              <w:rPr>
                <w:rFonts w:cs="Arial"/>
                <w:sz w:val="16"/>
                <w:szCs w:val="16"/>
              </w:rPr>
            </w:pPr>
            <w:r w:rsidRPr="00FB3D74">
              <w:rPr>
                <w:rFonts w:cs="Arial"/>
                <w:sz w:val="16"/>
                <w:szCs w:val="16"/>
              </w:rPr>
              <w:t>Lograr el 100 por ciento de los 24 convenios formalizados por cada institución educativa con instancias estatales, nacionales y extranjera.</w:t>
            </w:r>
          </w:p>
        </w:tc>
      </w:tr>
      <w:tr w:rsidR="004071CA" w:rsidRPr="00FB3D74" w14:paraId="2DA9CCFB" w14:textId="77777777" w:rsidTr="00942E95">
        <w:trPr>
          <w:trHeight w:val="20"/>
        </w:trPr>
        <w:tc>
          <w:tcPr>
            <w:tcW w:w="3823" w:type="dxa"/>
            <w:shd w:val="clear" w:color="auto" w:fill="F2F2F2" w:themeFill="background1" w:themeFillShade="F2"/>
            <w:vAlign w:val="center"/>
          </w:tcPr>
          <w:p w14:paraId="2BCD46A4" w14:textId="565E0351"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7D1BC6E2" w14:textId="77E8382D" w:rsidR="004071CA" w:rsidRPr="00FB3D74" w:rsidRDefault="004071CA" w:rsidP="00942E95">
            <w:pPr>
              <w:rPr>
                <w:rFonts w:cs="Arial"/>
                <w:b/>
                <w:bCs/>
                <w:sz w:val="16"/>
                <w:szCs w:val="16"/>
              </w:rPr>
            </w:pPr>
            <w:r w:rsidRPr="00FB3D74">
              <w:rPr>
                <w:rFonts w:cs="Arial"/>
                <w:b/>
                <w:bCs/>
                <w:sz w:val="16"/>
                <w:szCs w:val="16"/>
              </w:rPr>
              <w:t>10</w:t>
            </w:r>
            <w:r w:rsidR="00942E95" w:rsidRPr="00FB3D74">
              <w:rPr>
                <w:rFonts w:cs="Arial"/>
                <w:b/>
                <w:bCs/>
                <w:sz w:val="16"/>
                <w:szCs w:val="16"/>
              </w:rPr>
              <w:t>.</w:t>
            </w:r>
          </w:p>
        </w:tc>
      </w:tr>
      <w:tr w:rsidR="004071CA" w:rsidRPr="00FB3D74" w14:paraId="0C13FAF4" w14:textId="77777777" w:rsidTr="00942E95">
        <w:trPr>
          <w:trHeight w:val="20"/>
        </w:trPr>
        <w:tc>
          <w:tcPr>
            <w:tcW w:w="3823" w:type="dxa"/>
            <w:shd w:val="clear" w:color="auto" w:fill="F2F2F2" w:themeFill="background1" w:themeFillShade="F2"/>
            <w:vAlign w:val="center"/>
          </w:tcPr>
          <w:p w14:paraId="66297CD8" w14:textId="6FB22366"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60A74521" w14:textId="77777777" w:rsidR="004071CA" w:rsidRPr="00FB3D74" w:rsidRDefault="004071CA" w:rsidP="00942E95">
            <w:pPr>
              <w:rPr>
                <w:rFonts w:cs="Arial"/>
                <w:b/>
                <w:bCs/>
                <w:sz w:val="16"/>
                <w:szCs w:val="16"/>
              </w:rPr>
            </w:pPr>
            <w:r w:rsidRPr="00FB3D74">
              <w:rPr>
                <w:rFonts w:cs="Arial"/>
                <w:b/>
                <w:bCs/>
                <w:sz w:val="16"/>
                <w:szCs w:val="16"/>
              </w:rPr>
              <w:t>Secretaría de Planeación, Finanzas y Administración.</w:t>
            </w:r>
          </w:p>
        </w:tc>
      </w:tr>
      <w:tr w:rsidR="004071CA" w:rsidRPr="00FB3D74" w14:paraId="37A81D54" w14:textId="77777777" w:rsidTr="00942E95">
        <w:trPr>
          <w:trHeight w:val="20"/>
        </w:trPr>
        <w:tc>
          <w:tcPr>
            <w:tcW w:w="3823" w:type="dxa"/>
            <w:shd w:val="clear" w:color="auto" w:fill="F2F2F2" w:themeFill="background1" w:themeFillShade="F2"/>
            <w:vAlign w:val="center"/>
          </w:tcPr>
          <w:p w14:paraId="758F0EB2" w14:textId="2004EC41"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0C33BB61" w14:textId="77777777" w:rsidR="004071CA" w:rsidRPr="00FB3D74" w:rsidRDefault="004071CA" w:rsidP="00942E95">
            <w:pPr>
              <w:rPr>
                <w:rFonts w:cs="Arial"/>
                <w:sz w:val="16"/>
                <w:szCs w:val="16"/>
              </w:rPr>
            </w:pPr>
            <w:r w:rsidRPr="00FB3D74">
              <w:rPr>
                <w:rFonts w:cs="Arial"/>
                <w:sz w:val="16"/>
                <w:szCs w:val="16"/>
              </w:rPr>
              <w:t>El Estado de Colima presenta finanzas fortalecidas.</w:t>
            </w:r>
          </w:p>
        </w:tc>
      </w:tr>
      <w:tr w:rsidR="004071CA" w:rsidRPr="00FB3D74" w14:paraId="7135E73E" w14:textId="77777777" w:rsidTr="00942E95">
        <w:trPr>
          <w:trHeight w:val="20"/>
        </w:trPr>
        <w:tc>
          <w:tcPr>
            <w:tcW w:w="3823" w:type="dxa"/>
            <w:shd w:val="clear" w:color="auto" w:fill="F2F2F2" w:themeFill="background1" w:themeFillShade="F2"/>
            <w:vAlign w:val="center"/>
          </w:tcPr>
          <w:p w14:paraId="4779F5FC"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2CDE8F8D"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7949BF54" w14:textId="77777777" w:rsidTr="00942E95">
        <w:trPr>
          <w:trHeight w:val="20"/>
        </w:trPr>
        <w:tc>
          <w:tcPr>
            <w:tcW w:w="3823" w:type="dxa"/>
            <w:vAlign w:val="center"/>
          </w:tcPr>
          <w:p w14:paraId="3BF51941" w14:textId="48CF669B" w:rsidR="004071CA" w:rsidRPr="00FB3D74" w:rsidRDefault="004071CA" w:rsidP="00942E95">
            <w:pPr>
              <w:rPr>
                <w:rFonts w:cs="Arial"/>
                <w:sz w:val="16"/>
                <w:szCs w:val="16"/>
              </w:rPr>
            </w:pPr>
            <w:r w:rsidRPr="00FB3D74">
              <w:rPr>
                <w:rFonts w:cs="Arial"/>
                <w:sz w:val="16"/>
                <w:szCs w:val="16"/>
              </w:rPr>
              <w:t xml:space="preserve">Recursos del </w:t>
            </w:r>
            <w:r w:rsidR="00CC4B6B" w:rsidRPr="00FB3D74">
              <w:rPr>
                <w:rFonts w:cs="Arial"/>
                <w:sz w:val="16"/>
                <w:szCs w:val="16"/>
              </w:rPr>
              <w:t>Fondo de Aportaciones para el Fortalecimiento de las Entidades Federativas (</w:t>
            </w:r>
            <w:r w:rsidRPr="00FB3D74">
              <w:rPr>
                <w:rFonts w:cs="Arial"/>
                <w:sz w:val="16"/>
                <w:szCs w:val="16"/>
              </w:rPr>
              <w:t>FAFEF</w:t>
            </w:r>
            <w:r w:rsidR="00CC4B6B" w:rsidRPr="00FB3D74">
              <w:rPr>
                <w:rFonts w:cs="Arial"/>
                <w:sz w:val="16"/>
                <w:szCs w:val="16"/>
              </w:rPr>
              <w:t>)</w:t>
            </w:r>
            <w:r w:rsidRPr="00FB3D74">
              <w:rPr>
                <w:rFonts w:cs="Arial"/>
                <w:sz w:val="16"/>
                <w:szCs w:val="16"/>
              </w:rPr>
              <w:t xml:space="preserve"> para acciones de saneamiento financiero ejecutados</w:t>
            </w:r>
            <w:r w:rsidR="00CC4B6B" w:rsidRPr="00FB3D74">
              <w:rPr>
                <w:rFonts w:cs="Arial"/>
                <w:sz w:val="16"/>
                <w:szCs w:val="16"/>
              </w:rPr>
              <w:t>.</w:t>
            </w:r>
          </w:p>
        </w:tc>
        <w:tc>
          <w:tcPr>
            <w:tcW w:w="4992" w:type="dxa"/>
            <w:vAlign w:val="center"/>
          </w:tcPr>
          <w:p w14:paraId="44D6A376" w14:textId="37B85F32" w:rsidR="004071CA" w:rsidRPr="00FB3D74" w:rsidRDefault="004071CA" w:rsidP="00942E95">
            <w:pPr>
              <w:rPr>
                <w:rFonts w:cs="Arial"/>
                <w:sz w:val="16"/>
                <w:szCs w:val="16"/>
              </w:rPr>
            </w:pPr>
            <w:r w:rsidRPr="00FB3D74">
              <w:rPr>
                <w:rFonts w:cs="Arial"/>
                <w:sz w:val="16"/>
                <w:szCs w:val="16"/>
              </w:rPr>
              <w:t xml:space="preserve">100 por ciento recursos del </w:t>
            </w:r>
            <w:r w:rsidR="00CC4B6B" w:rsidRPr="00FB3D74">
              <w:rPr>
                <w:rFonts w:cs="Arial"/>
                <w:sz w:val="16"/>
                <w:szCs w:val="16"/>
              </w:rPr>
              <w:t>Fondo de Aportaciones para el Fortalecimiento de las Entidades Federativas (</w:t>
            </w:r>
            <w:r w:rsidRPr="00FB3D74">
              <w:rPr>
                <w:rFonts w:cs="Arial"/>
                <w:sz w:val="16"/>
                <w:szCs w:val="16"/>
              </w:rPr>
              <w:t>FAFEF</w:t>
            </w:r>
            <w:r w:rsidR="00CC4B6B" w:rsidRPr="00FB3D74">
              <w:rPr>
                <w:rFonts w:cs="Arial"/>
                <w:sz w:val="16"/>
                <w:szCs w:val="16"/>
              </w:rPr>
              <w:t>)</w:t>
            </w:r>
            <w:r w:rsidRPr="00FB3D74">
              <w:rPr>
                <w:rFonts w:cs="Arial"/>
                <w:sz w:val="16"/>
                <w:szCs w:val="16"/>
              </w:rPr>
              <w:t xml:space="preserve"> destinados a saneamiento financiero.</w:t>
            </w:r>
          </w:p>
        </w:tc>
      </w:tr>
      <w:tr w:rsidR="004071CA" w:rsidRPr="00FB3D74" w14:paraId="4017B0FE" w14:textId="77777777" w:rsidTr="00942E95">
        <w:trPr>
          <w:trHeight w:val="20"/>
        </w:trPr>
        <w:tc>
          <w:tcPr>
            <w:tcW w:w="3823" w:type="dxa"/>
            <w:shd w:val="clear" w:color="auto" w:fill="F2F2F2" w:themeFill="background1" w:themeFillShade="F2"/>
            <w:vAlign w:val="center"/>
          </w:tcPr>
          <w:p w14:paraId="1D3DF513" w14:textId="22C009E4"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6CEFA19B" w14:textId="76EEB5DD" w:rsidR="004071CA" w:rsidRPr="00FB3D74" w:rsidRDefault="004071CA" w:rsidP="00942E95">
            <w:pPr>
              <w:rPr>
                <w:rFonts w:cs="Arial"/>
                <w:b/>
                <w:bCs/>
                <w:sz w:val="16"/>
                <w:szCs w:val="16"/>
              </w:rPr>
            </w:pPr>
            <w:r w:rsidRPr="00FB3D74">
              <w:rPr>
                <w:rFonts w:cs="Arial"/>
                <w:b/>
                <w:bCs/>
                <w:sz w:val="16"/>
                <w:szCs w:val="16"/>
              </w:rPr>
              <w:t>11</w:t>
            </w:r>
            <w:r w:rsidR="00942E95" w:rsidRPr="00FB3D74">
              <w:rPr>
                <w:rFonts w:cs="Arial"/>
                <w:b/>
                <w:bCs/>
                <w:sz w:val="16"/>
                <w:szCs w:val="16"/>
              </w:rPr>
              <w:t>.</w:t>
            </w:r>
          </w:p>
        </w:tc>
      </w:tr>
      <w:tr w:rsidR="004071CA" w:rsidRPr="00FB3D74" w14:paraId="640BE784" w14:textId="77777777" w:rsidTr="00942E95">
        <w:trPr>
          <w:trHeight w:val="20"/>
        </w:trPr>
        <w:tc>
          <w:tcPr>
            <w:tcW w:w="3823" w:type="dxa"/>
            <w:shd w:val="clear" w:color="auto" w:fill="F2F2F2" w:themeFill="background1" w:themeFillShade="F2"/>
            <w:vAlign w:val="center"/>
          </w:tcPr>
          <w:p w14:paraId="67EDD983" w14:textId="3C4826E7"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2ABE5D3E" w14:textId="77777777" w:rsidR="004071CA" w:rsidRPr="00FB3D74" w:rsidRDefault="004071CA" w:rsidP="00942E95">
            <w:pPr>
              <w:rPr>
                <w:rFonts w:cs="Arial"/>
                <w:b/>
                <w:bCs/>
                <w:sz w:val="16"/>
                <w:szCs w:val="16"/>
              </w:rPr>
            </w:pPr>
            <w:r w:rsidRPr="00FB3D74">
              <w:rPr>
                <w:rFonts w:cs="Arial"/>
                <w:b/>
                <w:bCs/>
                <w:sz w:val="16"/>
                <w:szCs w:val="16"/>
              </w:rPr>
              <w:t>Instituto Colimense de la Infraestructura Física Educativa.</w:t>
            </w:r>
          </w:p>
        </w:tc>
      </w:tr>
      <w:tr w:rsidR="004071CA" w:rsidRPr="00FB3D74" w14:paraId="1A40169A" w14:textId="77777777" w:rsidTr="00942E95">
        <w:trPr>
          <w:trHeight w:val="20"/>
        </w:trPr>
        <w:tc>
          <w:tcPr>
            <w:tcW w:w="3823" w:type="dxa"/>
            <w:shd w:val="clear" w:color="auto" w:fill="F2F2F2" w:themeFill="background1" w:themeFillShade="F2"/>
            <w:vAlign w:val="center"/>
          </w:tcPr>
          <w:p w14:paraId="37BDA48C" w14:textId="370932CD"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015E506D" w14:textId="77777777" w:rsidR="004071CA" w:rsidRPr="00FB3D74" w:rsidRDefault="004071CA" w:rsidP="00942E95">
            <w:pPr>
              <w:rPr>
                <w:rFonts w:cs="Arial"/>
                <w:sz w:val="16"/>
                <w:szCs w:val="16"/>
              </w:rPr>
            </w:pPr>
            <w:r w:rsidRPr="00FB3D74">
              <w:rPr>
                <w:rFonts w:cs="Arial"/>
                <w:sz w:val="16"/>
                <w:szCs w:val="16"/>
              </w:rPr>
              <w:t>El Estado de Colima cuenta con una infraestructura y equipamiento educativo suficiente y adecuado.</w:t>
            </w:r>
          </w:p>
        </w:tc>
      </w:tr>
      <w:tr w:rsidR="004071CA" w:rsidRPr="00FB3D74" w14:paraId="1090766E" w14:textId="77777777" w:rsidTr="00942E95">
        <w:trPr>
          <w:trHeight w:val="20"/>
        </w:trPr>
        <w:tc>
          <w:tcPr>
            <w:tcW w:w="3823" w:type="dxa"/>
            <w:shd w:val="clear" w:color="auto" w:fill="F2F2F2" w:themeFill="background1" w:themeFillShade="F2"/>
            <w:vAlign w:val="center"/>
          </w:tcPr>
          <w:p w14:paraId="27AFE3D8"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21C4A8E7"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17184926" w14:textId="77777777" w:rsidTr="00942E95">
        <w:trPr>
          <w:trHeight w:val="20"/>
        </w:trPr>
        <w:tc>
          <w:tcPr>
            <w:tcW w:w="3823" w:type="dxa"/>
            <w:vAlign w:val="center"/>
          </w:tcPr>
          <w:p w14:paraId="111C2741" w14:textId="77777777" w:rsidR="004071CA" w:rsidRPr="00FB3D74" w:rsidRDefault="004071CA" w:rsidP="00942E95">
            <w:pPr>
              <w:rPr>
                <w:rFonts w:cs="Arial"/>
                <w:sz w:val="16"/>
                <w:szCs w:val="16"/>
              </w:rPr>
            </w:pPr>
            <w:r w:rsidRPr="00FB3D74">
              <w:rPr>
                <w:rFonts w:cs="Arial"/>
                <w:sz w:val="16"/>
                <w:szCs w:val="16"/>
              </w:rPr>
              <w:t>Obras de infraestructura y/o equipamiento en planteles de nivel educativo básico realizadas.</w:t>
            </w:r>
          </w:p>
        </w:tc>
        <w:tc>
          <w:tcPr>
            <w:tcW w:w="4992" w:type="dxa"/>
            <w:vAlign w:val="center"/>
          </w:tcPr>
          <w:p w14:paraId="001A96D0" w14:textId="77777777" w:rsidR="004071CA" w:rsidRPr="00FB3D74" w:rsidRDefault="004071CA" w:rsidP="00942E95">
            <w:pPr>
              <w:rPr>
                <w:rFonts w:cs="Arial"/>
                <w:sz w:val="16"/>
                <w:szCs w:val="16"/>
              </w:rPr>
            </w:pPr>
            <w:r w:rsidRPr="00FB3D74">
              <w:rPr>
                <w:rFonts w:cs="Arial"/>
                <w:sz w:val="16"/>
                <w:szCs w:val="16"/>
              </w:rPr>
              <w:t>Lograr el 100 por ciento de la meta establecida en cuestión de planteles de educación básica.</w:t>
            </w:r>
          </w:p>
        </w:tc>
      </w:tr>
      <w:tr w:rsidR="004071CA" w:rsidRPr="00FB3D74" w14:paraId="5016DE29" w14:textId="77777777" w:rsidTr="00942E95">
        <w:trPr>
          <w:trHeight w:val="20"/>
        </w:trPr>
        <w:tc>
          <w:tcPr>
            <w:tcW w:w="3823" w:type="dxa"/>
            <w:vMerge w:val="restart"/>
            <w:vAlign w:val="center"/>
          </w:tcPr>
          <w:p w14:paraId="19BAECA5" w14:textId="77777777" w:rsidR="004071CA" w:rsidRPr="00FB3D74" w:rsidRDefault="004071CA" w:rsidP="00942E95">
            <w:pPr>
              <w:rPr>
                <w:rFonts w:cs="Arial"/>
                <w:sz w:val="16"/>
                <w:szCs w:val="16"/>
              </w:rPr>
            </w:pPr>
            <w:r w:rsidRPr="00FB3D74">
              <w:rPr>
                <w:rFonts w:cs="Arial"/>
                <w:sz w:val="16"/>
                <w:szCs w:val="16"/>
              </w:rPr>
              <w:t>Obras de infraestructura y/o equipamiento realizadas en planteles de nivel educativo media superior.</w:t>
            </w:r>
          </w:p>
        </w:tc>
        <w:tc>
          <w:tcPr>
            <w:tcW w:w="4992" w:type="dxa"/>
            <w:vAlign w:val="center"/>
          </w:tcPr>
          <w:p w14:paraId="3315381F" w14:textId="77777777" w:rsidR="004071CA" w:rsidRPr="00FB3D74" w:rsidRDefault="004071CA" w:rsidP="00942E95">
            <w:pPr>
              <w:rPr>
                <w:rFonts w:cs="Arial"/>
                <w:sz w:val="16"/>
                <w:szCs w:val="16"/>
              </w:rPr>
            </w:pPr>
            <w:r w:rsidRPr="00FB3D74">
              <w:rPr>
                <w:rFonts w:cs="Arial"/>
                <w:sz w:val="16"/>
                <w:szCs w:val="16"/>
              </w:rPr>
              <w:t>Atender a 1 Plantel de educación media superior programado.</w:t>
            </w:r>
          </w:p>
        </w:tc>
      </w:tr>
      <w:tr w:rsidR="004071CA" w:rsidRPr="00FB3D74" w14:paraId="7C60ABBE" w14:textId="77777777" w:rsidTr="00942E95">
        <w:trPr>
          <w:trHeight w:val="20"/>
        </w:trPr>
        <w:tc>
          <w:tcPr>
            <w:tcW w:w="3823" w:type="dxa"/>
            <w:vMerge/>
            <w:vAlign w:val="center"/>
          </w:tcPr>
          <w:p w14:paraId="1855BDEA" w14:textId="77777777" w:rsidR="004071CA" w:rsidRPr="00FB3D74" w:rsidRDefault="004071CA" w:rsidP="00942E95">
            <w:pPr>
              <w:rPr>
                <w:rFonts w:cs="Arial"/>
                <w:sz w:val="16"/>
                <w:szCs w:val="16"/>
              </w:rPr>
            </w:pPr>
          </w:p>
        </w:tc>
        <w:tc>
          <w:tcPr>
            <w:tcW w:w="4992" w:type="dxa"/>
            <w:vAlign w:val="center"/>
          </w:tcPr>
          <w:p w14:paraId="2C636684" w14:textId="77777777" w:rsidR="004071CA" w:rsidRPr="00FB3D74" w:rsidRDefault="004071CA" w:rsidP="00942E95">
            <w:pPr>
              <w:rPr>
                <w:rFonts w:cs="Arial"/>
                <w:sz w:val="16"/>
                <w:szCs w:val="16"/>
              </w:rPr>
            </w:pPr>
            <w:r w:rsidRPr="00FB3D74">
              <w:rPr>
                <w:rFonts w:cs="Arial"/>
                <w:sz w:val="16"/>
                <w:szCs w:val="16"/>
              </w:rPr>
              <w:t>Planteles de educación superior programadas.</w:t>
            </w:r>
          </w:p>
        </w:tc>
      </w:tr>
      <w:tr w:rsidR="004071CA" w:rsidRPr="00FB3D74" w14:paraId="039F579F" w14:textId="77777777" w:rsidTr="00942E95">
        <w:trPr>
          <w:trHeight w:val="20"/>
        </w:trPr>
        <w:tc>
          <w:tcPr>
            <w:tcW w:w="3823" w:type="dxa"/>
            <w:vAlign w:val="center"/>
          </w:tcPr>
          <w:p w14:paraId="23A99767" w14:textId="77777777" w:rsidR="004071CA" w:rsidRPr="00FB3D74" w:rsidRDefault="004071CA" w:rsidP="00942E95">
            <w:pPr>
              <w:rPr>
                <w:rFonts w:cs="Arial"/>
                <w:sz w:val="16"/>
                <w:szCs w:val="16"/>
              </w:rPr>
            </w:pPr>
            <w:r w:rsidRPr="00FB3D74">
              <w:rPr>
                <w:rFonts w:cs="Arial"/>
                <w:sz w:val="16"/>
                <w:szCs w:val="16"/>
              </w:rPr>
              <w:t>Desempeño de funciones realizado.</w:t>
            </w:r>
          </w:p>
        </w:tc>
        <w:tc>
          <w:tcPr>
            <w:tcW w:w="4992" w:type="dxa"/>
            <w:vAlign w:val="center"/>
          </w:tcPr>
          <w:p w14:paraId="3C221C2A" w14:textId="35EF811C" w:rsidR="004071CA" w:rsidRPr="00FB3D74" w:rsidRDefault="004071CA" w:rsidP="00942E95">
            <w:pPr>
              <w:rPr>
                <w:rFonts w:cs="Arial"/>
                <w:sz w:val="16"/>
                <w:szCs w:val="16"/>
              </w:rPr>
            </w:pPr>
            <w:r w:rsidRPr="00FB3D74">
              <w:rPr>
                <w:rFonts w:cs="Arial"/>
                <w:sz w:val="16"/>
                <w:szCs w:val="16"/>
              </w:rPr>
              <w:t>Ejercer al 100 por ciento el presupuesto destinado para el desempeño de las funciones del</w:t>
            </w:r>
            <w:r w:rsidR="00CC4B6B" w:rsidRPr="00FB3D74">
              <w:rPr>
                <w:rFonts w:cs="Arial"/>
                <w:sz w:val="16"/>
                <w:szCs w:val="16"/>
              </w:rPr>
              <w:t xml:space="preserve"> Instituto Colimense de la Infraestructura Física Educativa</w:t>
            </w:r>
            <w:r w:rsidRPr="00FB3D74">
              <w:rPr>
                <w:rFonts w:cs="Arial"/>
                <w:sz w:val="16"/>
                <w:szCs w:val="16"/>
              </w:rPr>
              <w:t xml:space="preserve"> </w:t>
            </w:r>
            <w:r w:rsidR="00CC4B6B" w:rsidRPr="00FB3D74">
              <w:rPr>
                <w:rFonts w:cs="Arial"/>
                <w:sz w:val="16"/>
                <w:szCs w:val="16"/>
              </w:rPr>
              <w:t>(</w:t>
            </w:r>
            <w:r w:rsidRPr="00FB3D74">
              <w:rPr>
                <w:rFonts w:cs="Arial"/>
                <w:sz w:val="16"/>
                <w:szCs w:val="16"/>
              </w:rPr>
              <w:t>INCOIFED</w:t>
            </w:r>
            <w:r w:rsidR="00CC4B6B" w:rsidRPr="00FB3D74">
              <w:rPr>
                <w:rFonts w:cs="Arial"/>
                <w:sz w:val="16"/>
                <w:szCs w:val="16"/>
              </w:rPr>
              <w:t>)</w:t>
            </w:r>
            <w:r w:rsidRPr="00FB3D74">
              <w:rPr>
                <w:rFonts w:cs="Arial"/>
                <w:sz w:val="16"/>
                <w:szCs w:val="16"/>
              </w:rPr>
              <w:t>.</w:t>
            </w:r>
          </w:p>
        </w:tc>
      </w:tr>
      <w:tr w:rsidR="004071CA" w:rsidRPr="00FB3D74" w14:paraId="022F9ABC" w14:textId="77777777" w:rsidTr="00942E95">
        <w:trPr>
          <w:trHeight w:val="20"/>
        </w:trPr>
        <w:tc>
          <w:tcPr>
            <w:tcW w:w="3823" w:type="dxa"/>
            <w:shd w:val="clear" w:color="auto" w:fill="F2F2F2" w:themeFill="background1" w:themeFillShade="F2"/>
            <w:vAlign w:val="center"/>
          </w:tcPr>
          <w:p w14:paraId="12F11281" w14:textId="3EC3E5DB"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455FAAFE" w14:textId="3EF7E26D" w:rsidR="004071CA" w:rsidRPr="00FB3D74" w:rsidRDefault="004071CA" w:rsidP="00942E95">
            <w:pPr>
              <w:rPr>
                <w:rFonts w:cs="Arial"/>
                <w:b/>
                <w:bCs/>
                <w:sz w:val="16"/>
                <w:szCs w:val="16"/>
              </w:rPr>
            </w:pPr>
            <w:r w:rsidRPr="00FB3D74">
              <w:rPr>
                <w:rFonts w:cs="Arial"/>
                <w:b/>
                <w:bCs/>
                <w:sz w:val="16"/>
                <w:szCs w:val="16"/>
              </w:rPr>
              <w:t>12</w:t>
            </w:r>
            <w:r w:rsidR="00942E95" w:rsidRPr="00FB3D74">
              <w:rPr>
                <w:rFonts w:cs="Arial"/>
                <w:b/>
                <w:bCs/>
                <w:sz w:val="16"/>
                <w:szCs w:val="16"/>
              </w:rPr>
              <w:t>.</w:t>
            </w:r>
          </w:p>
        </w:tc>
      </w:tr>
      <w:tr w:rsidR="004071CA" w:rsidRPr="00FB3D74" w14:paraId="5A50A820" w14:textId="77777777" w:rsidTr="00942E95">
        <w:trPr>
          <w:trHeight w:val="20"/>
        </w:trPr>
        <w:tc>
          <w:tcPr>
            <w:tcW w:w="3823" w:type="dxa"/>
            <w:shd w:val="clear" w:color="auto" w:fill="F2F2F2" w:themeFill="background1" w:themeFillShade="F2"/>
            <w:vAlign w:val="center"/>
          </w:tcPr>
          <w:p w14:paraId="774FC435" w14:textId="7C55E516"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4A272203" w14:textId="46B650DB" w:rsidR="004071CA" w:rsidRPr="00FB3D74" w:rsidRDefault="004071CA" w:rsidP="00942E95">
            <w:pPr>
              <w:rPr>
                <w:rFonts w:cs="Arial"/>
                <w:b/>
                <w:bCs/>
                <w:sz w:val="16"/>
                <w:szCs w:val="16"/>
              </w:rPr>
            </w:pPr>
            <w:r w:rsidRPr="00FB3D74">
              <w:rPr>
                <w:rFonts w:cs="Arial"/>
                <w:b/>
                <w:bCs/>
                <w:sz w:val="16"/>
                <w:szCs w:val="16"/>
              </w:rPr>
              <w:t>Subsecretaría de Cultura</w:t>
            </w:r>
            <w:r w:rsidR="00942E95" w:rsidRPr="00FB3D74">
              <w:rPr>
                <w:rFonts w:cs="Arial"/>
                <w:b/>
                <w:bCs/>
                <w:sz w:val="16"/>
                <w:szCs w:val="16"/>
              </w:rPr>
              <w:t>.</w:t>
            </w:r>
          </w:p>
        </w:tc>
      </w:tr>
      <w:tr w:rsidR="004071CA" w:rsidRPr="00FB3D74" w14:paraId="0F19717F" w14:textId="77777777" w:rsidTr="00942E95">
        <w:trPr>
          <w:trHeight w:val="20"/>
        </w:trPr>
        <w:tc>
          <w:tcPr>
            <w:tcW w:w="3823" w:type="dxa"/>
            <w:shd w:val="clear" w:color="auto" w:fill="F2F2F2" w:themeFill="background1" w:themeFillShade="F2"/>
            <w:vAlign w:val="center"/>
          </w:tcPr>
          <w:p w14:paraId="634EC810" w14:textId="064277BB"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605DF1FD" w14:textId="77777777" w:rsidR="004071CA" w:rsidRPr="00FB3D74" w:rsidRDefault="004071CA" w:rsidP="00942E95">
            <w:pPr>
              <w:rPr>
                <w:rFonts w:cs="Arial"/>
                <w:sz w:val="16"/>
                <w:szCs w:val="16"/>
              </w:rPr>
            </w:pPr>
            <w:r w:rsidRPr="00FB3D74">
              <w:rPr>
                <w:rFonts w:cs="Arial"/>
                <w:sz w:val="16"/>
                <w:szCs w:val="16"/>
              </w:rPr>
              <w:t>La población del Estado de Colima accede a una mayor oferta cultural a través de la difusión, promoción, creación y mejora del patrimonio cultural.</w:t>
            </w:r>
          </w:p>
        </w:tc>
      </w:tr>
      <w:tr w:rsidR="004071CA" w:rsidRPr="00FB3D74" w14:paraId="1846B7F6" w14:textId="77777777" w:rsidTr="00942E95">
        <w:trPr>
          <w:trHeight w:val="20"/>
        </w:trPr>
        <w:tc>
          <w:tcPr>
            <w:tcW w:w="3823" w:type="dxa"/>
            <w:shd w:val="clear" w:color="auto" w:fill="F2F2F2" w:themeFill="background1" w:themeFillShade="F2"/>
            <w:vAlign w:val="center"/>
          </w:tcPr>
          <w:p w14:paraId="5E23CEE8"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1EC575D9"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4513EE91" w14:textId="77777777" w:rsidTr="00942E95">
        <w:trPr>
          <w:trHeight w:val="20"/>
        </w:trPr>
        <w:tc>
          <w:tcPr>
            <w:tcW w:w="3823" w:type="dxa"/>
            <w:vAlign w:val="center"/>
          </w:tcPr>
          <w:p w14:paraId="6C0C1FB2" w14:textId="77777777" w:rsidR="004071CA" w:rsidRPr="00FB3D74" w:rsidRDefault="004071CA" w:rsidP="00942E95">
            <w:pPr>
              <w:rPr>
                <w:rFonts w:cs="Arial"/>
                <w:sz w:val="16"/>
                <w:szCs w:val="16"/>
              </w:rPr>
            </w:pPr>
            <w:r w:rsidRPr="00FB3D74">
              <w:rPr>
                <w:rFonts w:cs="Arial"/>
                <w:sz w:val="16"/>
                <w:szCs w:val="16"/>
              </w:rPr>
              <w:t>Artistas formados y/o capacitados en materia artística o cultural.</w:t>
            </w:r>
          </w:p>
        </w:tc>
        <w:tc>
          <w:tcPr>
            <w:tcW w:w="4992" w:type="dxa"/>
            <w:vAlign w:val="center"/>
          </w:tcPr>
          <w:p w14:paraId="2828ECDF" w14:textId="77777777" w:rsidR="004071CA" w:rsidRPr="00FB3D74" w:rsidRDefault="004071CA" w:rsidP="00942E95">
            <w:pPr>
              <w:rPr>
                <w:rFonts w:cs="Arial"/>
                <w:sz w:val="16"/>
                <w:szCs w:val="16"/>
              </w:rPr>
            </w:pPr>
            <w:r w:rsidRPr="00FB3D74">
              <w:rPr>
                <w:rFonts w:cs="Arial"/>
                <w:sz w:val="16"/>
                <w:szCs w:val="16"/>
              </w:rPr>
              <w:t>Lograr formar y capacitar al 100 por ciento de los 20 artistas programados.</w:t>
            </w:r>
          </w:p>
        </w:tc>
      </w:tr>
      <w:tr w:rsidR="004071CA" w:rsidRPr="00FB3D74" w14:paraId="172D1E63" w14:textId="77777777" w:rsidTr="00942E95">
        <w:trPr>
          <w:trHeight w:val="20"/>
        </w:trPr>
        <w:tc>
          <w:tcPr>
            <w:tcW w:w="3823" w:type="dxa"/>
            <w:vAlign w:val="center"/>
          </w:tcPr>
          <w:p w14:paraId="28B41C6D" w14:textId="77777777" w:rsidR="004071CA" w:rsidRPr="00FB3D74" w:rsidRDefault="004071CA" w:rsidP="00942E95">
            <w:pPr>
              <w:rPr>
                <w:rFonts w:cs="Arial"/>
                <w:sz w:val="16"/>
                <w:szCs w:val="16"/>
              </w:rPr>
            </w:pPr>
            <w:r w:rsidRPr="00FB3D74">
              <w:rPr>
                <w:rFonts w:cs="Arial"/>
                <w:sz w:val="16"/>
                <w:szCs w:val="16"/>
              </w:rPr>
              <w:t>Eventos para fomentar la lectura en el Estado realizados.</w:t>
            </w:r>
          </w:p>
        </w:tc>
        <w:tc>
          <w:tcPr>
            <w:tcW w:w="4992" w:type="dxa"/>
            <w:vAlign w:val="center"/>
          </w:tcPr>
          <w:p w14:paraId="20B33CB8" w14:textId="77777777" w:rsidR="004071CA" w:rsidRPr="00FB3D74" w:rsidRDefault="004071CA" w:rsidP="00942E95">
            <w:pPr>
              <w:rPr>
                <w:rFonts w:cs="Arial"/>
                <w:sz w:val="16"/>
                <w:szCs w:val="16"/>
              </w:rPr>
            </w:pPr>
            <w:r w:rsidRPr="00FB3D74">
              <w:rPr>
                <w:rFonts w:cs="Arial"/>
                <w:sz w:val="16"/>
                <w:szCs w:val="16"/>
              </w:rPr>
              <w:t>Realizar el 100 por ciento de las 10 promociones de los eventos programados.</w:t>
            </w:r>
          </w:p>
        </w:tc>
      </w:tr>
      <w:tr w:rsidR="004071CA" w:rsidRPr="00FB3D74" w14:paraId="04F317DA" w14:textId="77777777" w:rsidTr="00942E95">
        <w:trPr>
          <w:trHeight w:val="20"/>
        </w:trPr>
        <w:tc>
          <w:tcPr>
            <w:tcW w:w="3823" w:type="dxa"/>
            <w:vAlign w:val="center"/>
          </w:tcPr>
          <w:p w14:paraId="38F370A4" w14:textId="77777777" w:rsidR="004071CA" w:rsidRPr="00FB3D74" w:rsidRDefault="004071CA" w:rsidP="00942E95">
            <w:pPr>
              <w:rPr>
                <w:rFonts w:cs="Arial"/>
                <w:sz w:val="16"/>
                <w:szCs w:val="16"/>
              </w:rPr>
            </w:pPr>
            <w:r w:rsidRPr="00FB3D74">
              <w:rPr>
                <w:rFonts w:cs="Arial"/>
                <w:sz w:val="16"/>
                <w:szCs w:val="16"/>
              </w:rPr>
              <w:lastRenderedPageBreak/>
              <w:t>Estímulos a creadores y artistas para el fortalecimiento de la cultura entregados.</w:t>
            </w:r>
          </w:p>
        </w:tc>
        <w:tc>
          <w:tcPr>
            <w:tcW w:w="4992" w:type="dxa"/>
            <w:vAlign w:val="center"/>
          </w:tcPr>
          <w:p w14:paraId="6E3511A7" w14:textId="77777777" w:rsidR="004071CA" w:rsidRPr="00FB3D74" w:rsidRDefault="004071CA" w:rsidP="00942E95">
            <w:pPr>
              <w:rPr>
                <w:rFonts w:cs="Arial"/>
                <w:sz w:val="16"/>
                <w:szCs w:val="16"/>
              </w:rPr>
            </w:pPr>
            <w:r w:rsidRPr="00FB3D74">
              <w:rPr>
                <w:rFonts w:cs="Arial"/>
                <w:sz w:val="16"/>
                <w:szCs w:val="16"/>
              </w:rPr>
              <w:t>Lograr entregar el 100 por ciento de los 35 estímulos a creadores y artistas programados.</w:t>
            </w:r>
          </w:p>
        </w:tc>
      </w:tr>
      <w:tr w:rsidR="004071CA" w:rsidRPr="00FB3D74" w14:paraId="4109B503" w14:textId="77777777" w:rsidTr="00942E95">
        <w:trPr>
          <w:trHeight w:val="20"/>
        </w:trPr>
        <w:tc>
          <w:tcPr>
            <w:tcW w:w="3823" w:type="dxa"/>
            <w:vAlign w:val="center"/>
          </w:tcPr>
          <w:p w14:paraId="7CE6B41F" w14:textId="77777777" w:rsidR="004071CA" w:rsidRPr="00FB3D74" w:rsidRDefault="004071CA" w:rsidP="00942E95">
            <w:pPr>
              <w:rPr>
                <w:rFonts w:cs="Arial"/>
                <w:sz w:val="16"/>
                <w:szCs w:val="16"/>
              </w:rPr>
            </w:pPr>
            <w:r w:rsidRPr="00FB3D74">
              <w:rPr>
                <w:rFonts w:cs="Arial"/>
                <w:sz w:val="16"/>
                <w:szCs w:val="16"/>
              </w:rPr>
              <w:t>Actividades artísticas y culturales realizadas.</w:t>
            </w:r>
          </w:p>
        </w:tc>
        <w:tc>
          <w:tcPr>
            <w:tcW w:w="4992" w:type="dxa"/>
            <w:vAlign w:val="center"/>
          </w:tcPr>
          <w:p w14:paraId="399916BA" w14:textId="77777777" w:rsidR="004071CA" w:rsidRPr="00FB3D74" w:rsidRDefault="004071CA" w:rsidP="00942E95">
            <w:pPr>
              <w:rPr>
                <w:rFonts w:cs="Arial"/>
                <w:sz w:val="16"/>
                <w:szCs w:val="16"/>
              </w:rPr>
            </w:pPr>
            <w:r w:rsidRPr="00FB3D74">
              <w:rPr>
                <w:rFonts w:cs="Arial"/>
                <w:sz w:val="16"/>
                <w:szCs w:val="16"/>
              </w:rPr>
              <w:t>Lograr realizar al 100 por ciento las 150 actividades culturales programadas.</w:t>
            </w:r>
          </w:p>
        </w:tc>
      </w:tr>
      <w:tr w:rsidR="004071CA" w:rsidRPr="00FB3D74" w14:paraId="60A8D229" w14:textId="77777777" w:rsidTr="00942E95">
        <w:trPr>
          <w:trHeight w:val="20"/>
        </w:trPr>
        <w:tc>
          <w:tcPr>
            <w:tcW w:w="3823" w:type="dxa"/>
            <w:vAlign w:val="center"/>
          </w:tcPr>
          <w:p w14:paraId="2C720CF5" w14:textId="77777777" w:rsidR="004071CA" w:rsidRPr="00FB3D74" w:rsidRDefault="004071CA" w:rsidP="00942E95">
            <w:pPr>
              <w:rPr>
                <w:rFonts w:cs="Arial"/>
                <w:sz w:val="16"/>
                <w:szCs w:val="16"/>
              </w:rPr>
            </w:pPr>
            <w:r w:rsidRPr="00FB3D74">
              <w:rPr>
                <w:rFonts w:cs="Arial"/>
                <w:sz w:val="16"/>
                <w:szCs w:val="16"/>
              </w:rPr>
              <w:t>Desempeño de funciones realizadas.</w:t>
            </w:r>
          </w:p>
        </w:tc>
        <w:tc>
          <w:tcPr>
            <w:tcW w:w="4992" w:type="dxa"/>
            <w:vAlign w:val="center"/>
          </w:tcPr>
          <w:p w14:paraId="2E67D6D1" w14:textId="77777777" w:rsidR="004071CA" w:rsidRPr="00FB3D74" w:rsidRDefault="004071CA" w:rsidP="00942E95">
            <w:pPr>
              <w:rPr>
                <w:rFonts w:cs="Arial"/>
                <w:sz w:val="16"/>
                <w:szCs w:val="16"/>
              </w:rPr>
            </w:pPr>
            <w:r w:rsidRPr="00FB3D74">
              <w:rPr>
                <w:rFonts w:cs="Arial"/>
                <w:sz w:val="16"/>
                <w:szCs w:val="16"/>
              </w:rPr>
              <w:t>Realizar el 100 por ciento de las 12 reuniones internas de trabajo para definir el programa de inversión.</w:t>
            </w:r>
          </w:p>
        </w:tc>
      </w:tr>
      <w:tr w:rsidR="004071CA" w:rsidRPr="00FB3D74" w14:paraId="7DC03C8E" w14:textId="77777777" w:rsidTr="00942E95">
        <w:trPr>
          <w:trHeight w:val="20"/>
        </w:trPr>
        <w:tc>
          <w:tcPr>
            <w:tcW w:w="3823" w:type="dxa"/>
            <w:shd w:val="clear" w:color="auto" w:fill="F2F2F2" w:themeFill="background1" w:themeFillShade="F2"/>
            <w:vAlign w:val="center"/>
          </w:tcPr>
          <w:p w14:paraId="47935E9D" w14:textId="5B48B28E"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7BA18034" w14:textId="28E59CAB" w:rsidR="004071CA" w:rsidRPr="00FB3D74" w:rsidRDefault="004071CA" w:rsidP="00942E95">
            <w:pPr>
              <w:rPr>
                <w:rFonts w:cs="Arial"/>
                <w:b/>
                <w:bCs/>
                <w:sz w:val="16"/>
                <w:szCs w:val="16"/>
              </w:rPr>
            </w:pPr>
            <w:r w:rsidRPr="00FB3D74">
              <w:rPr>
                <w:rFonts w:cs="Arial"/>
                <w:b/>
                <w:bCs/>
                <w:sz w:val="16"/>
                <w:szCs w:val="16"/>
              </w:rPr>
              <w:t>14</w:t>
            </w:r>
            <w:r w:rsidR="00942E95" w:rsidRPr="00FB3D74">
              <w:rPr>
                <w:rFonts w:cs="Arial"/>
                <w:b/>
                <w:bCs/>
                <w:sz w:val="16"/>
                <w:szCs w:val="16"/>
              </w:rPr>
              <w:t>.</w:t>
            </w:r>
          </w:p>
        </w:tc>
      </w:tr>
      <w:tr w:rsidR="004071CA" w:rsidRPr="00FB3D74" w14:paraId="78D5F57E" w14:textId="77777777" w:rsidTr="00942E95">
        <w:trPr>
          <w:trHeight w:val="20"/>
        </w:trPr>
        <w:tc>
          <w:tcPr>
            <w:tcW w:w="3823" w:type="dxa"/>
            <w:shd w:val="clear" w:color="auto" w:fill="F2F2F2" w:themeFill="background1" w:themeFillShade="F2"/>
            <w:vAlign w:val="center"/>
          </w:tcPr>
          <w:p w14:paraId="52E0028E" w14:textId="0EF6D8FE"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76CEDBDF" w14:textId="77777777" w:rsidR="004071CA" w:rsidRPr="00FB3D74" w:rsidRDefault="004071CA" w:rsidP="00942E95">
            <w:pPr>
              <w:rPr>
                <w:rFonts w:cs="Arial"/>
                <w:b/>
                <w:bCs/>
                <w:sz w:val="16"/>
                <w:szCs w:val="16"/>
              </w:rPr>
            </w:pPr>
            <w:r w:rsidRPr="00FB3D74">
              <w:rPr>
                <w:rFonts w:cs="Arial"/>
                <w:b/>
                <w:bCs/>
                <w:sz w:val="16"/>
                <w:szCs w:val="16"/>
              </w:rPr>
              <w:t>Instituto Colimense del Deporte.</w:t>
            </w:r>
          </w:p>
        </w:tc>
      </w:tr>
      <w:tr w:rsidR="004071CA" w:rsidRPr="00FB3D74" w14:paraId="5D6639C5" w14:textId="77777777" w:rsidTr="00942E95">
        <w:trPr>
          <w:trHeight w:val="20"/>
        </w:trPr>
        <w:tc>
          <w:tcPr>
            <w:tcW w:w="3823" w:type="dxa"/>
            <w:shd w:val="clear" w:color="auto" w:fill="F2F2F2" w:themeFill="background1" w:themeFillShade="F2"/>
            <w:vAlign w:val="center"/>
          </w:tcPr>
          <w:p w14:paraId="4337C9CD" w14:textId="2EEF2EDD"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4E458E05" w14:textId="77777777" w:rsidR="004071CA" w:rsidRPr="00FB3D74" w:rsidRDefault="004071CA" w:rsidP="00942E95">
            <w:pPr>
              <w:rPr>
                <w:rFonts w:cs="Arial"/>
                <w:sz w:val="16"/>
                <w:szCs w:val="16"/>
              </w:rPr>
            </w:pPr>
            <w:r w:rsidRPr="00FB3D74">
              <w:rPr>
                <w:rFonts w:cs="Arial"/>
                <w:sz w:val="16"/>
                <w:szCs w:val="16"/>
              </w:rPr>
              <w:t>La población accede a la práctica del deporte y la cultura física para contribuir a la reconstrucción del tejido social de los colimenses.</w:t>
            </w:r>
          </w:p>
        </w:tc>
      </w:tr>
      <w:tr w:rsidR="004071CA" w:rsidRPr="00FB3D74" w14:paraId="631DB541" w14:textId="77777777" w:rsidTr="00942E95">
        <w:trPr>
          <w:trHeight w:val="20"/>
        </w:trPr>
        <w:tc>
          <w:tcPr>
            <w:tcW w:w="3823" w:type="dxa"/>
            <w:shd w:val="clear" w:color="auto" w:fill="F2F2F2" w:themeFill="background1" w:themeFillShade="F2"/>
            <w:vAlign w:val="center"/>
          </w:tcPr>
          <w:p w14:paraId="35C3203F"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19B8D706"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5BBF8481" w14:textId="77777777" w:rsidTr="00942E95">
        <w:trPr>
          <w:trHeight w:val="20"/>
        </w:trPr>
        <w:tc>
          <w:tcPr>
            <w:tcW w:w="3823" w:type="dxa"/>
            <w:vAlign w:val="center"/>
          </w:tcPr>
          <w:p w14:paraId="05BF61AC" w14:textId="77777777" w:rsidR="004071CA" w:rsidRPr="00FB3D74" w:rsidRDefault="004071CA" w:rsidP="00942E95">
            <w:pPr>
              <w:rPr>
                <w:rFonts w:cs="Arial"/>
                <w:sz w:val="16"/>
                <w:szCs w:val="16"/>
              </w:rPr>
            </w:pPr>
            <w:r w:rsidRPr="00FB3D74">
              <w:rPr>
                <w:rFonts w:cs="Arial"/>
                <w:sz w:val="16"/>
                <w:szCs w:val="16"/>
              </w:rPr>
              <w:t>Programas para el desarrollo del deporte implementados.</w:t>
            </w:r>
          </w:p>
        </w:tc>
        <w:tc>
          <w:tcPr>
            <w:tcW w:w="4992" w:type="dxa"/>
            <w:vAlign w:val="center"/>
          </w:tcPr>
          <w:p w14:paraId="1A12BBE8" w14:textId="3728D7EF" w:rsidR="004071CA" w:rsidRPr="00FB3D74" w:rsidRDefault="004071CA" w:rsidP="00942E95">
            <w:pPr>
              <w:rPr>
                <w:rFonts w:cs="Arial"/>
                <w:sz w:val="16"/>
                <w:szCs w:val="16"/>
              </w:rPr>
            </w:pPr>
            <w:r w:rsidRPr="00FB3D74">
              <w:rPr>
                <w:rFonts w:cs="Arial"/>
                <w:sz w:val="16"/>
                <w:szCs w:val="16"/>
              </w:rPr>
              <w:t xml:space="preserve">Atender 28,411 personas por los programas de desarrollo del deporte del </w:t>
            </w:r>
            <w:r w:rsidR="00CC4B6B" w:rsidRPr="00FB3D74">
              <w:rPr>
                <w:rFonts w:cs="Arial"/>
                <w:sz w:val="16"/>
                <w:szCs w:val="16"/>
              </w:rPr>
              <w:t>Instituto Colimense del Deporte (</w:t>
            </w:r>
            <w:r w:rsidRPr="00FB3D74">
              <w:rPr>
                <w:rFonts w:cs="Arial"/>
                <w:sz w:val="16"/>
                <w:szCs w:val="16"/>
              </w:rPr>
              <w:t>INCODE</w:t>
            </w:r>
            <w:r w:rsidR="00CC4B6B" w:rsidRPr="00FB3D74">
              <w:rPr>
                <w:rFonts w:cs="Arial"/>
                <w:sz w:val="16"/>
                <w:szCs w:val="16"/>
              </w:rPr>
              <w:t>)</w:t>
            </w:r>
            <w:r w:rsidRPr="00FB3D74">
              <w:rPr>
                <w:rFonts w:cs="Arial"/>
                <w:sz w:val="16"/>
                <w:szCs w:val="16"/>
              </w:rPr>
              <w:t>.</w:t>
            </w:r>
          </w:p>
        </w:tc>
      </w:tr>
      <w:tr w:rsidR="004071CA" w:rsidRPr="00FB3D74" w14:paraId="10702DE4" w14:textId="77777777" w:rsidTr="00942E95">
        <w:trPr>
          <w:trHeight w:val="20"/>
        </w:trPr>
        <w:tc>
          <w:tcPr>
            <w:tcW w:w="3823" w:type="dxa"/>
            <w:vAlign w:val="center"/>
          </w:tcPr>
          <w:p w14:paraId="5D4B1ECE" w14:textId="77777777" w:rsidR="004071CA" w:rsidRPr="00FB3D74" w:rsidRDefault="004071CA" w:rsidP="00942E95">
            <w:pPr>
              <w:rPr>
                <w:rFonts w:cs="Arial"/>
                <w:sz w:val="16"/>
                <w:szCs w:val="16"/>
              </w:rPr>
            </w:pPr>
            <w:r w:rsidRPr="00FB3D74">
              <w:rPr>
                <w:rFonts w:cs="Arial"/>
                <w:sz w:val="16"/>
                <w:szCs w:val="16"/>
              </w:rPr>
              <w:t>Desempeño realizado de funciones del instituto Colimense del Deporte.</w:t>
            </w:r>
          </w:p>
        </w:tc>
        <w:tc>
          <w:tcPr>
            <w:tcW w:w="4992" w:type="dxa"/>
            <w:vAlign w:val="center"/>
          </w:tcPr>
          <w:p w14:paraId="25E9ABCA" w14:textId="3854776D" w:rsidR="004071CA" w:rsidRPr="00FB3D74" w:rsidRDefault="004071CA" w:rsidP="00942E95">
            <w:pPr>
              <w:rPr>
                <w:rFonts w:cs="Arial"/>
                <w:sz w:val="16"/>
                <w:szCs w:val="16"/>
              </w:rPr>
            </w:pPr>
            <w:r w:rsidRPr="00FB3D74">
              <w:rPr>
                <w:rFonts w:cs="Arial"/>
                <w:sz w:val="16"/>
                <w:szCs w:val="16"/>
              </w:rPr>
              <w:t xml:space="preserve">Ejercer el presupuesto asignado al </w:t>
            </w:r>
            <w:r w:rsidR="00CC4B6B" w:rsidRPr="00FB3D74">
              <w:rPr>
                <w:rFonts w:cs="Arial"/>
                <w:sz w:val="16"/>
                <w:szCs w:val="16"/>
              </w:rPr>
              <w:t>Instituto Colimense del Deporte (INCODE)</w:t>
            </w:r>
            <w:r w:rsidRPr="00FB3D74">
              <w:rPr>
                <w:rFonts w:cs="Arial"/>
                <w:sz w:val="16"/>
                <w:szCs w:val="16"/>
              </w:rPr>
              <w:t>.</w:t>
            </w:r>
          </w:p>
        </w:tc>
      </w:tr>
      <w:tr w:rsidR="004071CA" w:rsidRPr="00FB3D74" w14:paraId="7EF9AE82" w14:textId="77777777" w:rsidTr="00942E95">
        <w:trPr>
          <w:trHeight w:val="20"/>
        </w:trPr>
        <w:tc>
          <w:tcPr>
            <w:tcW w:w="3823" w:type="dxa"/>
            <w:shd w:val="clear" w:color="auto" w:fill="F2F2F2" w:themeFill="background1" w:themeFillShade="F2"/>
            <w:vAlign w:val="center"/>
          </w:tcPr>
          <w:p w14:paraId="3A9D3E93" w14:textId="0BB8116F"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3D765077" w14:textId="169DA2FC" w:rsidR="004071CA" w:rsidRPr="00FB3D74" w:rsidRDefault="004071CA" w:rsidP="00942E95">
            <w:pPr>
              <w:rPr>
                <w:rFonts w:cs="Arial"/>
                <w:b/>
                <w:bCs/>
                <w:sz w:val="16"/>
                <w:szCs w:val="16"/>
              </w:rPr>
            </w:pPr>
            <w:r w:rsidRPr="00FB3D74">
              <w:rPr>
                <w:rFonts w:cs="Arial"/>
                <w:b/>
                <w:bCs/>
                <w:sz w:val="16"/>
                <w:szCs w:val="16"/>
              </w:rPr>
              <w:t>16</w:t>
            </w:r>
            <w:r w:rsidR="00942E95" w:rsidRPr="00FB3D74">
              <w:rPr>
                <w:rFonts w:cs="Arial"/>
                <w:b/>
                <w:bCs/>
                <w:sz w:val="16"/>
                <w:szCs w:val="16"/>
              </w:rPr>
              <w:t>.</w:t>
            </w:r>
          </w:p>
        </w:tc>
      </w:tr>
      <w:tr w:rsidR="004071CA" w:rsidRPr="00FB3D74" w14:paraId="694BAA02" w14:textId="77777777" w:rsidTr="00942E95">
        <w:trPr>
          <w:trHeight w:val="20"/>
        </w:trPr>
        <w:tc>
          <w:tcPr>
            <w:tcW w:w="3823" w:type="dxa"/>
            <w:shd w:val="clear" w:color="auto" w:fill="F2F2F2" w:themeFill="background1" w:themeFillShade="F2"/>
            <w:vAlign w:val="center"/>
          </w:tcPr>
          <w:p w14:paraId="4BA8A3CB" w14:textId="2F81837A"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1FA0723F" w14:textId="77777777" w:rsidR="004071CA" w:rsidRPr="00FB3D74" w:rsidRDefault="004071CA" w:rsidP="00942E95">
            <w:pPr>
              <w:rPr>
                <w:rFonts w:cs="Arial"/>
                <w:b/>
                <w:bCs/>
                <w:sz w:val="16"/>
                <w:szCs w:val="16"/>
              </w:rPr>
            </w:pPr>
            <w:r w:rsidRPr="00FB3D74">
              <w:rPr>
                <w:rFonts w:cs="Arial"/>
                <w:b/>
                <w:bCs/>
                <w:sz w:val="16"/>
                <w:szCs w:val="16"/>
              </w:rPr>
              <w:t>Instituto Colimense de las Mujeres.</w:t>
            </w:r>
          </w:p>
        </w:tc>
      </w:tr>
      <w:tr w:rsidR="004071CA" w:rsidRPr="00FB3D74" w14:paraId="5F86463C" w14:textId="77777777" w:rsidTr="00942E95">
        <w:trPr>
          <w:trHeight w:val="20"/>
        </w:trPr>
        <w:tc>
          <w:tcPr>
            <w:tcW w:w="3823" w:type="dxa"/>
            <w:shd w:val="clear" w:color="auto" w:fill="F2F2F2" w:themeFill="background1" w:themeFillShade="F2"/>
            <w:vAlign w:val="center"/>
          </w:tcPr>
          <w:p w14:paraId="16C607BD" w14:textId="77777777" w:rsidR="004071CA" w:rsidRPr="00FB3D74" w:rsidRDefault="004071CA" w:rsidP="00942E95">
            <w:pPr>
              <w:rPr>
                <w:rFonts w:cs="Arial"/>
                <w:b/>
                <w:bCs/>
                <w:sz w:val="16"/>
                <w:szCs w:val="16"/>
              </w:rPr>
            </w:pPr>
            <w:r w:rsidRPr="00FB3D74">
              <w:rPr>
                <w:rFonts w:cs="Arial"/>
                <w:b/>
                <w:bCs/>
                <w:sz w:val="16"/>
                <w:szCs w:val="16"/>
              </w:rPr>
              <w:t>Objetivo Anual</w:t>
            </w:r>
          </w:p>
        </w:tc>
        <w:tc>
          <w:tcPr>
            <w:tcW w:w="4992" w:type="dxa"/>
            <w:shd w:val="clear" w:color="auto" w:fill="F2F2F2" w:themeFill="background1" w:themeFillShade="F2"/>
            <w:vAlign w:val="center"/>
          </w:tcPr>
          <w:p w14:paraId="46239E8C" w14:textId="77777777" w:rsidR="004071CA" w:rsidRPr="00FB3D74" w:rsidRDefault="004071CA" w:rsidP="00942E95">
            <w:pPr>
              <w:rPr>
                <w:rFonts w:cs="Arial"/>
                <w:sz w:val="16"/>
                <w:szCs w:val="16"/>
              </w:rPr>
            </w:pPr>
            <w:r w:rsidRPr="00FB3D74">
              <w:rPr>
                <w:rFonts w:cs="Arial"/>
                <w:sz w:val="16"/>
                <w:szCs w:val="16"/>
              </w:rPr>
              <w:t>Las mujeres del Estado de Colima ejercen plenamente sus derechos y cuentan con condiciones igualitarias respecto a los hombres en los ámbitos social, educativo, económico, político, cultural y de salud, así como con un ambiente libre de violencia de género.</w:t>
            </w:r>
          </w:p>
        </w:tc>
      </w:tr>
      <w:tr w:rsidR="004071CA" w:rsidRPr="00FB3D74" w14:paraId="53197852" w14:textId="77777777" w:rsidTr="00942E95">
        <w:trPr>
          <w:trHeight w:val="20"/>
        </w:trPr>
        <w:tc>
          <w:tcPr>
            <w:tcW w:w="3823" w:type="dxa"/>
            <w:shd w:val="clear" w:color="auto" w:fill="F2F2F2" w:themeFill="background1" w:themeFillShade="F2"/>
            <w:vAlign w:val="center"/>
          </w:tcPr>
          <w:p w14:paraId="3D4162C9"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10777D95"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3D1ACB83" w14:textId="77777777" w:rsidTr="00942E95">
        <w:trPr>
          <w:trHeight w:val="20"/>
        </w:trPr>
        <w:tc>
          <w:tcPr>
            <w:tcW w:w="3823" w:type="dxa"/>
            <w:vAlign w:val="center"/>
          </w:tcPr>
          <w:p w14:paraId="1329CEAA" w14:textId="77777777" w:rsidR="004071CA" w:rsidRPr="00FB3D74" w:rsidRDefault="004071CA" w:rsidP="00942E95">
            <w:pPr>
              <w:rPr>
                <w:rFonts w:cs="Arial"/>
                <w:sz w:val="16"/>
                <w:szCs w:val="16"/>
              </w:rPr>
            </w:pPr>
            <w:r w:rsidRPr="00FB3D74">
              <w:rPr>
                <w:rFonts w:cs="Arial"/>
                <w:sz w:val="16"/>
                <w:szCs w:val="16"/>
              </w:rPr>
              <w:t>Servicios de atención y prevención de las violencias en contra de las mujeres proporcionados.</w:t>
            </w:r>
          </w:p>
        </w:tc>
        <w:tc>
          <w:tcPr>
            <w:tcW w:w="4992" w:type="dxa"/>
            <w:vAlign w:val="center"/>
          </w:tcPr>
          <w:p w14:paraId="45EA0050" w14:textId="5A0B5323" w:rsidR="004071CA" w:rsidRPr="00FB3D74" w:rsidRDefault="004071CA" w:rsidP="00942E95">
            <w:pPr>
              <w:rPr>
                <w:rFonts w:cs="Arial"/>
                <w:sz w:val="16"/>
                <w:szCs w:val="16"/>
              </w:rPr>
            </w:pPr>
            <w:r w:rsidRPr="00FB3D74">
              <w:rPr>
                <w:rFonts w:cs="Arial"/>
                <w:sz w:val="16"/>
                <w:szCs w:val="16"/>
              </w:rPr>
              <w:t>Beneficiar a 27,694 personas a través del programa del</w:t>
            </w:r>
            <w:r w:rsidR="00763F85" w:rsidRPr="00FB3D74">
              <w:rPr>
                <w:rFonts w:cs="Arial"/>
                <w:sz w:val="16"/>
                <w:szCs w:val="16"/>
              </w:rPr>
              <w:t xml:space="preserve"> Instituto Colimense de las Mujeres</w:t>
            </w:r>
            <w:r w:rsidRPr="00FB3D74">
              <w:rPr>
                <w:rFonts w:cs="Arial"/>
                <w:sz w:val="16"/>
                <w:szCs w:val="16"/>
              </w:rPr>
              <w:t xml:space="preserve"> </w:t>
            </w:r>
            <w:r w:rsidR="00763F85" w:rsidRPr="00FB3D74">
              <w:rPr>
                <w:rFonts w:cs="Arial"/>
                <w:sz w:val="16"/>
                <w:szCs w:val="16"/>
              </w:rPr>
              <w:t>(</w:t>
            </w:r>
            <w:r w:rsidRPr="00FB3D74">
              <w:rPr>
                <w:rFonts w:cs="Arial"/>
                <w:sz w:val="16"/>
                <w:szCs w:val="16"/>
              </w:rPr>
              <w:t>ICM</w:t>
            </w:r>
            <w:r w:rsidR="00763F85" w:rsidRPr="00FB3D74">
              <w:rPr>
                <w:rFonts w:cs="Arial"/>
                <w:sz w:val="16"/>
                <w:szCs w:val="16"/>
              </w:rPr>
              <w:t>)</w:t>
            </w:r>
            <w:r w:rsidRPr="00FB3D74">
              <w:rPr>
                <w:rFonts w:cs="Arial"/>
                <w:sz w:val="16"/>
                <w:szCs w:val="16"/>
              </w:rPr>
              <w:t xml:space="preserve"> que reciben capacitación, atención y prevención de violencia de género brindados a las mujeres de los 10 municipios del Estado. </w:t>
            </w:r>
          </w:p>
        </w:tc>
      </w:tr>
      <w:tr w:rsidR="004071CA" w:rsidRPr="00FB3D74" w14:paraId="7EAD474A" w14:textId="77777777" w:rsidTr="00942E95">
        <w:trPr>
          <w:trHeight w:val="20"/>
        </w:trPr>
        <w:tc>
          <w:tcPr>
            <w:tcW w:w="3823" w:type="dxa"/>
            <w:vAlign w:val="center"/>
          </w:tcPr>
          <w:p w14:paraId="47FE413F" w14:textId="78D76A83" w:rsidR="004071CA" w:rsidRPr="00FB3D74" w:rsidRDefault="004071CA" w:rsidP="00942E95">
            <w:pPr>
              <w:rPr>
                <w:rFonts w:cs="Arial"/>
                <w:sz w:val="16"/>
                <w:szCs w:val="16"/>
              </w:rPr>
            </w:pPr>
            <w:r w:rsidRPr="00FB3D74">
              <w:rPr>
                <w:rFonts w:cs="Arial"/>
                <w:sz w:val="16"/>
                <w:szCs w:val="16"/>
              </w:rPr>
              <w:t xml:space="preserve">Seguimiento realizado al Sistema Estatal para la Igualdad entre Mujeres y Hombres; y al Sistema Estatal para Prevenir, Atender, Sancionar y Erradicar la </w:t>
            </w:r>
            <w:r w:rsidR="00763F85" w:rsidRPr="00FB3D74">
              <w:rPr>
                <w:rFonts w:cs="Arial"/>
                <w:sz w:val="16"/>
                <w:szCs w:val="16"/>
              </w:rPr>
              <w:t xml:space="preserve">Violencia </w:t>
            </w:r>
            <w:r w:rsidRPr="00FB3D74">
              <w:rPr>
                <w:rFonts w:cs="Arial"/>
                <w:sz w:val="16"/>
                <w:szCs w:val="16"/>
              </w:rPr>
              <w:t xml:space="preserve">contra las </w:t>
            </w:r>
            <w:r w:rsidR="00763F85" w:rsidRPr="00FB3D74">
              <w:rPr>
                <w:rFonts w:cs="Arial"/>
                <w:sz w:val="16"/>
                <w:szCs w:val="16"/>
              </w:rPr>
              <w:t>Mujeres</w:t>
            </w:r>
            <w:r w:rsidRPr="00FB3D74">
              <w:rPr>
                <w:rFonts w:cs="Arial"/>
                <w:sz w:val="16"/>
                <w:szCs w:val="16"/>
              </w:rPr>
              <w:t>.</w:t>
            </w:r>
          </w:p>
        </w:tc>
        <w:tc>
          <w:tcPr>
            <w:tcW w:w="4992" w:type="dxa"/>
            <w:vAlign w:val="center"/>
          </w:tcPr>
          <w:p w14:paraId="0019F3DE" w14:textId="2DB7E70A" w:rsidR="004071CA" w:rsidRPr="00FB3D74" w:rsidRDefault="004071CA" w:rsidP="00942E95">
            <w:pPr>
              <w:rPr>
                <w:rFonts w:cs="Arial"/>
                <w:sz w:val="16"/>
                <w:szCs w:val="16"/>
              </w:rPr>
            </w:pPr>
            <w:r w:rsidRPr="00FB3D74">
              <w:rPr>
                <w:rFonts w:cs="Arial"/>
                <w:sz w:val="16"/>
                <w:szCs w:val="16"/>
              </w:rPr>
              <w:t xml:space="preserve">Ejecutar 3 sesiones de seguimiento al Sistema Estatal para la Igualdad entre Mujeres y Hombres y 3 del Sistema Estatal para Prevenir, Atender, Sancionar y Erradicar la </w:t>
            </w:r>
            <w:r w:rsidR="00763F85" w:rsidRPr="00FB3D74">
              <w:rPr>
                <w:rFonts w:cs="Arial"/>
                <w:sz w:val="16"/>
                <w:szCs w:val="16"/>
              </w:rPr>
              <w:t xml:space="preserve">Violencia </w:t>
            </w:r>
            <w:r w:rsidRPr="00FB3D74">
              <w:rPr>
                <w:rFonts w:cs="Arial"/>
                <w:sz w:val="16"/>
                <w:szCs w:val="16"/>
              </w:rPr>
              <w:t xml:space="preserve">contra las </w:t>
            </w:r>
            <w:r w:rsidR="00763F85" w:rsidRPr="00FB3D74">
              <w:rPr>
                <w:rFonts w:cs="Arial"/>
                <w:sz w:val="16"/>
                <w:szCs w:val="16"/>
              </w:rPr>
              <w:t>Mujeres</w:t>
            </w:r>
            <w:r w:rsidRPr="00FB3D74">
              <w:rPr>
                <w:rFonts w:cs="Arial"/>
                <w:sz w:val="16"/>
                <w:szCs w:val="16"/>
              </w:rPr>
              <w:t>.</w:t>
            </w:r>
          </w:p>
        </w:tc>
      </w:tr>
      <w:tr w:rsidR="004071CA" w:rsidRPr="00FB3D74" w14:paraId="19CCA5AA" w14:textId="77777777" w:rsidTr="00942E95">
        <w:trPr>
          <w:trHeight w:val="20"/>
        </w:trPr>
        <w:tc>
          <w:tcPr>
            <w:tcW w:w="3823" w:type="dxa"/>
            <w:vAlign w:val="center"/>
          </w:tcPr>
          <w:p w14:paraId="5894D233" w14:textId="77777777" w:rsidR="004071CA" w:rsidRPr="00FB3D74" w:rsidRDefault="004071CA" w:rsidP="00942E95">
            <w:pPr>
              <w:rPr>
                <w:rFonts w:cs="Arial"/>
                <w:sz w:val="16"/>
                <w:szCs w:val="16"/>
              </w:rPr>
            </w:pPr>
            <w:r w:rsidRPr="00FB3D74">
              <w:rPr>
                <w:rFonts w:cs="Arial"/>
                <w:sz w:val="16"/>
                <w:szCs w:val="16"/>
              </w:rPr>
              <w:t xml:space="preserve">Mecanismos de protección de los Derechos Humanos de las Mujeres en respuesta a la Declaratoria de la Alerta de Violencia de Género contra las Mujeres (AVGM) implementados. </w:t>
            </w:r>
          </w:p>
        </w:tc>
        <w:tc>
          <w:tcPr>
            <w:tcW w:w="4992" w:type="dxa"/>
            <w:vAlign w:val="center"/>
          </w:tcPr>
          <w:p w14:paraId="6050E0CB" w14:textId="6EB156BA" w:rsidR="004071CA" w:rsidRPr="00FB3D74" w:rsidRDefault="004071CA" w:rsidP="00942E95">
            <w:pPr>
              <w:rPr>
                <w:rFonts w:cs="Arial"/>
                <w:sz w:val="16"/>
                <w:szCs w:val="16"/>
              </w:rPr>
            </w:pPr>
            <w:r w:rsidRPr="00FB3D74">
              <w:rPr>
                <w:rFonts w:cs="Arial"/>
                <w:sz w:val="16"/>
                <w:szCs w:val="16"/>
              </w:rPr>
              <w:t>Elaborar y dar seguimiento a 1 Plan Anual de Trabajo 202</w:t>
            </w:r>
            <w:r w:rsidR="00F73CAF" w:rsidRPr="00FB3D74">
              <w:rPr>
                <w:rFonts w:cs="Arial"/>
                <w:sz w:val="16"/>
                <w:szCs w:val="16"/>
              </w:rPr>
              <w:t>5</w:t>
            </w:r>
            <w:r w:rsidRPr="00FB3D74">
              <w:rPr>
                <w:rFonts w:cs="Arial"/>
                <w:sz w:val="16"/>
                <w:szCs w:val="16"/>
              </w:rPr>
              <w:t>.</w:t>
            </w:r>
          </w:p>
        </w:tc>
      </w:tr>
      <w:tr w:rsidR="004071CA" w:rsidRPr="00FB3D74" w14:paraId="3E77F7BC" w14:textId="77777777" w:rsidTr="00942E95">
        <w:trPr>
          <w:trHeight w:val="20"/>
        </w:trPr>
        <w:tc>
          <w:tcPr>
            <w:tcW w:w="3823" w:type="dxa"/>
            <w:shd w:val="clear" w:color="auto" w:fill="F2F2F2" w:themeFill="background1" w:themeFillShade="F2"/>
            <w:vAlign w:val="center"/>
          </w:tcPr>
          <w:p w14:paraId="5AFC1D09" w14:textId="388251D9"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14F2B78A" w14:textId="743EF2F2" w:rsidR="004071CA" w:rsidRPr="00FB3D74" w:rsidRDefault="004071CA" w:rsidP="00942E95">
            <w:pPr>
              <w:rPr>
                <w:rFonts w:cs="Arial"/>
                <w:b/>
                <w:bCs/>
                <w:sz w:val="16"/>
                <w:szCs w:val="16"/>
              </w:rPr>
            </w:pPr>
            <w:r w:rsidRPr="00FB3D74">
              <w:rPr>
                <w:rFonts w:cs="Arial"/>
                <w:b/>
                <w:bCs/>
                <w:sz w:val="16"/>
                <w:szCs w:val="16"/>
              </w:rPr>
              <w:t>17</w:t>
            </w:r>
            <w:r w:rsidR="00942E95" w:rsidRPr="00FB3D74">
              <w:rPr>
                <w:rFonts w:cs="Arial"/>
                <w:b/>
                <w:bCs/>
                <w:sz w:val="16"/>
                <w:szCs w:val="16"/>
              </w:rPr>
              <w:t>.</w:t>
            </w:r>
          </w:p>
        </w:tc>
      </w:tr>
      <w:tr w:rsidR="004071CA" w:rsidRPr="00FB3D74" w14:paraId="015BD40D" w14:textId="77777777" w:rsidTr="00942E95">
        <w:trPr>
          <w:trHeight w:val="20"/>
        </w:trPr>
        <w:tc>
          <w:tcPr>
            <w:tcW w:w="3823" w:type="dxa"/>
            <w:shd w:val="clear" w:color="auto" w:fill="F2F2F2" w:themeFill="background1" w:themeFillShade="F2"/>
            <w:vAlign w:val="center"/>
          </w:tcPr>
          <w:p w14:paraId="1B67AF88" w14:textId="7A8AC36D"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73C5ABC7" w14:textId="77777777" w:rsidR="004071CA" w:rsidRPr="00FB3D74" w:rsidRDefault="004071CA" w:rsidP="00942E95">
            <w:pPr>
              <w:rPr>
                <w:rFonts w:cs="Arial"/>
                <w:b/>
                <w:bCs/>
                <w:sz w:val="16"/>
                <w:szCs w:val="16"/>
              </w:rPr>
            </w:pPr>
            <w:r w:rsidRPr="00FB3D74">
              <w:rPr>
                <w:rFonts w:cs="Arial"/>
                <w:b/>
                <w:bCs/>
                <w:sz w:val="16"/>
                <w:szCs w:val="16"/>
              </w:rPr>
              <w:t>Centro de Conciliación Laboral del Estado de Colima</w:t>
            </w:r>
          </w:p>
        </w:tc>
      </w:tr>
      <w:tr w:rsidR="004071CA" w:rsidRPr="00FB3D74" w14:paraId="7DB6EAA3" w14:textId="77777777" w:rsidTr="00942E95">
        <w:trPr>
          <w:trHeight w:val="20"/>
        </w:trPr>
        <w:tc>
          <w:tcPr>
            <w:tcW w:w="3823" w:type="dxa"/>
            <w:shd w:val="clear" w:color="auto" w:fill="F2F2F2" w:themeFill="background1" w:themeFillShade="F2"/>
            <w:vAlign w:val="center"/>
          </w:tcPr>
          <w:p w14:paraId="3AE2B9C9" w14:textId="38782562"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26FE1D4D" w14:textId="040D2F2C" w:rsidR="004071CA" w:rsidRPr="00FB3D74" w:rsidRDefault="004071CA" w:rsidP="00942E95">
            <w:pPr>
              <w:rPr>
                <w:rFonts w:cs="Arial"/>
                <w:sz w:val="16"/>
                <w:szCs w:val="16"/>
              </w:rPr>
            </w:pPr>
            <w:r w:rsidRPr="00FB3D74">
              <w:rPr>
                <w:rFonts w:cs="Arial"/>
                <w:sz w:val="16"/>
                <w:szCs w:val="16"/>
              </w:rPr>
              <w:t xml:space="preserve">La población económicamente activa que sea afectada de sus derechos laborales acuda al </w:t>
            </w:r>
            <w:r w:rsidR="00A57544" w:rsidRPr="00A57544">
              <w:rPr>
                <w:rFonts w:cs="Arial"/>
                <w:sz w:val="16"/>
                <w:szCs w:val="16"/>
              </w:rPr>
              <w:t xml:space="preserve">Centro de Conciliación Laboral del Estado de Colima </w:t>
            </w:r>
            <w:r w:rsidRPr="00FB3D74">
              <w:rPr>
                <w:rFonts w:cs="Arial"/>
                <w:sz w:val="16"/>
                <w:szCs w:val="16"/>
              </w:rPr>
              <w:t>a solucionar sus conflictos en etapa de conciliación prejudicial.</w:t>
            </w:r>
          </w:p>
        </w:tc>
      </w:tr>
      <w:tr w:rsidR="004071CA" w:rsidRPr="00FB3D74" w14:paraId="439025BA" w14:textId="77777777" w:rsidTr="00942E95">
        <w:trPr>
          <w:trHeight w:val="20"/>
        </w:trPr>
        <w:tc>
          <w:tcPr>
            <w:tcW w:w="3823" w:type="dxa"/>
            <w:shd w:val="clear" w:color="auto" w:fill="F2F2F2" w:themeFill="background1" w:themeFillShade="F2"/>
            <w:vAlign w:val="center"/>
          </w:tcPr>
          <w:p w14:paraId="6D545CFB"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58800D6E"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73BC8BA6" w14:textId="77777777" w:rsidTr="00942E95">
        <w:trPr>
          <w:trHeight w:val="20"/>
        </w:trPr>
        <w:tc>
          <w:tcPr>
            <w:tcW w:w="3823" w:type="dxa"/>
            <w:vAlign w:val="center"/>
          </w:tcPr>
          <w:p w14:paraId="0C043893" w14:textId="77777777" w:rsidR="004071CA" w:rsidRPr="00FB3D74" w:rsidRDefault="004071CA" w:rsidP="00942E95">
            <w:pPr>
              <w:rPr>
                <w:rFonts w:cs="Arial"/>
                <w:sz w:val="16"/>
                <w:szCs w:val="16"/>
              </w:rPr>
            </w:pPr>
            <w:r w:rsidRPr="00FB3D74">
              <w:rPr>
                <w:rFonts w:cs="Arial"/>
                <w:sz w:val="16"/>
                <w:szCs w:val="16"/>
              </w:rPr>
              <w:t>Servicios de conciliación a los usuarios que inician el proceso individual prejudicial brindados.</w:t>
            </w:r>
          </w:p>
        </w:tc>
        <w:tc>
          <w:tcPr>
            <w:tcW w:w="4992" w:type="dxa"/>
            <w:vAlign w:val="center"/>
          </w:tcPr>
          <w:p w14:paraId="18FB1760" w14:textId="08D75326" w:rsidR="004071CA" w:rsidRPr="00FB3D74" w:rsidRDefault="004071CA" w:rsidP="00942E95">
            <w:pPr>
              <w:rPr>
                <w:rFonts w:cs="Arial"/>
                <w:sz w:val="16"/>
                <w:szCs w:val="16"/>
              </w:rPr>
            </w:pPr>
            <w:r w:rsidRPr="00FB3D74">
              <w:rPr>
                <w:rFonts w:cs="Arial"/>
                <w:sz w:val="16"/>
                <w:szCs w:val="16"/>
              </w:rPr>
              <w:t>3,500 solicitudes de conciliación</w:t>
            </w:r>
            <w:r w:rsidR="00A57544">
              <w:rPr>
                <w:rFonts w:cs="Arial"/>
                <w:sz w:val="16"/>
                <w:szCs w:val="16"/>
              </w:rPr>
              <w:t>.</w:t>
            </w:r>
          </w:p>
        </w:tc>
      </w:tr>
      <w:tr w:rsidR="004071CA" w:rsidRPr="00FB3D74" w14:paraId="7C3C9965" w14:textId="77777777" w:rsidTr="00942E95">
        <w:trPr>
          <w:trHeight w:val="20"/>
        </w:trPr>
        <w:tc>
          <w:tcPr>
            <w:tcW w:w="3823" w:type="dxa"/>
            <w:shd w:val="clear" w:color="auto" w:fill="F2F2F2" w:themeFill="background1" w:themeFillShade="F2"/>
            <w:vAlign w:val="center"/>
          </w:tcPr>
          <w:p w14:paraId="23464DFA" w14:textId="2DFB1FA8"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5B2A2E3C" w14:textId="42DAEED5" w:rsidR="004071CA" w:rsidRPr="00FB3D74" w:rsidRDefault="004071CA" w:rsidP="00942E95">
            <w:pPr>
              <w:rPr>
                <w:rFonts w:cs="Arial"/>
                <w:b/>
                <w:bCs/>
                <w:sz w:val="16"/>
                <w:szCs w:val="16"/>
              </w:rPr>
            </w:pPr>
            <w:r w:rsidRPr="00FB3D74">
              <w:rPr>
                <w:rFonts w:cs="Arial"/>
                <w:b/>
                <w:bCs/>
                <w:sz w:val="16"/>
                <w:szCs w:val="16"/>
              </w:rPr>
              <w:t>18</w:t>
            </w:r>
            <w:r w:rsidR="00942E95" w:rsidRPr="00FB3D74">
              <w:rPr>
                <w:rFonts w:cs="Arial"/>
                <w:b/>
                <w:bCs/>
                <w:sz w:val="16"/>
                <w:szCs w:val="16"/>
              </w:rPr>
              <w:t>.</w:t>
            </w:r>
          </w:p>
        </w:tc>
      </w:tr>
      <w:tr w:rsidR="004071CA" w:rsidRPr="00FB3D74" w14:paraId="792C677C" w14:textId="77777777" w:rsidTr="00942E95">
        <w:trPr>
          <w:trHeight w:val="20"/>
        </w:trPr>
        <w:tc>
          <w:tcPr>
            <w:tcW w:w="3823" w:type="dxa"/>
            <w:shd w:val="clear" w:color="auto" w:fill="F2F2F2" w:themeFill="background1" w:themeFillShade="F2"/>
            <w:vAlign w:val="center"/>
          </w:tcPr>
          <w:p w14:paraId="3BD5C395" w14:textId="15FA3FAF"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12BD09C4" w14:textId="77777777" w:rsidR="004071CA" w:rsidRPr="00FB3D74" w:rsidRDefault="004071CA" w:rsidP="00942E95">
            <w:pPr>
              <w:rPr>
                <w:rFonts w:cs="Arial"/>
                <w:b/>
                <w:bCs/>
                <w:sz w:val="16"/>
                <w:szCs w:val="16"/>
              </w:rPr>
            </w:pPr>
            <w:r w:rsidRPr="00FB3D74">
              <w:rPr>
                <w:rFonts w:cs="Arial"/>
                <w:b/>
                <w:bCs/>
                <w:sz w:val="16"/>
                <w:szCs w:val="16"/>
              </w:rPr>
              <w:t>Sistema para el Desarrollo Integral de la Familia del Estado de Colima.</w:t>
            </w:r>
          </w:p>
        </w:tc>
      </w:tr>
      <w:tr w:rsidR="004071CA" w:rsidRPr="00FB3D74" w14:paraId="7CDDDCA6" w14:textId="77777777" w:rsidTr="00942E95">
        <w:trPr>
          <w:trHeight w:val="20"/>
        </w:trPr>
        <w:tc>
          <w:tcPr>
            <w:tcW w:w="3823" w:type="dxa"/>
            <w:shd w:val="clear" w:color="auto" w:fill="F2F2F2" w:themeFill="background1" w:themeFillShade="F2"/>
            <w:vAlign w:val="center"/>
          </w:tcPr>
          <w:p w14:paraId="378B0499" w14:textId="3C69D346"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6B3C217E" w14:textId="77777777" w:rsidR="004071CA" w:rsidRPr="00FB3D74" w:rsidRDefault="004071CA" w:rsidP="00942E95">
            <w:pPr>
              <w:rPr>
                <w:rFonts w:cs="Arial"/>
                <w:sz w:val="16"/>
                <w:szCs w:val="16"/>
              </w:rPr>
            </w:pPr>
            <w:r w:rsidRPr="00FB3D74">
              <w:rPr>
                <w:rFonts w:cs="Arial"/>
                <w:sz w:val="16"/>
                <w:szCs w:val="16"/>
              </w:rPr>
              <w:t>La población en estado de vulnerabilidad del Estado de Colima que cuenta con los medios suficientes para superar tal condición.</w:t>
            </w:r>
          </w:p>
        </w:tc>
      </w:tr>
      <w:tr w:rsidR="004071CA" w:rsidRPr="00FB3D74" w14:paraId="36891012" w14:textId="77777777" w:rsidTr="00942E95">
        <w:trPr>
          <w:trHeight w:val="20"/>
        </w:trPr>
        <w:tc>
          <w:tcPr>
            <w:tcW w:w="3823" w:type="dxa"/>
            <w:shd w:val="clear" w:color="auto" w:fill="F2F2F2" w:themeFill="background1" w:themeFillShade="F2"/>
            <w:vAlign w:val="center"/>
          </w:tcPr>
          <w:p w14:paraId="6666D280"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11A65EA1"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51A8813D" w14:textId="77777777" w:rsidTr="00942E95">
        <w:trPr>
          <w:trHeight w:val="20"/>
        </w:trPr>
        <w:tc>
          <w:tcPr>
            <w:tcW w:w="3823" w:type="dxa"/>
            <w:vAlign w:val="center"/>
          </w:tcPr>
          <w:p w14:paraId="433A4440" w14:textId="77777777" w:rsidR="004071CA" w:rsidRPr="00FB3D74" w:rsidRDefault="004071CA" w:rsidP="00942E95">
            <w:pPr>
              <w:rPr>
                <w:rFonts w:cs="Arial"/>
                <w:sz w:val="16"/>
                <w:szCs w:val="16"/>
              </w:rPr>
            </w:pPr>
            <w:r w:rsidRPr="00FB3D74">
              <w:rPr>
                <w:rFonts w:cs="Arial"/>
                <w:sz w:val="16"/>
                <w:szCs w:val="16"/>
              </w:rPr>
              <w:t>Apoyos alimentarios a población vulnerable entregados.</w:t>
            </w:r>
          </w:p>
        </w:tc>
        <w:tc>
          <w:tcPr>
            <w:tcW w:w="4992" w:type="dxa"/>
            <w:vAlign w:val="center"/>
          </w:tcPr>
          <w:p w14:paraId="2D59308E" w14:textId="77777777" w:rsidR="004071CA" w:rsidRPr="00FB3D74" w:rsidRDefault="004071CA" w:rsidP="00942E95">
            <w:pPr>
              <w:rPr>
                <w:rFonts w:cs="Arial"/>
                <w:sz w:val="16"/>
                <w:szCs w:val="16"/>
              </w:rPr>
            </w:pPr>
            <w:r w:rsidRPr="00FB3D74">
              <w:rPr>
                <w:rFonts w:cs="Arial"/>
                <w:sz w:val="16"/>
                <w:szCs w:val="16"/>
              </w:rPr>
              <w:t>Incrementar 8 por ciento de apoyos alimentarios a la población vulnerable con respecto a la línea base.</w:t>
            </w:r>
          </w:p>
        </w:tc>
      </w:tr>
      <w:tr w:rsidR="004071CA" w:rsidRPr="00FB3D74" w14:paraId="50888EEE" w14:textId="77777777" w:rsidTr="00942E95">
        <w:trPr>
          <w:trHeight w:val="20"/>
        </w:trPr>
        <w:tc>
          <w:tcPr>
            <w:tcW w:w="3823" w:type="dxa"/>
            <w:vAlign w:val="center"/>
          </w:tcPr>
          <w:p w14:paraId="4872F034" w14:textId="77777777" w:rsidR="004071CA" w:rsidRPr="00FB3D74" w:rsidRDefault="004071CA" w:rsidP="00942E95">
            <w:pPr>
              <w:rPr>
                <w:rFonts w:cs="Arial"/>
                <w:sz w:val="16"/>
                <w:szCs w:val="16"/>
              </w:rPr>
            </w:pPr>
            <w:r w:rsidRPr="00FB3D74">
              <w:rPr>
                <w:rFonts w:cs="Arial"/>
                <w:sz w:val="16"/>
                <w:szCs w:val="16"/>
              </w:rPr>
              <w:t>Servicios médicos y asistenciales para población vulnerable proporcionados.</w:t>
            </w:r>
          </w:p>
        </w:tc>
        <w:tc>
          <w:tcPr>
            <w:tcW w:w="4992" w:type="dxa"/>
            <w:vAlign w:val="center"/>
          </w:tcPr>
          <w:p w14:paraId="7C75DC12" w14:textId="77777777" w:rsidR="004071CA" w:rsidRPr="00FB3D74" w:rsidRDefault="004071CA" w:rsidP="00942E95">
            <w:pPr>
              <w:rPr>
                <w:rFonts w:cs="Arial"/>
                <w:sz w:val="16"/>
                <w:szCs w:val="16"/>
              </w:rPr>
            </w:pPr>
            <w:r w:rsidRPr="00FB3D74">
              <w:rPr>
                <w:rFonts w:cs="Arial"/>
                <w:sz w:val="16"/>
                <w:szCs w:val="16"/>
              </w:rPr>
              <w:t>Incrementar 9.5 por ciento de la población vulnerable atendida con servicios médicos con respecto a la línea base.</w:t>
            </w:r>
          </w:p>
        </w:tc>
      </w:tr>
      <w:tr w:rsidR="004071CA" w:rsidRPr="00FB3D74" w14:paraId="2B90AA87" w14:textId="77777777" w:rsidTr="00942E95">
        <w:trPr>
          <w:trHeight w:val="20"/>
        </w:trPr>
        <w:tc>
          <w:tcPr>
            <w:tcW w:w="3823" w:type="dxa"/>
            <w:vAlign w:val="center"/>
          </w:tcPr>
          <w:p w14:paraId="21E02BFC" w14:textId="77777777" w:rsidR="004071CA" w:rsidRPr="00FB3D74" w:rsidRDefault="004071CA" w:rsidP="00942E95">
            <w:pPr>
              <w:rPr>
                <w:rFonts w:cs="Arial"/>
                <w:sz w:val="16"/>
                <w:szCs w:val="16"/>
              </w:rPr>
            </w:pPr>
            <w:r w:rsidRPr="00FB3D74">
              <w:rPr>
                <w:rFonts w:cs="Arial"/>
                <w:sz w:val="16"/>
                <w:szCs w:val="16"/>
              </w:rPr>
              <w:t>Apoyos educativos a población vulnerable entregados.</w:t>
            </w:r>
          </w:p>
        </w:tc>
        <w:tc>
          <w:tcPr>
            <w:tcW w:w="4992" w:type="dxa"/>
            <w:vAlign w:val="center"/>
          </w:tcPr>
          <w:p w14:paraId="30042F20" w14:textId="10309909" w:rsidR="004071CA" w:rsidRPr="00FB3D74" w:rsidRDefault="004071CA" w:rsidP="00942E95">
            <w:pPr>
              <w:rPr>
                <w:rFonts w:cs="Arial"/>
                <w:sz w:val="16"/>
                <w:szCs w:val="16"/>
              </w:rPr>
            </w:pPr>
            <w:r w:rsidRPr="00FB3D74">
              <w:rPr>
                <w:rFonts w:cs="Arial"/>
                <w:sz w:val="16"/>
                <w:szCs w:val="16"/>
              </w:rPr>
              <w:t xml:space="preserve">Incrementar el 22 por ciento de </w:t>
            </w:r>
            <w:r w:rsidR="00763F85" w:rsidRPr="00FB3D74">
              <w:rPr>
                <w:rFonts w:cs="Arial"/>
                <w:sz w:val="16"/>
                <w:szCs w:val="16"/>
              </w:rPr>
              <w:t>a</w:t>
            </w:r>
            <w:r w:rsidRPr="00FB3D74">
              <w:rPr>
                <w:rFonts w:cs="Arial"/>
                <w:sz w:val="16"/>
                <w:szCs w:val="16"/>
              </w:rPr>
              <w:t>poyos educativos a la población vulnerable con respecto a la línea base.</w:t>
            </w:r>
          </w:p>
        </w:tc>
      </w:tr>
      <w:tr w:rsidR="004071CA" w:rsidRPr="00FB3D74" w14:paraId="78C08835" w14:textId="77777777" w:rsidTr="00942E95">
        <w:trPr>
          <w:trHeight w:val="20"/>
        </w:trPr>
        <w:tc>
          <w:tcPr>
            <w:tcW w:w="3823" w:type="dxa"/>
            <w:vAlign w:val="center"/>
          </w:tcPr>
          <w:p w14:paraId="67EAD6F4" w14:textId="77777777" w:rsidR="004071CA" w:rsidRPr="00FB3D74" w:rsidRDefault="004071CA" w:rsidP="00942E95">
            <w:pPr>
              <w:rPr>
                <w:rFonts w:cs="Arial"/>
                <w:sz w:val="16"/>
                <w:szCs w:val="16"/>
              </w:rPr>
            </w:pPr>
            <w:r w:rsidRPr="00FB3D74">
              <w:rPr>
                <w:rFonts w:cs="Arial"/>
                <w:sz w:val="16"/>
                <w:szCs w:val="16"/>
              </w:rPr>
              <w:lastRenderedPageBreak/>
              <w:t>Apoyos para el desarrollo e inclusión comunitaria aplicados.</w:t>
            </w:r>
          </w:p>
        </w:tc>
        <w:tc>
          <w:tcPr>
            <w:tcW w:w="4992" w:type="dxa"/>
            <w:vAlign w:val="center"/>
          </w:tcPr>
          <w:p w14:paraId="37454DA5" w14:textId="77777777" w:rsidR="004071CA" w:rsidRPr="00FB3D74" w:rsidRDefault="004071CA" w:rsidP="00942E95">
            <w:pPr>
              <w:rPr>
                <w:rFonts w:cs="Arial"/>
                <w:sz w:val="16"/>
                <w:szCs w:val="16"/>
              </w:rPr>
            </w:pPr>
            <w:r w:rsidRPr="00FB3D74">
              <w:rPr>
                <w:rFonts w:cs="Arial"/>
                <w:sz w:val="16"/>
                <w:szCs w:val="16"/>
              </w:rPr>
              <w:t>Incrementar el 25 por ciento de beneficiarios de las obras de infraestructura en apoyo a la población vulnerable realizadas con respecto a la línea base.</w:t>
            </w:r>
          </w:p>
        </w:tc>
      </w:tr>
      <w:tr w:rsidR="004071CA" w:rsidRPr="00FB3D74" w14:paraId="3F97FF02" w14:textId="77777777" w:rsidTr="00942E95">
        <w:trPr>
          <w:trHeight w:val="20"/>
        </w:trPr>
        <w:tc>
          <w:tcPr>
            <w:tcW w:w="3823" w:type="dxa"/>
            <w:vAlign w:val="center"/>
          </w:tcPr>
          <w:p w14:paraId="0D364E38" w14:textId="77777777" w:rsidR="004071CA" w:rsidRPr="00FB3D74" w:rsidRDefault="004071CA" w:rsidP="00942E95">
            <w:pPr>
              <w:rPr>
                <w:rFonts w:cs="Arial"/>
                <w:sz w:val="16"/>
                <w:szCs w:val="16"/>
              </w:rPr>
            </w:pPr>
            <w:r w:rsidRPr="00FB3D74">
              <w:rPr>
                <w:rFonts w:cs="Arial"/>
                <w:sz w:val="16"/>
                <w:szCs w:val="16"/>
              </w:rPr>
              <w:t>Desempeño de funciones realizadas.</w:t>
            </w:r>
          </w:p>
        </w:tc>
        <w:tc>
          <w:tcPr>
            <w:tcW w:w="4992" w:type="dxa"/>
            <w:vAlign w:val="center"/>
          </w:tcPr>
          <w:p w14:paraId="776382A6" w14:textId="1187D442" w:rsidR="004071CA" w:rsidRPr="00FB3D74" w:rsidRDefault="004071CA" w:rsidP="00942E95">
            <w:pPr>
              <w:rPr>
                <w:rFonts w:cs="Arial"/>
                <w:sz w:val="16"/>
                <w:szCs w:val="16"/>
              </w:rPr>
            </w:pPr>
            <w:r w:rsidRPr="00FB3D74">
              <w:rPr>
                <w:rFonts w:cs="Arial"/>
                <w:sz w:val="16"/>
                <w:szCs w:val="16"/>
              </w:rPr>
              <w:t xml:space="preserve">Cumplimiento del 100 por ciento de las metas anuales derivadas del programa operativo del </w:t>
            </w:r>
            <w:r w:rsidR="00763F85" w:rsidRPr="00FB3D74">
              <w:rPr>
                <w:rFonts w:cs="Arial"/>
                <w:sz w:val="16"/>
                <w:szCs w:val="16"/>
              </w:rPr>
              <w:t>Sistema para el Desarrollo Integral de la Familia del Estado de Colima (DIF)</w:t>
            </w:r>
            <w:r w:rsidRPr="00FB3D74">
              <w:rPr>
                <w:rFonts w:cs="Arial"/>
                <w:sz w:val="16"/>
                <w:szCs w:val="16"/>
              </w:rPr>
              <w:t>.</w:t>
            </w:r>
          </w:p>
        </w:tc>
      </w:tr>
      <w:tr w:rsidR="004071CA" w:rsidRPr="00FB3D74" w14:paraId="1F9A55BA" w14:textId="77777777" w:rsidTr="00942E95">
        <w:trPr>
          <w:trHeight w:val="20"/>
        </w:trPr>
        <w:tc>
          <w:tcPr>
            <w:tcW w:w="3823" w:type="dxa"/>
            <w:shd w:val="clear" w:color="auto" w:fill="F2F2F2" w:themeFill="background1" w:themeFillShade="F2"/>
            <w:vAlign w:val="center"/>
          </w:tcPr>
          <w:p w14:paraId="451ECE5C" w14:textId="64094961"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49DF8912" w14:textId="5F1E5A04" w:rsidR="004071CA" w:rsidRPr="00FB3D74" w:rsidRDefault="004071CA" w:rsidP="00942E95">
            <w:pPr>
              <w:rPr>
                <w:rFonts w:cs="Arial"/>
                <w:b/>
                <w:bCs/>
                <w:sz w:val="16"/>
                <w:szCs w:val="16"/>
              </w:rPr>
            </w:pPr>
            <w:r w:rsidRPr="00FB3D74">
              <w:rPr>
                <w:rFonts w:cs="Arial"/>
                <w:b/>
                <w:bCs/>
                <w:sz w:val="16"/>
                <w:szCs w:val="16"/>
              </w:rPr>
              <w:t>19</w:t>
            </w:r>
            <w:r w:rsidR="00942E95" w:rsidRPr="00FB3D74">
              <w:rPr>
                <w:rFonts w:cs="Arial"/>
                <w:b/>
                <w:bCs/>
                <w:sz w:val="16"/>
                <w:szCs w:val="16"/>
              </w:rPr>
              <w:t>.</w:t>
            </w:r>
          </w:p>
        </w:tc>
      </w:tr>
      <w:tr w:rsidR="004071CA" w:rsidRPr="00FB3D74" w14:paraId="6201C654" w14:textId="77777777" w:rsidTr="00942E95">
        <w:trPr>
          <w:trHeight w:val="20"/>
        </w:trPr>
        <w:tc>
          <w:tcPr>
            <w:tcW w:w="3823" w:type="dxa"/>
            <w:shd w:val="clear" w:color="auto" w:fill="F2F2F2" w:themeFill="background1" w:themeFillShade="F2"/>
            <w:vAlign w:val="center"/>
          </w:tcPr>
          <w:p w14:paraId="7ED78068" w14:textId="5350EC92"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2C660CB2" w14:textId="77777777" w:rsidR="004071CA" w:rsidRPr="00FB3D74" w:rsidRDefault="004071CA" w:rsidP="00942E95">
            <w:pPr>
              <w:rPr>
                <w:rFonts w:cs="Arial"/>
                <w:b/>
                <w:bCs/>
                <w:sz w:val="16"/>
                <w:szCs w:val="16"/>
              </w:rPr>
            </w:pPr>
            <w:r w:rsidRPr="00FB3D74">
              <w:rPr>
                <w:rFonts w:cs="Arial"/>
                <w:b/>
                <w:bCs/>
                <w:sz w:val="16"/>
                <w:szCs w:val="16"/>
              </w:rPr>
              <w:t>Instituto Colimense para la Discapacidad.</w:t>
            </w:r>
          </w:p>
        </w:tc>
      </w:tr>
      <w:tr w:rsidR="004071CA" w:rsidRPr="00FB3D74" w14:paraId="1D68A3F5" w14:textId="77777777" w:rsidTr="00942E95">
        <w:trPr>
          <w:trHeight w:val="20"/>
        </w:trPr>
        <w:tc>
          <w:tcPr>
            <w:tcW w:w="3823" w:type="dxa"/>
            <w:shd w:val="clear" w:color="auto" w:fill="F2F2F2" w:themeFill="background1" w:themeFillShade="F2"/>
            <w:vAlign w:val="center"/>
          </w:tcPr>
          <w:p w14:paraId="79227129" w14:textId="6290912D"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395C1A45" w14:textId="77777777" w:rsidR="004071CA" w:rsidRPr="00FB3D74" w:rsidRDefault="004071CA" w:rsidP="00942E95">
            <w:pPr>
              <w:rPr>
                <w:rFonts w:cs="Arial"/>
                <w:sz w:val="16"/>
                <w:szCs w:val="16"/>
              </w:rPr>
            </w:pPr>
            <w:r w:rsidRPr="00FB3D74">
              <w:rPr>
                <w:rFonts w:cs="Arial"/>
                <w:sz w:val="16"/>
                <w:szCs w:val="16"/>
              </w:rPr>
              <w:t>Las personas con discapacidad reciben apoyos y servicios que les permiten la inclusión social, la igualdad de oportunidades y el respeto a sus derechos.</w:t>
            </w:r>
          </w:p>
        </w:tc>
      </w:tr>
      <w:tr w:rsidR="004071CA" w:rsidRPr="00FB3D74" w14:paraId="7BE20CF7" w14:textId="77777777" w:rsidTr="00942E95">
        <w:trPr>
          <w:trHeight w:val="20"/>
        </w:trPr>
        <w:tc>
          <w:tcPr>
            <w:tcW w:w="3823" w:type="dxa"/>
            <w:shd w:val="clear" w:color="auto" w:fill="F2F2F2" w:themeFill="background1" w:themeFillShade="F2"/>
            <w:vAlign w:val="center"/>
          </w:tcPr>
          <w:p w14:paraId="5266AE24"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48338780"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4D14D2EF" w14:textId="77777777" w:rsidTr="00942E95">
        <w:trPr>
          <w:trHeight w:val="20"/>
        </w:trPr>
        <w:tc>
          <w:tcPr>
            <w:tcW w:w="3823" w:type="dxa"/>
            <w:vAlign w:val="center"/>
          </w:tcPr>
          <w:p w14:paraId="2A186D46" w14:textId="77777777" w:rsidR="004071CA" w:rsidRPr="00FB3D74" w:rsidRDefault="004071CA" w:rsidP="00942E95">
            <w:pPr>
              <w:rPr>
                <w:rFonts w:cs="Arial"/>
                <w:sz w:val="16"/>
                <w:szCs w:val="16"/>
              </w:rPr>
            </w:pPr>
            <w:r w:rsidRPr="00FB3D74">
              <w:rPr>
                <w:rFonts w:cs="Arial"/>
                <w:sz w:val="16"/>
                <w:szCs w:val="16"/>
              </w:rPr>
              <w:t>Apoyos en especie a personas con discapacidad en situación de vulnerabilidad económica entregados.</w:t>
            </w:r>
          </w:p>
        </w:tc>
        <w:tc>
          <w:tcPr>
            <w:tcW w:w="4992" w:type="dxa"/>
            <w:vAlign w:val="center"/>
          </w:tcPr>
          <w:p w14:paraId="0624CE8E" w14:textId="77777777" w:rsidR="004071CA" w:rsidRPr="00FB3D74" w:rsidRDefault="004071CA" w:rsidP="00942E95">
            <w:pPr>
              <w:rPr>
                <w:rFonts w:cs="Arial"/>
                <w:sz w:val="16"/>
                <w:szCs w:val="16"/>
              </w:rPr>
            </w:pPr>
            <w:r w:rsidRPr="00FB3D74">
              <w:rPr>
                <w:rFonts w:cs="Arial"/>
                <w:sz w:val="16"/>
                <w:szCs w:val="16"/>
              </w:rPr>
              <w:t>Otorgar 60 apoyos en especie a personas con discapacidad.</w:t>
            </w:r>
          </w:p>
        </w:tc>
      </w:tr>
      <w:tr w:rsidR="004071CA" w:rsidRPr="00FB3D74" w14:paraId="7D8DA5FA" w14:textId="77777777" w:rsidTr="00942E95">
        <w:trPr>
          <w:trHeight w:val="20"/>
        </w:trPr>
        <w:tc>
          <w:tcPr>
            <w:tcW w:w="3823" w:type="dxa"/>
            <w:vAlign w:val="center"/>
          </w:tcPr>
          <w:p w14:paraId="32ED0141" w14:textId="77777777" w:rsidR="004071CA" w:rsidRPr="00FB3D74" w:rsidRDefault="004071CA" w:rsidP="00942E95">
            <w:pPr>
              <w:rPr>
                <w:rFonts w:cs="Arial"/>
                <w:sz w:val="16"/>
                <w:szCs w:val="16"/>
              </w:rPr>
            </w:pPr>
            <w:r w:rsidRPr="00FB3D74">
              <w:rPr>
                <w:rFonts w:cs="Arial"/>
                <w:sz w:val="16"/>
                <w:szCs w:val="16"/>
              </w:rPr>
              <w:t>Servicios a personas con discapacidad adecuadamente realizados.</w:t>
            </w:r>
          </w:p>
        </w:tc>
        <w:tc>
          <w:tcPr>
            <w:tcW w:w="4992" w:type="dxa"/>
            <w:vAlign w:val="center"/>
          </w:tcPr>
          <w:p w14:paraId="4955D9B4" w14:textId="77777777" w:rsidR="004071CA" w:rsidRPr="00FB3D74" w:rsidRDefault="004071CA" w:rsidP="00942E95">
            <w:pPr>
              <w:rPr>
                <w:rFonts w:cs="Arial"/>
                <w:sz w:val="16"/>
                <w:szCs w:val="16"/>
              </w:rPr>
            </w:pPr>
            <w:r w:rsidRPr="00FB3D74">
              <w:rPr>
                <w:rFonts w:cs="Arial"/>
                <w:sz w:val="16"/>
                <w:szCs w:val="16"/>
              </w:rPr>
              <w:t>Otorgar 2,131 servicios a personas con discapacidad.</w:t>
            </w:r>
          </w:p>
        </w:tc>
      </w:tr>
      <w:tr w:rsidR="004071CA" w:rsidRPr="00FB3D74" w14:paraId="7F0F36AA" w14:textId="77777777" w:rsidTr="00942E95">
        <w:trPr>
          <w:trHeight w:val="20"/>
        </w:trPr>
        <w:tc>
          <w:tcPr>
            <w:tcW w:w="3823" w:type="dxa"/>
            <w:vAlign w:val="center"/>
          </w:tcPr>
          <w:p w14:paraId="3E2574FC" w14:textId="77777777" w:rsidR="004071CA" w:rsidRPr="00FB3D74" w:rsidRDefault="004071CA" w:rsidP="00942E95">
            <w:pPr>
              <w:rPr>
                <w:rFonts w:cs="Arial"/>
                <w:sz w:val="16"/>
                <w:szCs w:val="16"/>
              </w:rPr>
            </w:pPr>
            <w:r w:rsidRPr="00FB3D74">
              <w:rPr>
                <w:rFonts w:cs="Arial"/>
                <w:sz w:val="16"/>
                <w:szCs w:val="16"/>
              </w:rPr>
              <w:t>Desempeño de funciones debidamente realizado.</w:t>
            </w:r>
          </w:p>
        </w:tc>
        <w:tc>
          <w:tcPr>
            <w:tcW w:w="4992" w:type="dxa"/>
            <w:vAlign w:val="center"/>
          </w:tcPr>
          <w:p w14:paraId="3E05C97B" w14:textId="6B965002" w:rsidR="004071CA" w:rsidRPr="00FB3D74" w:rsidRDefault="004071CA" w:rsidP="00942E95">
            <w:pPr>
              <w:rPr>
                <w:rFonts w:cs="Arial"/>
                <w:sz w:val="16"/>
                <w:szCs w:val="16"/>
              </w:rPr>
            </w:pPr>
            <w:r w:rsidRPr="00FB3D74">
              <w:rPr>
                <w:rFonts w:cs="Arial"/>
                <w:sz w:val="16"/>
                <w:szCs w:val="16"/>
              </w:rPr>
              <w:t>Ejercer el Gasto de Operación del</w:t>
            </w:r>
            <w:r w:rsidR="006524F0" w:rsidRPr="00FB3D74">
              <w:rPr>
                <w:rFonts w:cs="Arial"/>
                <w:sz w:val="16"/>
                <w:szCs w:val="16"/>
              </w:rPr>
              <w:t xml:space="preserve"> Instituto Colimense para la Discapacidad</w:t>
            </w:r>
            <w:r w:rsidRPr="00FB3D74">
              <w:rPr>
                <w:rFonts w:cs="Arial"/>
                <w:sz w:val="16"/>
                <w:szCs w:val="16"/>
              </w:rPr>
              <w:t xml:space="preserve"> </w:t>
            </w:r>
            <w:r w:rsidR="006524F0" w:rsidRPr="00FB3D74">
              <w:rPr>
                <w:rFonts w:cs="Arial"/>
                <w:sz w:val="16"/>
                <w:szCs w:val="16"/>
              </w:rPr>
              <w:t>(</w:t>
            </w:r>
            <w:r w:rsidRPr="00FB3D74">
              <w:rPr>
                <w:rFonts w:cs="Arial"/>
                <w:sz w:val="16"/>
                <w:szCs w:val="16"/>
              </w:rPr>
              <w:t>INCODIS</w:t>
            </w:r>
            <w:r w:rsidR="006524F0" w:rsidRPr="00FB3D74">
              <w:rPr>
                <w:rFonts w:cs="Arial"/>
                <w:sz w:val="16"/>
                <w:szCs w:val="16"/>
              </w:rPr>
              <w:t>)</w:t>
            </w:r>
            <w:r w:rsidRPr="00FB3D74">
              <w:rPr>
                <w:rFonts w:cs="Arial"/>
                <w:sz w:val="16"/>
                <w:szCs w:val="16"/>
              </w:rPr>
              <w:t>.</w:t>
            </w:r>
          </w:p>
        </w:tc>
      </w:tr>
      <w:tr w:rsidR="004071CA" w:rsidRPr="00FB3D74" w14:paraId="0593C140" w14:textId="77777777" w:rsidTr="00942E95">
        <w:trPr>
          <w:trHeight w:val="20"/>
        </w:trPr>
        <w:tc>
          <w:tcPr>
            <w:tcW w:w="3823" w:type="dxa"/>
            <w:shd w:val="clear" w:color="auto" w:fill="F2F2F2" w:themeFill="background1" w:themeFillShade="F2"/>
            <w:vAlign w:val="center"/>
          </w:tcPr>
          <w:p w14:paraId="05B126CD" w14:textId="2A703029"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782A3081" w14:textId="668AFB77" w:rsidR="004071CA" w:rsidRPr="00FB3D74" w:rsidRDefault="004071CA" w:rsidP="00942E95">
            <w:pPr>
              <w:rPr>
                <w:rFonts w:cs="Arial"/>
                <w:b/>
                <w:bCs/>
                <w:sz w:val="16"/>
                <w:szCs w:val="16"/>
              </w:rPr>
            </w:pPr>
            <w:r w:rsidRPr="00FB3D74">
              <w:rPr>
                <w:rFonts w:cs="Arial"/>
                <w:b/>
                <w:bCs/>
                <w:sz w:val="16"/>
                <w:szCs w:val="16"/>
              </w:rPr>
              <w:t>20</w:t>
            </w:r>
            <w:r w:rsidR="00942E95" w:rsidRPr="00FB3D74">
              <w:rPr>
                <w:rFonts w:cs="Arial"/>
                <w:b/>
                <w:bCs/>
                <w:sz w:val="16"/>
                <w:szCs w:val="16"/>
              </w:rPr>
              <w:t>.</w:t>
            </w:r>
          </w:p>
        </w:tc>
      </w:tr>
      <w:tr w:rsidR="004071CA" w:rsidRPr="00FB3D74" w14:paraId="74D46297" w14:textId="77777777" w:rsidTr="00942E95">
        <w:trPr>
          <w:trHeight w:val="20"/>
        </w:trPr>
        <w:tc>
          <w:tcPr>
            <w:tcW w:w="3823" w:type="dxa"/>
            <w:shd w:val="clear" w:color="auto" w:fill="F2F2F2" w:themeFill="background1" w:themeFillShade="F2"/>
            <w:vAlign w:val="center"/>
          </w:tcPr>
          <w:p w14:paraId="10695572" w14:textId="2CF44D2B"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33FFBBCC" w14:textId="77777777" w:rsidR="004071CA" w:rsidRPr="00FB3D74" w:rsidRDefault="004071CA" w:rsidP="00942E95">
            <w:pPr>
              <w:rPr>
                <w:rFonts w:cs="Arial"/>
                <w:b/>
                <w:bCs/>
                <w:sz w:val="16"/>
                <w:szCs w:val="16"/>
              </w:rPr>
            </w:pPr>
            <w:r w:rsidRPr="00FB3D74">
              <w:rPr>
                <w:rFonts w:cs="Arial"/>
                <w:b/>
                <w:bCs/>
                <w:sz w:val="16"/>
                <w:szCs w:val="16"/>
              </w:rPr>
              <w:t>Órgano de Gestión y Control del Patrimonio Inmobiliario del Estado de Colima.</w:t>
            </w:r>
          </w:p>
        </w:tc>
      </w:tr>
      <w:tr w:rsidR="004071CA" w:rsidRPr="00FB3D74" w14:paraId="3011CF08" w14:textId="77777777" w:rsidTr="00942E95">
        <w:trPr>
          <w:trHeight w:val="20"/>
        </w:trPr>
        <w:tc>
          <w:tcPr>
            <w:tcW w:w="3823" w:type="dxa"/>
            <w:shd w:val="clear" w:color="auto" w:fill="F2F2F2" w:themeFill="background1" w:themeFillShade="F2"/>
            <w:vAlign w:val="center"/>
          </w:tcPr>
          <w:p w14:paraId="12D720C3" w14:textId="33412DE8"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62108D83" w14:textId="77777777" w:rsidR="004071CA" w:rsidRPr="00FB3D74" w:rsidRDefault="004071CA" w:rsidP="00942E95">
            <w:pPr>
              <w:rPr>
                <w:rFonts w:cs="Arial"/>
                <w:sz w:val="16"/>
                <w:szCs w:val="16"/>
              </w:rPr>
            </w:pPr>
            <w:r w:rsidRPr="00FB3D74">
              <w:rPr>
                <w:rFonts w:cs="Arial"/>
                <w:sz w:val="16"/>
                <w:szCs w:val="16"/>
              </w:rPr>
              <w:t>El Gobierno del Estado de Colima realiza una eficaz administración de su patrimonio inmobiliario, con estricto apego a la normatividad aplicable.</w:t>
            </w:r>
          </w:p>
        </w:tc>
      </w:tr>
      <w:tr w:rsidR="004071CA" w:rsidRPr="00FB3D74" w14:paraId="0CF8E9BC" w14:textId="77777777" w:rsidTr="00942E95">
        <w:trPr>
          <w:trHeight w:val="20"/>
        </w:trPr>
        <w:tc>
          <w:tcPr>
            <w:tcW w:w="3823" w:type="dxa"/>
            <w:shd w:val="clear" w:color="auto" w:fill="F2F2F2" w:themeFill="background1" w:themeFillShade="F2"/>
            <w:vAlign w:val="center"/>
          </w:tcPr>
          <w:p w14:paraId="364023B9"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55A7446D"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53137DD2" w14:textId="77777777" w:rsidTr="00942E95">
        <w:trPr>
          <w:trHeight w:val="20"/>
        </w:trPr>
        <w:tc>
          <w:tcPr>
            <w:tcW w:w="3823" w:type="dxa"/>
            <w:vAlign w:val="center"/>
          </w:tcPr>
          <w:p w14:paraId="442B867F" w14:textId="77777777" w:rsidR="004071CA" w:rsidRPr="00FB3D74" w:rsidRDefault="004071CA" w:rsidP="00942E95">
            <w:pPr>
              <w:rPr>
                <w:rFonts w:cs="Arial"/>
                <w:sz w:val="16"/>
                <w:szCs w:val="16"/>
              </w:rPr>
            </w:pPr>
            <w:r w:rsidRPr="00FB3D74">
              <w:rPr>
                <w:rFonts w:cs="Arial"/>
                <w:sz w:val="16"/>
                <w:szCs w:val="16"/>
              </w:rPr>
              <w:t>Bienes inmuebles del Gobierno del Estado gestionados.</w:t>
            </w:r>
          </w:p>
        </w:tc>
        <w:tc>
          <w:tcPr>
            <w:tcW w:w="4992" w:type="dxa"/>
            <w:vAlign w:val="center"/>
          </w:tcPr>
          <w:p w14:paraId="54D38EA0" w14:textId="0534C3E8" w:rsidR="004071CA" w:rsidRPr="00FB3D74" w:rsidRDefault="004071CA" w:rsidP="00942E95">
            <w:pPr>
              <w:rPr>
                <w:rFonts w:cs="Arial"/>
                <w:sz w:val="16"/>
                <w:szCs w:val="16"/>
              </w:rPr>
            </w:pPr>
            <w:r w:rsidRPr="00FB3D74">
              <w:rPr>
                <w:rFonts w:cs="Arial"/>
                <w:sz w:val="16"/>
                <w:szCs w:val="16"/>
              </w:rPr>
              <w:t xml:space="preserve">100 por ciento, gasto </w:t>
            </w:r>
            <w:r w:rsidR="006524F0" w:rsidRPr="00FB3D74">
              <w:rPr>
                <w:rFonts w:cs="Arial"/>
                <w:sz w:val="16"/>
                <w:szCs w:val="16"/>
              </w:rPr>
              <w:t>e</w:t>
            </w:r>
            <w:r w:rsidRPr="00FB3D74">
              <w:rPr>
                <w:rFonts w:cs="Arial"/>
                <w:sz w:val="16"/>
                <w:szCs w:val="16"/>
              </w:rPr>
              <w:t>jercido para adquirir, administrar, conservar y mantener los bienes inmuebles de Gobierno del Estado</w:t>
            </w:r>
          </w:p>
        </w:tc>
      </w:tr>
      <w:tr w:rsidR="004071CA" w:rsidRPr="00FB3D74" w14:paraId="74EB4B28" w14:textId="77777777" w:rsidTr="00942E95">
        <w:trPr>
          <w:trHeight w:val="20"/>
        </w:trPr>
        <w:tc>
          <w:tcPr>
            <w:tcW w:w="3823" w:type="dxa"/>
            <w:shd w:val="clear" w:color="auto" w:fill="F2F2F2" w:themeFill="background1" w:themeFillShade="F2"/>
            <w:vAlign w:val="center"/>
          </w:tcPr>
          <w:p w14:paraId="2DCEB822" w14:textId="7CDDEA6E"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6E7AB7D5" w14:textId="1D093348" w:rsidR="004071CA" w:rsidRPr="00FB3D74" w:rsidRDefault="004071CA" w:rsidP="00942E95">
            <w:pPr>
              <w:rPr>
                <w:rFonts w:cs="Arial"/>
                <w:b/>
                <w:bCs/>
                <w:sz w:val="16"/>
                <w:szCs w:val="16"/>
              </w:rPr>
            </w:pPr>
            <w:r w:rsidRPr="00FB3D74">
              <w:rPr>
                <w:rFonts w:cs="Arial"/>
                <w:b/>
                <w:bCs/>
                <w:sz w:val="16"/>
                <w:szCs w:val="16"/>
              </w:rPr>
              <w:t>21</w:t>
            </w:r>
            <w:r w:rsidR="00942E95" w:rsidRPr="00FB3D74">
              <w:rPr>
                <w:rFonts w:cs="Arial"/>
                <w:b/>
                <w:bCs/>
                <w:sz w:val="16"/>
                <w:szCs w:val="16"/>
              </w:rPr>
              <w:t>.</w:t>
            </w:r>
          </w:p>
        </w:tc>
      </w:tr>
      <w:tr w:rsidR="004071CA" w:rsidRPr="00FB3D74" w14:paraId="46E84410" w14:textId="77777777" w:rsidTr="00942E95">
        <w:trPr>
          <w:trHeight w:val="20"/>
        </w:trPr>
        <w:tc>
          <w:tcPr>
            <w:tcW w:w="3823" w:type="dxa"/>
            <w:shd w:val="clear" w:color="auto" w:fill="F2F2F2" w:themeFill="background1" w:themeFillShade="F2"/>
            <w:vAlign w:val="center"/>
          </w:tcPr>
          <w:p w14:paraId="01AF2337" w14:textId="687774DF"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36E694D3" w14:textId="0501132C" w:rsidR="004071CA" w:rsidRPr="00FB3D74" w:rsidRDefault="004071CA" w:rsidP="00942E95">
            <w:pPr>
              <w:rPr>
                <w:rFonts w:cs="Arial"/>
                <w:b/>
                <w:bCs/>
                <w:sz w:val="16"/>
                <w:szCs w:val="16"/>
              </w:rPr>
            </w:pPr>
            <w:r w:rsidRPr="00FB3D74">
              <w:rPr>
                <w:rFonts w:cs="Arial"/>
                <w:b/>
                <w:bCs/>
                <w:sz w:val="16"/>
                <w:szCs w:val="16"/>
              </w:rPr>
              <w:t>Subsecretaría de las Juventudes</w:t>
            </w:r>
            <w:r w:rsidR="00942E95" w:rsidRPr="00FB3D74">
              <w:rPr>
                <w:rFonts w:cs="Arial"/>
                <w:b/>
                <w:bCs/>
                <w:sz w:val="16"/>
                <w:szCs w:val="16"/>
              </w:rPr>
              <w:t>.</w:t>
            </w:r>
          </w:p>
        </w:tc>
      </w:tr>
      <w:tr w:rsidR="004071CA" w:rsidRPr="00FB3D74" w14:paraId="775F7AF9" w14:textId="77777777" w:rsidTr="00942E95">
        <w:trPr>
          <w:trHeight w:val="20"/>
        </w:trPr>
        <w:tc>
          <w:tcPr>
            <w:tcW w:w="3823" w:type="dxa"/>
            <w:shd w:val="clear" w:color="auto" w:fill="F2F2F2" w:themeFill="background1" w:themeFillShade="F2"/>
            <w:vAlign w:val="center"/>
          </w:tcPr>
          <w:p w14:paraId="5787E963" w14:textId="49CB730A"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1411510F" w14:textId="77777777" w:rsidR="004071CA" w:rsidRPr="00FB3D74" w:rsidRDefault="004071CA" w:rsidP="00942E95">
            <w:pPr>
              <w:rPr>
                <w:rFonts w:cs="Arial"/>
                <w:sz w:val="16"/>
                <w:szCs w:val="16"/>
              </w:rPr>
            </w:pPr>
            <w:r w:rsidRPr="00FB3D74">
              <w:rPr>
                <w:rFonts w:cs="Arial"/>
                <w:sz w:val="16"/>
                <w:szCs w:val="16"/>
              </w:rPr>
              <w:t>Las juventudes colimenses se benefician con servicios y apoyos para su desarrollo emprendedor y la participación juvenil.</w:t>
            </w:r>
          </w:p>
        </w:tc>
      </w:tr>
      <w:tr w:rsidR="004071CA" w:rsidRPr="00FB3D74" w14:paraId="00F23C4D" w14:textId="77777777" w:rsidTr="00942E95">
        <w:trPr>
          <w:trHeight w:val="20"/>
        </w:trPr>
        <w:tc>
          <w:tcPr>
            <w:tcW w:w="3823" w:type="dxa"/>
            <w:shd w:val="clear" w:color="auto" w:fill="F2F2F2" w:themeFill="background1" w:themeFillShade="F2"/>
            <w:vAlign w:val="center"/>
          </w:tcPr>
          <w:p w14:paraId="24FD8A16"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2DA72990"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1B18D0FC" w14:textId="77777777" w:rsidTr="00942E95">
        <w:trPr>
          <w:trHeight w:val="20"/>
        </w:trPr>
        <w:tc>
          <w:tcPr>
            <w:tcW w:w="3823" w:type="dxa"/>
            <w:vAlign w:val="center"/>
          </w:tcPr>
          <w:p w14:paraId="68001848" w14:textId="77777777" w:rsidR="004071CA" w:rsidRPr="00FB3D74" w:rsidRDefault="004071CA" w:rsidP="00942E95">
            <w:pPr>
              <w:rPr>
                <w:rFonts w:cs="Arial"/>
                <w:sz w:val="16"/>
                <w:szCs w:val="16"/>
              </w:rPr>
            </w:pPr>
            <w:r w:rsidRPr="00FB3D74">
              <w:rPr>
                <w:rFonts w:cs="Arial"/>
                <w:sz w:val="16"/>
                <w:szCs w:val="16"/>
              </w:rPr>
              <w:t>Servicios para el desarrollo emprendedor proporcionados.</w:t>
            </w:r>
          </w:p>
        </w:tc>
        <w:tc>
          <w:tcPr>
            <w:tcW w:w="4992" w:type="dxa"/>
            <w:vAlign w:val="center"/>
          </w:tcPr>
          <w:p w14:paraId="66B078D7" w14:textId="77777777" w:rsidR="004071CA" w:rsidRPr="00FB3D74" w:rsidRDefault="004071CA" w:rsidP="00942E95">
            <w:pPr>
              <w:rPr>
                <w:rFonts w:cs="Arial"/>
                <w:sz w:val="16"/>
                <w:szCs w:val="16"/>
              </w:rPr>
            </w:pPr>
            <w:r w:rsidRPr="00FB3D74">
              <w:rPr>
                <w:rFonts w:cs="Arial"/>
                <w:sz w:val="16"/>
                <w:szCs w:val="16"/>
              </w:rPr>
              <w:t>Beneficiar a 1,600 juventudes en programas para el desarrollo emprendedor.</w:t>
            </w:r>
          </w:p>
        </w:tc>
      </w:tr>
      <w:tr w:rsidR="004071CA" w:rsidRPr="00FB3D74" w14:paraId="4332D6F8" w14:textId="77777777" w:rsidTr="00942E95">
        <w:trPr>
          <w:trHeight w:val="20"/>
        </w:trPr>
        <w:tc>
          <w:tcPr>
            <w:tcW w:w="3823" w:type="dxa"/>
            <w:vAlign w:val="center"/>
          </w:tcPr>
          <w:p w14:paraId="22161736" w14:textId="77777777" w:rsidR="004071CA" w:rsidRPr="00FB3D74" w:rsidRDefault="004071CA" w:rsidP="00942E95">
            <w:pPr>
              <w:rPr>
                <w:rFonts w:cs="Arial"/>
                <w:sz w:val="16"/>
                <w:szCs w:val="16"/>
              </w:rPr>
            </w:pPr>
            <w:r w:rsidRPr="00FB3D74">
              <w:rPr>
                <w:rFonts w:cs="Arial"/>
                <w:sz w:val="16"/>
                <w:szCs w:val="16"/>
              </w:rPr>
              <w:t>Servicios prestados a través de los Centros Territorio Joven.</w:t>
            </w:r>
          </w:p>
        </w:tc>
        <w:tc>
          <w:tcPr>
            <w:tcW w:w="4992" w:type="dxa"/>
            <w:vAlign w:val="center"/>
          </w:tcPr>
          <w:p w14:paraId="448526EB" w14:textId="77777777" w:rsidR="004071CA" w:rsidRPr="00FB3D74" w:rsidRDefault="004071CA" w:rsidP="00942E95">
            <w:pPr>
              <w:rPr>
                <w:rFonts w:cs="Arial"/>
                <w:sz w:val="16"/>
                <w:szCs w:val="16"/>
              </w:rPr>
            </w:pPr>
            <w:r w:rsidRPr="00FB3D74">
              <w:rPr>
                <w:rFonts w:cs="Arial"/>
                <w:sz w:val="16"/>
                <w:szCs w:val="16"/>
              </w:rPr>
              <w:t>Beneficiar a 1,100 Jóvenes con un servicio o programa en los Centros Territorio Joven.</w:t>
            </w:r>
          </w:p>
        </w:tc>
      </w:tr>
      <w:tr w:rsidR="004071CA" w:rsidRPr="00FB3D74" w14:paraId="7B455159" w14:textId="77777777" w:rsidTr="00942E95">
        <w:trPr>
          <w:trHeight w:val="20"/>
        </w:trPr>
        <w:tc>
          <w:tcPr>
            <w:tcW w:w="3823" w:type="dxa"/>
            <w:vAlign w:val="center"/>
          </w:tcPr>
          <w:p w14:paraId="106DBA85" w14:textId="77777777" w:rsidR="004071CA" w:rsidRPr="00FB3D74" w:rsidRDefault="004071CA" w:rsidP="00942E95">
            <w:pPr>
              <w:rPr>
                <w:rFonts w:cs="Arial"/>
                <w:sz w:val="16"/>
                <w:szCs w:val="16"/>
              </w:rPr>
            </w:pPr>
            <w:r w:rsidRPr="00FB3D74">
              <w:rPr>
                <w:rFonts w:cs="Arial"/>
                <w:sz w:val="16"/>
                <w:szCs w:val="16"/>
              </w:rPr>
              <w:t>Servicios de participación juvenil otorgados.</w:t>
            </w:r>
          </w:p>
        </w:tc>
        <w:tc>
          <w:tcPr>
            <w:tcW w:w="4992" w:type="dxa"/>
            <w:vAlign w:val="center"/>
          </w:tcPr>
          <w:p w14:paraId="5C992C4C" w14:textId="77777777" w:rsidR="004071CA" w:rsidRPr="00FB3D74" w:rsidRDefault="004071CA" w:rsidP="00942E95">
            <w:pPr>
              <w:rPr>
                <w:rFonts w:cs="Arial"/>
                <w:sz w:val="16"/>
                <w:szCs w:val="16"/>
              </w:rPr>
            </w:pPr>
            <w:r w:rsidRPr="00FB3D74">
              <w:rPr>
                <w:rFonts w:cs="Arial"/>
                <w:sz w:val="16"/>
                <w:szCs w:val="16"/>
              </w:rPr>
              <w:t>Beneficiar a 17,180 jóvenes con los programas y servicios de participación juvenil.</w:t>
            </w:r>
          </w:p>
        </w:tc>
      </w:tr>
      <w:tr w:rsidR="004071CA" w:rsidRPr="00FB3D74" w14:paraId="2D4D0367" w14:textId="77777777" w:rsidTr="00942E95">
        <w:trPr>
          <w:trHeight w:val="20"/>
        </w:trPr>
        <w:tc>
          <w:tcPr>
            <w:tcW w:w="3823" w:type="dxa"/>
            <w:vAlign w:val="center"/>
          </w:tcPr>
          <w:p w14:paraId="2D4EB932" w14:textId="77777777" w:rsidR="004071CA" w:rsidRPr="00FB3D74" w:rsidRDefault="004071CA" w:rsidP="00942E95">
            <w:pPr>
              <w:rPr>
                <w:rFonts w:cs="Arial"/>
                <w:sz w:val="16"/>
                <w:szCs w:val="16"/>
              </w:rPr>
            </w:pPr>
            <w:r w:rsidRPr="00FB3D74">
              <w:rPr>
                <w:rFonts w:cs="Arial"/>
                <w:sz w:val="16"/>
                <w:szCs w:val="16"/>
              </w:rPr>
              <w:t>Acciones para la operatividad de la Subsecretaría de las Juventudes ejecutadas.</w:t>
            </w:r>
          </w:p>
        </w:tc>
        <w:tc>
          <w:tcPr>
            <w:tcW w:w="4992" w:type="dxa"/>
            <w:vAlign w:val="center"/>
          </w:tcPr>
          <w:p w14:paraId="4023825D" w14:textId="77777777" w:rsidR="004071CA" w:rsidRPr="00FB3D74" w:rsidRDefault="004071CA" w:rsidP="00942E95">
            <w:pPr>
              <w:rPr>
                <w:rFonts w:cs="Arial"/>
                <w:sz w:val="16"/>
                <w:szCs w:val="16"/>
              </w:rPr>
            </w:pPr>
            <w:r w:rsidRPr="00FB3D74">
              <w:rPr>
                <w:rFonts w:cs="Arial"/>
                <w:sz w:val="16"/>
                <w:szCs w:val="16"/>
              </w:rPr>
              <w:t>Lograr 3 espacios de oficinas centrales, municipales y de territorio joven. En operación.</w:t>
            </w:r>
          </w:p>
        </w:tc>
      </w:tr>
      <w:tr w:rsidR="004071CA" w:rsidRPr="00FB3D74" w14:paraId="567E5D44" w14:textId="77777777" w:rsidTr="00942E95">
        <w:trPr>
          <w:trHeight w:val="20"/>
        </w:trPr>
        <w:tc>
          <w:tcPr>
            <w:tcW w:w="3823" w:type="dxa"/>
            <w:shd w:val="clear" w:color="auto" w:fill="F2F2F2" w:themeFill="background1" w:themeFillShade="F2"/>
            <w:vAlign w:val="center"/>
          </w:tcPr>
          <w:p w14:paraId="7E88432E" w14:textId="15493370"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4C8647D4" w14:textId="3A297A8B" w:rsidR="004071CA" w:rsidRPr="00FB3D74" w:rsidRDefault="004071CA" w:rsidP="00942E95">
            <w:pPr>
              <w:rPr>
                <w:rFonts w:cs="Arial"/>
                <w:b/>
                <w:bCs/>
                <w:sz w:val="16"/>
                <w:szCs w:val="16"/>
              </w:rPr>
            </w:pPr>
            <w:r w:rsidRPr="00FB3D74">
              <w:rPr>
                <w:rFonts w:cs="Arial"/>
                <w:b/>
                <w:bCs/>
                <w:sz w:val="16"/>
                <w:szCs w:val="16"/>
              </w:rPr>
              <w:t>22</w:t>
            </w:r>
            <w:r w:rsidR="00942E95" w:rsidRPr="00FB3D74">
              <w:rPr>
                <w:rFonts w:cs="Arial"/>
                <w:b/>
                <w:bCs/>
                <w:sz w:val="16"/>
                <w:szCs w:val="16"/>
              </w:rPr>
              <w:t>.</w:t>
            </w:r>
          </w:p>
        </w:tc>
      </w:tr>
      <w:tr w:rsidR="004071CA" w:rsidRPr="00FB3D74" w14:paraId="22C4C2D1" w14:textId="77777777" w:rsidTr="00942E95">
        <w:trPr>
          <w:trHeight w:val="20"/>
        </w:trPr>
        <w:tc>
          <w:tcPr>
            <w:tcW w:w="3823" w:type="dxa"/>
            <w:shd w:val="clear" w:color="auto" w:fill="F2F2F2" w:themeFill="background1" w:themeFillShade="F2"/>
            <w:vAlign w:val="center"/>
          </w:tcPr>
          <w:p w14:paraId="48CCDDF5" w14:textId="344708DC"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766BDB30" w14:textId="77777777" w:rsidR="004071CA" w:rsidRPr="00FB3D74" w:rsidRDefault="004071CA" w:rsidP="00942E95">
            <w:pPr>
              <w:rPr>
                <w:rFonts w:cs="Arial"/>
                <w:b/>
                <w:bCs/>
                <w:sz w:val="16"/>
                <w:szCs w:val="16"/>
              </w:rPr>
            </w:pPr>
            <w:r w:rsidRPr="00FB3D74">
              <w:rPr>
                <w:rFonts w:cs="Arial"/>
                <w:b/>
                <w:bCs/>
                <w:sz w:val="16"/>
                <w:szCs w:val="16"/>
              </w:rPr>
              <w:t>Instituto para la Atención de los Adultos Mayores</w:t>
            </w:r>
          </w:p>
        </w:tc>
      </w:tr>
      <w:tr w:rsidR="004071CA" w:rsidRPr="00FB3D74" w14:paraId="115634D6" w14:textId="77777777" w:rsidTr="00942E95">
        <w:trPr>
          <w:trHeight w:val="20"/>
        </w:trPr>
        <w:tc>
          <w:tcPr>
            <w:tcW w:w="3823" w:type="dxa"/>
            <w:shd w:val="clear" w:color="auto" w:fill="F2F2F2" w:themeFill="background1" w:themeFillShade="F2"/>
            <w:vAlign w:val="center"/>
          </w:tcPr>
          <w:p w14:paraId="7172817F" w14:textId="242BAA1A"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50DEE078" w14:textId="5D0CF5C4" w:rsidR="004071CA" w:rsidRPr="00FB3D74" w:rsidRDefault="004071CA" w:rsidP="00942E95">
            <w:pPr>
              <w:rPr>
                <w:rFonts w:cs="Arial"/>
                <w:sz w:val="16"/>
                <w:szCs w:val="16"/>
              </w:rPr>
            </w:pPr>
            <w:r w:rsidRPr="00FB3D74">
              <w:rPr>
                <w:rFonts w:cs="Arial"/>
                <w:sz w:val="16"/>
                <w:szCs w:val="16"/>
              </w:rPr>
              <w:t xml:space="preserve">El Estado de Colima mantiene su </w:t>
            </w:r>
            <w:r w:rsidR="006524F0" w:rsidRPr="00FB3D74">
              <w:rPr>
                <w:rFonts w:cs="Arial"/>
                <w:sz w:val="16"/>
                <w:szCs w:val="16"/>
              </w:rPr>
              <w:t xml:space="preserve">Índice </w:t>
            </w:r>
            <w:r w:rsidRPr="00FB3D74">
              <w:rPr>
                <w:rFonts w:cs="Arial"/>
                <w:sz w:val="16"/>
                <w:szCs w:val="16"/>
              </w:rPr>
              <w:t xml:space="preserve">de </w:t>
            </w:r>
            <w:r w:rsidR="006524F0" w:rsidRPr="00FB3D74">
              <w:rPr>
                <w:rFonts w:cs="Arial"/>
                <w:sz w:val="16"/>
                <w:szCs w:val="16"/>
              </w:rPr>
              <w:t xml:space="preserve">Desarrollo Humano </w:t>
            </w:r>
            <w:r w:rsidRPr="00FB3D74">
              <w:rPr>
                <w:rFonts w:cs="Arial"/>
                <w:sz w:val="16"/>
                <w:szCs w:val="16"/>
              </w:rPr>
              <w:t>mediante la atención de las personas adultas mayores y la coordinación interinstitucional.</w:t>
            </w:r>
          </w:p>
        </w:tc>
      </w:tr>
      <w:tr w:rsidR="004071CA" w:rsidRPr="00FB3D74" w14:paraId="2AB57D26" w14:textId="77777777" w:rsidTr="00942E95">
        <w:trPr>
          <w:trHeight w:val="20"/>
        </w:trPr>
        <w:tc>
          <w:tcPr>
            <w:tcW w:w="3823" w:type="dxa"/>
            <w:shd w:val="clear" w:color="auto" w:fill="F2F2F2" w:themeFill="background1" w:themeFillShade="F2"/>
            <w:vAlign w:val="center"/>
          </w:tcPr>
          <w:p w14:paraId="3335B608"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2E9524E7"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46AD6EDA" w14:textId="77777777" w:rsidTr="00942E95">
        <w:trPr>
          <w:trHeight w:val="20"/>
        </w:trPr>
        <w:tc>
          <w:tcPr>
            <w:tcW w:w="3823" w:type="dxa"/>
            <w:vAlign w:val="center"/>
          </w:tcPr>
          <w:p w14:paraId="0F8EDC5F" w14:textId="77777777" w:rsidR="004071CA" w:rsidRPr="00FB3D74" w:rsidRDefault="004071CA" w:rsidP="00942E95">
            <w:pPr>
              <w:rPr>
                <w:rFonts w:cs="Arial"/>
                <w:sz w:val="16"/>
                <w:szCs w:val="16"/>
              </w:rPr>
            </w:pPr>
            <w:r w:rsidRPr="00FB3D74">
              <w:rPr>
                <w:rFonts w:cs="Arial"/>
                <w:sz w:val="16"/>
                <w:szCs w:val="16"/>
              </w:rPr>
              <w:t>Personas adultas mayores de 60 a 64 años 11 meses con enfermedades crónico-degenerativas beneficiadas con pensiones bimestrales.</w:t>
            </w:r>
          </w:p>
        </w:tc>
        <w:tc>
          <w:tcPr>
            <w:tcW w:w="4992" w:type="dxa"/>
            <w:vAlign w:val="center"/>
          </w:tcPr>
          <w:p w14:paraId="76A8D983" w14:textId="77777777" w:rsidR="004071CA" w:rsidRPr="00FB3D74" w:rsidRDefault="004071CA" w:rsidP="00942E95">
            <w:pPr>
              <w:rPr>
                <w:rFonts w:cs="Arial"/>
                <w:sz w:val="16"/>
                <w:szCs w:val="16"/>
              </w:rPr>
            </w:pPr>
            <w:r w:rsidRPr="00FB3D74">
              <w:rPr>
                <w:rFonts w:cs="Arial"/>
                <w:sz w:val="16"/>
                <w:szCs w:val="16"/>
              </w:rPr>
              <w:t>Otorgar 4,566 pensiones a personas adultas mayores.</w:t>
            </w:r>
          </w:p>
        </w:tc>
      </w:tr>
      <w:tr w:rsidR="004071CA" w:rsidRPr="00FB3D74" w14:paraId="3A5D59F7" w14:textId="77777777" w:rsidTr="00942E95">
        <w:trPr>
          <w:trHeight w:val="20"/>
        </w:trPr>
        <w:tc>
          <w:tcPr>
            <w:tcW w:w="3823" w:type="dxa"/>
            <w:vAlign w:val="center"/>
          </w:tcPr>
          <w:p w14:paraId="06826935" w14:textId="77777777" w:rsidR="004071CA" w:rsidRPr="00FB3D74" w:rsidRDefault="004071CA" w:rsidP="00942E95">
            <w:pPr>
              <w:rPr>
                <w:rFonts w:cs="Arial"/>
                <w:sz w:val="16"/>
                <w:szCs w:val="16"/>
              </w:rPr>
            </w:pPr>
            <w:r w:rsidRPr="00FB3D74">
              <w:rPr>
                <w:rFonts w:cs="Arial"/>
                <w:sz w:val="16"/>
                <w:szCs w:val="16"/>
              </w:rPr>
              <w:t>Servicios de asistencia social y jurídica ofrecidos a personas adultas mayores.</w:t>
            </w:r>
          </w:p>
        </w:tc>
        <w:tc>
          <w:tcPr>
            <w:tcW w:w="4992" w:type="dxa"/>
            <w:vAlign w:val="center"/>
          </w:tcPr>
          <w:p w14:paraId="540AB8B8" w14:textId="77777777" w:rsidR="004071CA" w:rsidRPr="00FB3D74" w:rsidRDefault="004071CA" w:rsidP="00942E95">
            <w:pPr>
              <w:rPr>
                <w:rFonts w:cs="Arial"/>
                <w:sz w:val="16"/>
                <w:szCs w:val="16"/>
              </w:rPr>
            </w:pPr>
            <w:r w:rsidRPr="00FB3D74">
              <w:rPr>
                <w:rFonts w:cs="Arial"/>
                <w:sz w:val="16"/>
                <w:szCs w:val="16"/>
              </w:rPr>
              <w:t>Otorgar 23,784 servicios a personas adultas mayores.</w:t>
            </w:r>
          </w:p>
        </w:tc>
      </w:tr>
      <w:tr w:rsidR="004071CA" w:rsidRPr="00FB3D74" w14:paraId="508E449A" w14:textId="77777777" w:rsidTr="00942E95">
        <w:trPr>
          <w:trHeight w:val="20"/>
        </w:trPr>
        <w:tc>
          <w:tcPr>
            <w:tcW w:w="3823" w:type="dxa"/>
            <w:vAlign w:val="center"/>
          </w:tcPr>
          <w:p w14:paraId="2A511A85" w14:textId="77777777" w:rsidR="004071CA" w:rsidRPr="00FB3D74" w:rsidRDefault="004071CA" w:rsidP="00942E95">
            <w:pPr>
              <w:rPr>
                <w:rFonts w:cs="Arial"/>
                <w:sz w:val="16"/>
                <w:szCs w:val="16"/>
              </w:rPr>
            </w:pPr>
            <w:r w:rsidRPr="00FB3D74">
              <w:rPr>
                <w:rFonts w:cs="Arial"/>
                <w:sz w:val="16"/>
                <w:szCs w:val="16"/>
              </w:rPr>
              <w:t>Desempeño de funciones realizadas.</w:t>
            </w:r>
          </w:p>
        </w:tc>
        <w:tc>
          <w:tcPr>
            <w:tcW w:w="4992" w:type="dxa"/>
            <w:vAlign w:val="center"/>
          </w:tcPr>
          <w:p w14:paraId="0473263A" w14:textId="77777777" w:rsidR="004071CA" w:rsidRPr="00FB3D74" w:rsidRDefault="004071CA" w:rsidP="00942E95">
            <w:pPr>
              <w:rPr>
                <w:rFonts w:cs="Arial"/>
                <w:sz w:val="16"/>
                <w:szCs w:val="16"/>
              </w:rPr>
            </w:pPr>
            <w:r w:rsidRPr="00FB3D74">
              <w:rPr>
                <w:rFonts w:cs="Arial"/>
                <w:sz w:val="16"/>
                <w:szCs w:val="16"/>
              </w:rPr>
              <w:t>Ejercer el gasto de operación del Instituto para la Atención de los adultos Mayores.</w:t>
            </w:r>
          </w:p>
        </w:tc>
      </w:tr>
      <w:tr w:rsidR="004071CA" w:rsidRPr="00FB3D74" w14:paraId="54AD195A" w14:textId="77777777" w:rsidTr="00942E95">
        <w:trPr>
          <w:trHeight w:val="20"/>
        </w:trPr>
        <w:tc>
          <w:tcPr>
            <w:tcW w:w="3823" w:type="dxa"/>
            <w:shd w:val="clear" w:color="auto" w:fill="F2F2F2" w:themeFill="background1" w:themeFillShade="F2"/>
            <w:vAlign w:val="center"/>
          </w:tcPr>
          <w:p w14:paraId="7CEAB75C" w14:textId="644EEAD4"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53894872" w14:textId="204F8317" w:rsidR="004071CA" w:rsidRPr="00FB3D74" w:rsidRDefault="004071CA" w:rsidP="00942E95">
            <w:pPr>
              <w:rPr>
                <w:rFonts w:cs="Arial"/>
                <w:b/>
                <w:bCs/>
                <w:sz w:val="16"/>
                <w:szCs w:val="16"/>
              </w:rPr>
            </w:pPr>
            <w:r w:rsidRPr="00FB3D74">
              <w:rPr>
                <w:rFonts w:cs="Arial"/>
                <w:b/>
                <w:bCs/>
                <w:sz w:val="16"/>
                <w:szCs w:val="16"/>
              </w:rPr>
              <w:t>23</w:t>
            </w:r>
            <w:r w:rsidR="00942E95" w:rsidRPr="00FB3D74">
              <w:rPr>
                <w:rFonts w:cs="Arial"/>
                <w:b/>
                <w:bCs/>
                <w:sz w:val="16"/>
                <w:szCs w:val="16"/>
              </w:rPr>
              <w:t>.</w:t>
            </w:r>
          </w:p>
        </w:tc>
      </w:tr>
      <w:tr w:rsidR="004071CA" w:rsidRPr="00FB3D74" w14:paraId="4AA53D8C" w14:textId="77777777" w:rsidTr="00942E95">
        <w:trPr>
          <w:trHeight w:val="20"/>
        </w:trPr>
        <w:tc>
          <w:tcPr>
            <w:tcW w:w="3823" w:type="dxa"/>
            <w:shd w:val="clear" w:color="auto" w:fill="F2F2F2" w:themeFill="background1" w:themeFillShade="F2"/>
            <w:vAlign w:val="center"/>
          </w:tcPr>
          <w:p w14:paraId="0FB266AB" w14:textId="4293BA08"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4A1960D9" w14:textId="2564BC02" w:rsidR="004071CA" w:rsidRPr="00FB3D74" w:rsidRDefault="004071CA" w:rsidP="00942E95">
            <w:pPr>
              <w:rPr>
                <w:rFonts w:cs="Arial"/>
                <w:b/>
                <w:bCs/>
                <w:sz w:val="16"/>
                <w:szCs w:val="16"/>
              </w:rPr>
            </w:pPr>
            <w:r w:rsidRPr="00FB3D74">
              <w:rPr>
                <w:rFonts w:cs="Arial"/>
                <w:b/>
                <w:bCs/>
                <w:sz w:val="16"/>
                <w:szCs w:val="16"/>
              </w:rPr>
              <w:t>Subsecretaría del Trabajo</w:t>
            </w:r>
            <w:r w:rsidR="00942E95" w:rsidRPr="00FB3D74">
              <w:rPr>
                <w:rFonts w:cs="Arial"/>
                <w:b/>
                <w:bCs/>
                <w:sz w:val="16"/>
                <w:szCs w:val="16"/>
              </w:rPr>
              <w:t>.</w:t>
            </w:r>
          </w:p>
        </w:tc>
      </w:tr>
      <w:tr w:rsidR="004071CA" w:rsidRPr="00FB3D74" w14:paraId="6AA921EA" w14:textId="77777777" w:rsidTr="00942E95">
        <w:trPr>
          <w:trHeight w:val="20"/>
        </w:trPr>
        <w:tc>
          <w:tcPr>
            <w:tcW w:w="3823" w:type="dxa"/>
            <w:shd w:val="clear" w:color="auto" w:fill="F2F2F2" w:themeFill="background1" w:themeFillShade="F2"/>
            <w:vAlign w:val="center"/>
          </w:tcPr>
          <w:p w14:paraId="40370019" w14:textId="385497C7" w:rsidR="004071CA" w:rsidRPr="00FB3D74" w:rsidRDefault="004071CA" w:rsidP="00942E95">
            <w:pPr>
              <w:rPr>
                <w:rFonts w:cs="Arial"/>
                <w:b/>
                <w:bCs/>
                <w:sz w:val="16"/>
                <w:szCs w:val="16"/>
              </w:rPr>
            </w:pPr>
            <w:r w:rsidRPr="00FB3D74">
              <w:rPr>
                <w:rFonts w:cs="Arial"/>
                <w:b/>
                <w:bCs/>
                <w:sz w:val="16"/>
                <w:szCs w:val="16"/>
              </w:rPr>
              <w:lastRenderedPageBreak/>
              <w:t>Objetivo Anual</w:t>
            </w:r>
            <w:r w:rsidR="00942E95" w:rsidRPr="00FB3D74">
              <w:rPr>
                <w:rFonts w:cs="Arial"/>
                <w:b/>
                <w:bCs/>
                <w:sz w:val="16"/>
                <w:szCs w:val="16"/>
              </w:rPr>
              <w:t>.</w:t>
            </w:r>
          </w:p>
        </w:tc>
        <w:tc>
          <w:tcPr>
            <w:tcW w:w="4992" w:type="dxa"/>
            <w:shd w:val="clear" w:color="auto" w:fill="F2F2F2" w:themeFill="background1" w:themeFillShade="F2"/>
            <w:vAlign w:val="center"/>
          </w:tcPr>
          <w:p w14:paraId="190B8990" w14:textId="77777777" w:rsidR="004071CA" w:rsidRPr="00FB3D74" w:rsidRDefault="004071CA" w:rsidP="00942E95">
            <w:pPr>
              <w:rPr>
                <w:rFonts w:cs="Arial"/>
                <w:sz w:val="16"/>
                <w:szCs w:val="16"/>
              </w:rPr>
            </w:pPr>
            <w:r w:rsidRPr="00FB3D74">
              <w:rPr>
                <w:rFonts w:cs="Arial"/>
                <w:sz w:val="16"/>
                <w:szCs w:val="16"/>
              </w:rPr>
              <w:t>Los trabajadores se mantienen motivados, productivos, gozan de prestaciones de ley, tienen condiciones adecuadas de seguridad y salud, así como también los empleadores respetan los derechos de los trabajadores, promueven la capacitación y promoción de sus colaboradores, generan empleos formales, y cumplen las normas y leyes vigentes.</w:t>
            </w:r>
          </w:p>
        </w:tc>
      </w:tr>
      <w:tr w:rsidR="004071CA" w:rsidRPr="00FB3D74" w14:paraId="2206A4CD" w14:textId="77777777" w:rsidTr="00942E95">
        <w:trPr>
          <w:trHeight w:val="20"/>
        </w:trPr>
        <w:tc>
          <w:tcPr>
            <w:tcW w:w="3823" w:type="dxa"/>
            <w:shd w:val="clear" w:color="auto" w:fill="F2F2F2" w:themeFill="background1" w:themeFillShade="F2"/>
            <w:vAlign w:val="center"/>
          </w:tcPr>
          <w:p w14:paraId="75870E95"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59475EA4"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25D363CF" w14:textId="77777777" w:rsidTr="00942E95">
        <w:trPr>
          <w:trHeight w:val="20"/>
        </w:trPr>
        <w:tc>
          <w:tcPr>
            <w:tcW w:w="3823" w:type="dxa"/>
            <w:vAlign w:val="center"/>
          </w:tcPr>
          <w:p w14:paraId="73ED2389" w14:textId="248D6A7A" w:rsidR="004071CA" w:rsidRPr="00FB3D74" w:rsidRDefault="004071CA" w:rsidP="00942E95">
            <w:pPr>
              <w:rPr>
                <w:rFonts w:cs="Arial"/>
                <w:sz w:val="16"/>
                <w:szCs w:val="16"/>
              </w:rPr>
            </w:pPr>
            <w:r w:rsidRPr="00FB3D74">
              <w:rPr>
                <w:rFonts w:cs="Arial"/>
                <w:sz w:val="16"/>
                <w:szCs w:val="16"/>
              </w:rPr>
              <w:t>Política Laboral Planeada, Organizada, Dirigida y Controlada</w:t>
            </w:r>
            <w:r w:rsidR="00942E95" w:rsidRPr="00FB3D74">
              <w:rPr>
                <w:rFonts w:cs="Arial"/>
                <w:sz w:val="16"/>
                <w:szCs w:val="16"/>
              </w:rPr>
              <w:t>.</w:t>
            </w:r>
          </w:p>
        </w:tc>
        <w:tc>
          <w:tcPr>
            <w:tcW w:w="4992" w:type="dxa"/>
            <w:vAlign w:val="center"/>
          </w:tcPr>
          <w:p w14:paraId="6B794184" w14:textId="603A8450" w:rsidR="004071CA" w:rsidRPr="00FB3D74" w:rsidRDefault="004071CA" w:rsidP="00942E95">
            <w:pPr>
              <w:rPr>
                <w:rFonts w:cs="Arial"/>
                <w:sz w:val="16"/>
                <w:szCs w:val="16"/>
              </w:rPr>
            </w:pPr>
            <w:r w:rsidRPr="00FB3D74">
              <w:rPr>
                <w:rFonts w:cs="Arial"/>
                <w:sz w:val="16"/>
                <w:szCs w:val="16"/>
              </w:rPr>
              <w:t>Implementar 2,000 acciones en beneficio a la política laboral</w:t>
            </w:r>
            <w:r w:rsidR="00942E95" w:rsidRPr="00FB3D74">
              <w:rPr>
                <w:rFonts w:cs="Arial"/>
                <w:sz w:val="16"/>
                <w:szCs w:val="16"/>
              </w:rPr>
              <w:t>.</w:t>
            </w:r>
          </w:p>
        </w:tc>
      </w:tr>
      <w:tr w:rsidR="004071CA" w:rsidRPr="00FB3D74" w14:paraId="2D363BA0" w14:textId="77777777" w:rsidTr="00942E95">
        <w:trPr>
          <w:trHeight w:val="20"/>
        </w:trPr>
        <w:tc>
          <w:tcPr>
            <w:tcW w:w="3823" w:type="dxa"/>
            <w:vAlign w:val="center"/>
          </w:tcPr>
          <w:p w14:paraId="39A8C39B" w14:textId="77777777" w:rsidR="004071CA" w:rsidRPr="00FB3D74" w:rsidRDefault="004071CA" w:rsidP="00942E95">
            <w:pPr>
              <w:rPr>
                <w:rFonts w:cs="Arial"/>
                <w:sz w:val="16"/>
                <w:szCs w:val="16"/>
              </w:rPr>
            </w:pPr>
            <w:r w:rsidRPr="00FB3D74">
              <w:rPr>
                <w:rFonts w:cs="Arial"/>
                <w:sz w:val="16"/>
                <w:szCs w:val="16"/>
              </w:rPr>
              <w:t>Programas y acciones con el objeto de generar condiciones dignas y mantener la justicia laboral, administradas y operadas.</w:t>
            </w:r>
          </w:p>
        </w:tc>
        <w:tc>
          <w:tcPr>
            <w:tcW w:w="4992" w:type="dxa"/>
            <w:vAlign w:val="center"/>
          </w:tcPr>
          <w:p w14:paraId="1A64EF1F" w14:textId="77777777" w:rsidR="004071CA" w:rsidRPr="00FB3D74" w:rsidRDefault="004071CA" w:rsidP="00942E95">
            <w:pPr>
              <w:rPr>
                <w:rFonts w:cs="Arial"/>
                <w:sz w:val="16"/>
                <w:szCs w:val="16"/>
              </w:rPr>
            </w:pPr>
            <w:r w:rsidRPr="00FB3D74">
              <w:rPr>
                <w:rFonts w:cs="Arial"/>
                <w:sz w:val="16"/>
                <w:szCs w:val="16"/>
              </w:rPr>
              <w:t>3,000 personas beneficiadas.</w:t>
            </w:r>
          </w:p>
        </w:tc>
      </w:tr>
      <w:tr w:rsidR="004071CA" w:rsidRPr="00FB3D74" w14:paraId="2E612948" w14:textId="77777777" w:rsidTr="00942E95">
        <w:trPr>
          <w:trHeight w:val="20"/>
        </w:trPr>
        <w:tc>
          <w:tcPr>
            <w:tcW w:w="3823" w:type="dxa"/>
            <w:vAlign w:val="center"/>
          </w:tcPr>
          <w:p w14:paraId="149A27EB" w14:textId="77777777" w:rsidR="004071CA" w:rsidRPr="00FB3D74" w:rsidRDefault="004071CA" w:rsidP="00942E95">
            <w:pPr>
              <w:rPr>
                <w:rFonts w:cs="Arial"/>
                <w:sz w:val="16"/>
                <w:szCs w:val="16"/>
              </w:rPr>
            </w:pPr>
            <w:r w:rsidRPr="00FB3D74">
              <w:rPr>
                <w:rFonts w:cs="Arial"/>
                <w:sz w:val="16"/>
                <w:szCs w:val="16"/>
              </w:rPr>
              <w:t>Acciones en beneficio de mejorar la empleabilidad y productividad de las personas buscadoras de empleo, implementadas.</w:t>
            </w:r>
          </w:p>
        </w:tc>
        <w:tc>
          <w:tcPr>
            <w:tcW w:w="4992" w:type="dxa"/>
            <w:vAlign w:val="center"/>
          </w:tcPr>
          <w:p w14:paraId="78FA1E16" w14:textId="77777777" w:rsidR="004071CA" w:rsidRPr="00FB3D74" w:rsidRDefault="004071CA" w:rsidP="00942E95">
            <w:pPr>
              <w:rPr>
                <w:rFonts w:cs="Arial"/>
                <w:sz w:val="16"/>
                <w:szCs w:val="16"/>
              </w:rPr>
            </w:pPr>
            <w:r w:rsidRPr="00FB3D74">
              <w:rPr>
                <w:rFonts w:cs="Arial"/>
                <w:sz w:val="16"/>
                <w:szCs w:val="16"/>
              </w:rPr>
              <w:t>6,000 personas atendidas.</w:t>
            </w:r>
          </w:p>
        </w:tc>
      </w:tr>
      <w:tr w:rsidR="004071CA" w:rsidRPr="00FB3D74" w14:paraId="5C06FE72" w14:textId="77777777" w:rsidTr="00942E95">
        <w:trPr>
          <w:trHeight w:val="20"/>
        </w:trPr>
        <w:tc>
          <w:tcPr>
            <w:tcW w:w="3823" w:type="dxa"/>
            <w:shd w:val="clear" w:color="auto" w:fill="F2F2F2" w:themeFill="background1" w:themeFillShade="F2"/>
            <w:vAlign w:val="center"/>
          </w:tcPr>
          <w:p w14:paraId="60796939" w14:textId="3FF2E188"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2CC6A725" w14:textId="63C2EA88" w:rsidR="004071CA" w:rsidRPr="00FB3D74" w:rsidRDefault="004071CA" w:rsidP="00942E95">
            <w:pPr>
              <w:rPr>
                <w:rFonts w:cs="Arial"/>
                <w:b/>
                <w:bCs/>
                <w:sz w:val="16"/>
                <w:szCs w:val="16"/>
              </w:rPr>
            </w:pPr>
            <w:r w:rsidRPr="00FB3D74">
              <w:rPr>
                <w:rFonts w:cs="Arial"/>
                <w:b/>
                <w:bCs/>
                <w:sz w:val="16"/>
                <w:szCs w:val="16"/>
              </w:rPr>
              <w:t>24</w:t>
            </w:r>
            <w:r w:rsidR="00942E95" w:rsidRPr="00FB3D74">
              <w:rPr>
                <w:rFonts w:cs="Arial"/>
                <w:b/>
                <w:bCs/>
                <w:sz w:val="16"/>
                <w:szCs w:val="16"/>
              </w:rPr>
              <w:t>.</w:t>
            </w:r>
          </w:p>
        </w:tc>
      </w:tr>
      <w:tr w:rsidR="004071CA" w:rsidRPr="00FB3D74" w14:paraId="616E3CBF" w14:textId="77777777" w:rsidTr="00942E95">
        <w:trPr>
          <w:trHeight w:val="20"/>
        </w:trPr>
        <w:tc>
          <w:tcPr>
            <w:tcW w:w="3823" w:type="dxa"/>
            <w:shd w:val="clear" w:color="auto" w:fill="F2F2F2" w:themeFill="background1" w:themeFillShade="F2"/>
            <w:vAlign w:val="center"/>
          </w:tcPr>
          <w:p w14:paraId="135C4A9C" w14:textId="47AC523A"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56A70B6D" w14:textId="77777777" w:rsidR="004071CA" w:rsidRPr="00FB3D74" w:rsidRDefault="004071CA" w:rsidP="00942E95">
            <w:pPr>
              <w:rPr>
                <w:rFonts w:cs="Arial"/>
                <w:b/>
                <w:bCs/>
                <w:sz w:val="16"/>
                <w:szCs w:val="16"/>
              </w:rPr>
            </w:pPr>
            <w:r w:rsidRPr="00FB3D74">
              <w:rPr>
                <w:rFonts w:cs="Arial"/>
                <w:b/>
                <w:bCs/>
                <w:sz w:val="16"/>
                <w:szCs w:val="16"/>
              </w:rPr>
              <w:t>Secretaría de Desarrollo Económico.</w:t>
            </w:r>
          </w:p>
        </w:tc>
      </w:tr>
      <w:tr w:rsidR="004071CA" w:rsidRPr="00FB3D74" w14:paraId="4DDB7A84" w14:textId="77777777" w:rsidTr="00942E95">
        <w:trPr>
          <w:trHeight w:val="20"/>
        </w:trPr>
        <w:tc>
          <w:tcPr>
            <w:tcW w:w="3823" w:type="dxa"/>
            <w:shd w:val="clear" w:color="auto" w:fill="F2F2F2" w:themeFill="background1" w:themeFillShade="F2"/>
            <w:vAlign w:val="center"/>
          </w:tcPr>
          <w:p w14:paraId="5D1D57A8" w14:textId="38DB4759"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49B8B3ED" w14:textId="6DADFCB4" w:rsidR="004071CA" w:rsidRPr="00FB3D74" w:rsidRDefault="004071CA" w:rsidP="00942E95">
            <w:pPr>
              <w:rPr>
                <w:rFonts w:cs="Arial"/>
                <w:sz w:val="16"/>
                <w:szCs w:val="16"/>
              </w:rPr>
            </w:pPr>
            <w:r w:rsidRPr="00FB3D74">
              <w:rPr>
                <w:rFonts w:cs="Arial"/>
                <w:sz w:val="16"/>
                <w:szCs w:val="16"/>
              </w:rPr>
              <w:t>La economía de</w:t>
            </w:r>
            <w:r w:rsidR="00A60065" w:rsidRPr="00FB3D74">
              <w:rPr>
                <w:rFonts w:cs="Arial"/>
                <w:sz w:val="16"/>
                <w:szCs w:val="16"/>
              </w:rPr>
              <w:t>l Estado de</w:t>
            </w:r>
            <w:r w:rsidRPr="00FB3D74">
              <w:rPr>
                <w:rFonts w:cs="Arial"/>
                <w:sz w:val="16"/>
                <w:szCs w:val="16"/>
              </w:rPr>
              <w:t xml:space="preserve"> Colima cuenta con un ambiente propicio para fortalecer las inversiones, la competitividad y la innovación en los tres sectores económicos.</w:t>
            </w:r>
          </w:p>
        </w:tc>
      </w:tr>
      <w:tr w:rsidR="004071CA" w:rsidRPr="00FB3D74" w14:paraId="69FBEEC2" w14:textId="77777777" w:rsidTr="00942E95">
        <w:trPr>
          <w:trHeight w:val="20"/>
        </w:trPr>
        <w:tc>
          <w:tcPr>
            <w:tcW w:w="3823" w:type="dxa"/>
            <w:shd w:val="clear" w:color="auto" w:fill="F2F2F2" w:themeFill="background1" w:themeFillShade="F2"/>
            <w:vAlign w:val="center"/>
          </w:tcPr>
          <w:p w14:paraId="77F7F79C"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7EE31DD2"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21DDCA43" w14:textId="77777777" w:rsidTr="00942E95">
        <w:trPr>
          <w:trHeight w:val="20"/>
        </w:trPr>
        <w:tc>
          <w:tcPr>
            <w:tcW w:w="3823" w:type="dxa"/>
            <w:vAlign w:val="center"/>
          </w:tcPr>
          <w:p w14:paraId="010370DB" w14:textId="77777777" w:rsidR="004071CA" w:rsidRPr="00FB3D74" w:rsidRDefault="004071CA" w:rsidP="00942E95">
            <w:pPr>
              <w:rPr>
                <w:rFonts w:cs="Arial"/>
                <w:sz w:val="16"/>
                <w:szCs w:val="16"/>
              </w:rPr>
            </w:pPr>
            <w:r w:rsidRPr="00FB3D74">
              <w:rPr>
                <w:rFonts w:cs="Arial"/>
                <w:sz w:val="16"/>
                <w:szCs w:val="16"/>
              </w:rPr>
              <w:t>Programas y proyectos para el desarrollo económico realizados.</w:t>
            </w:r>
          </w:p>
        </w:tc>
        <w:tc>
          <w:tcPr>
            <w:tcW w:w="4992" w:type="dxa"/>
            <w:vAlign w:val="center"/>
          </w:tcPr>
          <w:p w14:paraId="7C0D3601" w14:textId="77777777" w:rsidR="004071CA" w:rsidRPr="00FB3D74" w:rsidRDefault="004071CA" w:rsidP="00942E95">
            <w:pPr>
              <w:rPr>
                <w:rFonts w:cs="Arial"/>
                <w:sz w:val="16"/>
                <w:szCs w:val="16"/>
              </w:rPr>
            </w:pPr>
            <w:r w:rsidRPr="00FB3D74">
              <w:rPr>
                <w:rFonts w:cs="Arial"/>
                <w:sz w:val="16"/>
                <w:szCs w:val="16"/>
              </w:rPr>
              <w:t>7 proyectos para el desarrollo económico.</w:t>
            </w:r>
          </w:p>
        </w:tc>
      </w:tr>
      <w:tr w:rsidR="004071CA" w:rsidRPr="00FB3D74" w14:paraId="4FE046E5" w14:textId="77777777" w:rsidTr="00942E95">
        <w:trPr>
          <w:trHeight w:val="20"/>
        </w:trPr>
        <w:tc>
          <w:tcPr>
            <w:tcW w:w="3823" w:type="dxa"/>
            <w:vAlign w:val="center"/>
          </w:tcPr>
          <w:p w14:paraId="54A54222" w14:textId="77777777" w:rsidR="004071CA" w:rsidRPr="00FB3D74" w:rsidRDefault="004071CA" w:rsidP="00942E95">
            <w:pPr>
              <w:rPr>
                <w:rFonts w:cs="Arial"/>
                <w:sz w:val="16"/>
                <w:szCs w:val="16"/>
              </w:rPr>
            </w:pPr>
            <w:r w:rsidRPr="00FB3D74">
              <w:rPr>
                <w:rFonts w:cs="Arial"/>
                <w:sz w:val="16"/>
                <w:szCs w:val="16"/>
              </w:rPr>
              <w:t>Proyectos para el impulso de la ciencia y tecnología implementados.</w:t>
            </w:r>
          </w:p>
        </w:tc>
        <w:tc>
          <w:tcPr>
            <w:tcW w:w="4992" w:type="dxa"/>
            <w:vAlign w:val="center"/>
          </w:tcPr>
          <w:p w14:paraId="62E6EB5D" w14:textId="77777777" w:rsidR="004071CA" w:rsidRPr="00FB3D74" w:rsidRDefault="004071CA" w:rsidP="00942E95">
            <w:pPr>
              <w:rPr>
                <w:rFonts w:cs="Arial"/>
                <w:sz w:val="16"/>
                <w:szCs w:val="16"/>
              </w:rPr>
            </w:pPr>
            <w:r w:rsidRPr="00FB3D74">
              <w:rPr>
                <w:rFonts w:cs="Arial"/>
                <w:sz w:val="16"/>
                <w:szCs w:val="16"/>
              </w:rPr>
              <w:t>3 proyectos para el impulso de la ciencia y tecnología.</w:t>
            </w:r>
          </w:p>
        </w:tc>
      </w:tr>
      <w:tr w:rsidR="004071CA" w:rsidRPr="00FB3D74" w14:paraId="359998A5" w14:textId="77777777" w:rsidTr="00942E95">
        <w:trPr>
          <w:trHeight w:val="20"/>
        </w:trPr>
        <w:tc>
          <w:tcPr>
            <w:tcW w:w="3823" w:type="dxa"/>
            <w:vAlign w:val="center"/>
          </w:tcPr>
          <w:p w14:paraId="6A0C9F8C" w14:textId="77777777" w:rsidR="004071CA" w:rsidRPr="00FB3D74" w:rsidRDefault="004071CA" w:rsidP="00942E95">
            <w:pPr>
              <w:rPr>
                <w:rFonts w:cs="Arial"/>
                <w:sz w:val="16"/>
                <w:szCs w:val="16"/>
              </w:rPr>
            </w:pPr>
            <w:r w:rsidRPr="00FB3D74">
              <w:rPr>
                <w:rFonts w:cs="Arial"/>
                <w:sz w:val="16"/>
                <w:szCs w:val="16"/>
              </w:rPr>
              <w:t>Impulso logístico y convivencia puerto- ciudad implementado.</w:t>
            </w:r>
          </w:p>
        </w:tc>
        <w:tc>
          <w:tcPr>
            <w:tcW w:w="4992" w:type="dxa"/>
            <w:vAlign w:val="center"/>
          </w:tcPr>
          <w:p w14:paraId="0151AE55" w14:textId="77777777" w:rsidR="004071CA" w:rsidRPr="00FB3D74" w:rsidRDefault="004071CA" w:rsidP="00942E95">
            <w:pPr>
              <w:rPr>
                <w:rFonts w:cs="Arial"/>
                <w:sz w:val="16"/>
                <w:szCs w:val="16"/>
              </w:rPr>
            </w:pPr>
            <w:r w:rsidRPr="00FB3D74">
              <w:rPr>
                <w:rFonts w:cs="Arial"/>
                <w:sz w:val="16"/>
                <w:szCs w:val="16"/>
              </w:rPr>
              <w:t>Implementar 2 proyectos para el impulso logístico y convivencia puerto-ciudad, implementados.</w:t>
            </w:r>
          </w:p>
        </w:tc>
      </w:tr>
      <w:tr w:rsidR="004071CA" w:rsidRPr="00FB3D74" w14:paraId="73500A7B" w14:textId="77777777" w:rsidTr="00942E95">
        <w:trPr>
          <w:trHeight w:val="20"/>
        </w:trPr>
        <w:tc>
          <w:tcPr>
            <w:tcW w:w="3823" w:type="dxa"/>
            <w:vAlign w:val="center"/>
          </w:tcPr>
          <w:p w14:paraId="6081BA66" w14:textId="77777777" w:rsidR="004071CA" w:rsidRPr="00FB3D74" w:rsidRDefault="004071CA" w:rsidP="00942E95">
            <w:pPr>
              <w:rPr>
                <w:rFonts w:cs="Arial"/>
                <w:sz w:val="16"/>
                <w:szCs w:val="16"/>
              </w:rPr>
            </w:pPr>
            <w:r w:rsidRPr="00FB3D74">
              <w:rPr>
                <w:rFonts w:cs="Arial"/>
                <w:sz w:val="16"/>
                <w:szCs w:val="16"/>
              </w:rPr>
              <w:t>Desempeño de funciones y proyectos de desarrollo económico implementado.</w:t>
            </w:r>
          </w:p>
        </w:tc>
        <w:tc>
          <w:tcPr>
            <w:tcW w:w="4992" w:type="dxa"/>
            <w:vAlign w:val="center"/>
          </w:tcPr>
          <w:p w14:paraId="6BD8B2CB" w14:textId="77777777" w:rsidR="004071CA" w:rsidRPr="00FB3D74" w:rsidRDefault="004071CA" w:rsidP="00942E95">
            <w:pPr>
              <w:rPr>
                <w:rFonts w:cs="Arial"/>
                <w:sz w:val="16"/>
                <w:szCs w:val="16"/>
              </w:rPr>
            </w:pPr>
            <w:r w:rsidRPr="00FB3D74">
              <w:rPr>
                <w:rFonts w:cs="Arial"/>
                <w:sz w:val="16"/>
                <w:szCs w:val="16"/>
              </w:rPr>
              <w:t>12 proyectos de desarrollo económico.</w:t>
            </w:r>
          </w:p>
        </w:tc>
      </w:tr>
      <w:tr w:rsidR="004071CA" w:rsidRPr="00FB3D74" w14:paraId="072045FB" w14:textId="77777777" w:rsidTr="00942E95">
        <w:trPr>
          <w:trHeight w:val="20"/>
        </w:trPr>
        <w:tc>
          <w:tcPr>
            <w:tcW w:w="3823" w:type="dxa"/>
            <w:shd w:val="clear" w:color="auto" w:fill="F2F2F2" w:themeFill="background1" w:themeFillShade="F2"/>
            <w:vAlign w:val="center"/>
          </w:tcPr>
          <w:p w14:paraId="60AF10E2" w14:textId="4F4CF7B9"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3727A636" w14:textId="04761A23" w:rsidR="004071CA" w:rsidRPr="00FB3D74" w:rsidRDefault="004071CA" w:rsidP="00942E95">
            <w:pPr>
              <w:rPr>
                <w:rFonts w:cs="Arial"/>
                <w:b/>
                <w:bCs/>
                <w:sz w:val="16"/>
                <w:szCs w:val="16"/>
              </w:rPr>
            </w:pPr>
            <w:r w:rsidRPr="00FB3D74">
              <w:rPr>
                <w:rFonts w:cs="Arial"/>
                <w:b/>
                <w:bCs/>
                <w:sz w:val="16"/>
                <w:szCs w:val="16"/>
              </w:rPr>
              <w:t>25</w:t>
            </w:r>
            <w:r w:rsidR="00942E95" w:rsidRPr="00FB3D74">
              <w:rPr>
                <w:rFonts w:cs="Arial"/>
                <w:b/>
                <w:bCs/>
                <w:sz w:val="16"/>
                <w:szCs w:val="16"/>
              </w:rPr>
              <w:t>.</w:t>
            </w:r>
          </w:p>
        </w:tc>
      </w:tr>
      <w:tr w:rsidR="004071CA" w:rsidRPr="00FB3D74" w14:paraId="13C02287" w14:textId="77777777" w:rsidTr="00942E95">
        <w:trPr>
          <w:trHeight w:val="20"/>
        </w:trPr>
        <w:tc>
          <w:tcPr>
            <w:tcW w:w="3823" w:type="dxa"/>
            <w:shd w:val="clear" w:color="auto" w:fill="F2F2F2" w:themeFill="background1" w:themeFillShade="F2"/>
            <w:vAlign w:val="center"/>
          </w:tcPr>
          <w:p w14:paraId="7C2951EC" w14:textId="56C85E9B"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5838BD39" w14:textId="77777777" w:rsidR="004071CA" w:rsidRPr="00FB3D74" w:rsidRDefault="004071CA" w:rsidP="00942E95">
            <w:pPr>
              <w:rPr>
                <w:rFonts w:cs="Arial"/>
                <w:b/>
                <w:bCs/>
                <w:sz w:val="16"/>
                <w:szCs w:val="16"/>
              </w:rPr>
            </w:pPr>
            <w:r w:rsidRPr="00FB3D74">
              <w:rPr>
                <w:rFonts w:cs="Arial"/>
                <w:b/>
                <w:bCs/>
                <w:sz w:val="16"/>
                <w:szCs w:val="16"/>
              </w:rPr>
              <w:t>Subsecretaría de Desarrollo Rural.</w:t>
            </w:r>
          </w:p>
        </w:tc>
      </w:tr>
      <w:tr w:rsidR="004071CA" w:rsidRPr="00FB3D74" w14:paraId="195E981D" w14:textId="77777777" w:rsidTr="00942E95">
        <w:trPr>
          <w:trHeight w:val="20"/>
        </w:trPr>
        <w:tc>
          <w:tcPr>
            <w:tcW w:w="3823" w:type="dxa"/>
            <w:shd w:val="clear" w:color="auto" w:fill="F2F2F2" w:themeFill="background1" w:themeFillShade="F2"/>
            <w:vAlign w:val="center"/>
          </w:tcPr>
          <w:p w14:paraId="4CF96152" w14:textId="5FE23773"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16175D2F" w14:textId="73077F15" w:rsidR="004071CA" w:rsidRPr="00FB3D74" w:rsidRDefault="004071CA" w:rsidP="00942E95">
            <w:pPr>
              <w:rPr>
                <w:rFonts w:cs="Arial"/>
                <w:sz w:val="16"/>
                <w:szCs w:val="16"/>
              </w:rPr>
            </w:pPr>
            <w:r w:rsidRPr="00FB3D74">
              <w:rPr>
                <w:rFonts w:cs="Arial"/>
                <w:sz w:val="16"/>
                <w:szCs w:val="16"/>
              </w:rPr>
              <w:t xml:space="preserve">El desarrollo de la economía del </w:t>
            </w:r>
            <w:r w:rsidR="00A60065" w:rsidRPr="00FB3D74">
              <w:rPr>
                <w:rFonts w:cs="Arial"/>
                <w:sz w:val="16"/>
                <w:szCs w:val="16"/>
              </w:rPr>
              <w:t xml:space="preserve">sector rural </w:t>
            </w:r>
            <w:r w:rsidRPr="00FB3D74">
              <w:rPr>
                <w:rFonts w:cs="Arial"/>
                <w:sz w:val="16"/>
                <w:szCs w:val="16"/>
              </w:rPr>
              <w:t>en el Estado</w:t>
            </w:r>
            <w:r w:rsidR="00A60065" w:rsidRPr="00FB3D74">
              <w:rPr>
                <w:rFonts w:cs="Arial"/>
                <w:sz w:val="16"/>
                <w:szCs w:val="16"/>
              </w:rPr>
              <w:t xml:space="preserve"> de Colima</w:t>
            </w:r>
            <w:r w:rsidRPr="00FB3D74">
              <w:rPr>
                <w:rFonts w:cs="Arial"/>
                <w:sz w:val="16"/>
                <w:szCs w:val="16"/>
              </w:rPr>
              <w:t xml:space="preserve"> cuenta con una alta competitividad en la producción agropecuaria, acuícola, forestal y pesquera.</w:t>
            </w:r>
          </w:p>
        </w:tc>
      </w:tr>
      <w:tr w:rsidR="004071CA" w:rsidRPr="00FB3D74" w14:paraId="5D04462A" w14:textId="77777777" w:rsidTr="00942E95">
        <w:trPr>
          <w:trHeight w:val="20"/>
        </w:trPr>
        <w:tc>
          <w:tcPr>
            <w:tcW w:w="3823" w:type="dxa"/>
            <w:shd w:val="clear" w:color="auto" w:fill="F2F2F2" w:themeFill="background1" w:themeFillShade="F2"/>
            <w:vAlign w:val="center"/>
          </w:tcPr>
          <w:p w14:paraId="5CFE4150"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211C7D6B"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7D5BB726" w14:textId="77777777" w:rsidTr="00942E95">
        <w:trPr>
          <w:trHeight w:val="20"/>
        </w:trPr>
        <w:tc>
          <w:tcPr>
            <w:tcW w:w="3823" w:type="dxa"/>
            <w:vAlign w:val="center"/>
          </w:tcPr>
          <w:p w14:paraId="0804A05D" w14:textId="77777777" w:rsidR="004071CA" w:rsidRPr="00FB3D74" w:rsidRDefault="004071CA" w:rsidP="00942E95">
            <w:pPr>
              <w:rPr>
                <w:rFonts w:cs="Arial"/>
                <w:sz w:val="16"/>
                <w:szCs w:val="16"/>
              </w:rPr>
            </w:pPr>
            <w:r w:rsidRPr="00FB3D74">
              <w:rPr>
                <w:rFonts w:cs="Arial"/>
                <w:sz w:val="16"/>
                <w:szCs w:val="16"/>
              </w:rPr>
              <w:t>Proyectos productivos y de infraestructura agropecuarios, acuícolas y pesqueros entregados.</w:t>
            </w:r>
          </w:p>
        </w:tc>
        <w:tc>
          <w:tcPr>
            <w:tcW w:w="4992" w:type="dxa"/>
            <w:vAlign w:val="center"/>
          </w:tcPr>
          <w:p w14:paraId="3488C0DD" w14:textId="77777777" w:rsidR="004071CA" w:rsidRPr="00FB3D74" w:rsidRDefault="004071CA" w:rsidP="00942E95">
            <w:pPr>
              <w:rPr>
                <w:rFonts w:cs="Arial"/>
                <w:sz w:val="16"/>
                <w:szCs w:val="16"/>
              </w:rPr>
            </w:pPr>
            <w:r w:rsidRPr="00FB3D74">
              <w:rPr>
                <w:rFonts w:cs="Arial"/>
                <w:sz w:val="16"/>
                <w:szCs w:val="16"/>
              </w:rPr>
              <w:t>1 proyecto productivo.</w:t>
            </w:r>
          </w:p>
        </w:tc>
      </w:tr>
      <w:tr w:rsidR="004071CA" w:rsidRPr="00FB3D74" w14:paraId="0853A177" w14:textId="77777777" w:rsidTr="00942E95">
        <w:trPr>
          <w:trHeight w:val="20"/>
        </w:trPr>
        <w:tc>
          <w:tcPr>
            <w:tcW w:w="3823" w:type="dxa"/>
            <w:vAlign w:val="center"/>
          </w:tcPr>
          <w:p w14:paraId="428E16FA" w14:textId="77777777" w:rsidR="004071CA" w:rsidRPr="00FB3D74" w:rsidRDefault="004071CA" w:rsidP="00942E95">
            <w:pPr>
              <w:rPr>
                <w:rFonts w:cs="Arial"/>
                <w:sz w:val="16"/>
                <w:szCs w:val="16"/>
              </w:rPr>
            </w:pPr>
            <w:r w:rsidRPr="00FB3D74">
              <w:rPr>
                <w:rFonts w:cs="Arial"/>
                <w:sz w:val="16"/>
                <w:szCs w:val="16"/>
              </w:rPr>
              <w:t>Servicios a productores rurales proporcionados.</w:t>
            </w:r>
          </w:p>
        </w:tc>
        <w:tc>
          <w:tcPr>
            <w:tcW w:w="4992" w:type="dxa"/>
            <w:vAlign w:val="center"/>
          </w:tcPr>
          <w:p w14:paraId="60145D7E" w14:textId="77777777" w:rsidR="004071CA" w:rsidRPr="00FB3D74" w:rsidRDefault="004071CA" w:rsidP="00942E95">
            <w:pPr>
              <w:rPr>
                <w:rFonts w:cs="Arial"/>
                <w:sz w:val="16"/>
                <w:szCs w:val="16"/>
              </w:rPr>
            </w:pPr>
            <w:r w:rsidRPr="00FB3D74">
              <w:rPr>
                <w:rFonts w:cs="Arial"/>
                <w:sz w:val="16"/>
                <w:szCs w:val="16"/>
              </w:rPr>
              <w:t>1 servicio a productores rurales.</w:t>
            </w:r>
          </w:p>
        </w:tc>
      </w:tr>
      <w:tr w:rsidR="004071CA" w:rsidRPr="00FB3D74" w14:paraId="5E9518BB" w14:textId="77777777" w:rsidTr="00942E95">
        <w:trPr>
          <w:trHeight w:val="20"/>
        </w:trPr>
        <w:tc>
          <w:tcPr>
            <w:tcW w:w="3823" w:type="dxa"/>
            <w:vAlign w:val="center"/>
          </w:tcPr>
          <w:p w14:paraId="0B65FAEC" w14:textId="77777777" w:rsidR="004071CA" w:rsidRPr="00FB3D74" w:rsidRDefault="004071CA" w:rsidP="00942E95">
            <w:pPr>
              <w:rPr>
                <w:rFonts w:cs="Arial"/>
                <w:sz w:val="16"/>
                <w:szCs w:val="16"/>
              </w:rPr>
            </w:pPr>
            <w:r w:rsidRPr="00FB3D74">
              <w:rPr>
                <w:rFonts w:cs="Arial"/>
                <w:sz w:val="16"/>
                <w:szCs w:val="16"/>
              </w:rPr>
              <w:t>Desempeño de funciones realizado.</w:t>
            </w:r>
          </w:p>
        </w:tc>
        <w:tc>
          <w:tcPr>
            <w:tcW w:w="4992" w:type="dxa"/>
            <w:vAlign w:val="center"/>
          </w:tcPr>
          <w:p w14:paraId="6257D50C" w14:textId="77777777" w:rsidR="004071CA" w:rsidRPr="00FB3D74" w:rsidRDefault="004071CA" w:rsidP="00942E95">
            <w:pPr>
              <w:rPr>
                <w:rFonts w:cs="Arial"/>
                <w:sz w:val="16"/>
                <w:szCs w:val="16"/>
              </w:rPr>
            </w:pPr>
            <w:r w:rsidRPr="00FB3D74">
              <w:rPr>
                <w:rFonts w:cs="Arial"/>
                <w:sz w:val="16"/>
                <w:szCs w:val="16"/>
              </w:rPr>
              <w:t>100 por ciento de ejecución de los Programas.</w:t>
            </w:r>
          </w:p>
        </w:tc>
      </w:tr>
      <w:tr w:rsidR="004071CA" w:rsidRPr="00FB3D74" w14:paraId="7380870A" w14:textId="77777777" w:rsidTr="00942E95">
        <w:trPr>
          <w:trHeight w:val="20"/>
        </w:trPr>
        <w:tc>
          <w:tcPr>
            <w:tcW w:w="3823" w:type="dxa"/>
            <w:shd w:val="clear" w:color="auto" w:fill="F2F2F2" w:themeFill="background1" w:themeFillShade="F2"/>
            <w:vAlign w:val="center"/>
          </w:tcPr>
          <w:p w14:paraId="18E2A2F1" w14:textId="41D55EA5"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4991A555" w14:textId="41F2498D" w:rsidR="004071CA" w:rsidRPr="00FB3D74" w:rsidRDefault="004071CA" w:rsidP="00942E95">
            <w:pPr>
              <w:rPr>
                <w:rFonts w:cs="Arial"/>
                <w:b/>
                <w:bCs/>
                <w:sz w:val="16"/>
                <w:szCs w:val="16"/>
              </w:rPr>
            </w:pPr>
            <w:r w:rsidRPr="00FB3D74">
              <w:rPr>
                <w:rFonts w:cs="Arial"/>
                <w:b/>
                <w:bCs/>
                <w:sz w:val="16"/>
                <w:szCs w:val="16"/>
              </w:rPr>
              <w:t>26</w:t>
            </w:r>
            <w:r w:rsidR="00942E95" w:rsidRPr="00FB3D74">
              <w:rPr>
                <w:rFonts w:cs="Arial"/>
                <w:b/>
                <w:bCs/>
                <w:sz w:val="16"/>
                <w:szCs w:val="16"/>
              </w:rPr>
              <w:t>.</w:t>
            </w:r>
          </w:p>
        </w:tc>
      </w:tr>
      <w:tr w:rsidR="004071CA" w:rsidRPr="00FB3D74" w14:paraId="60B3B03D" w14:textId="77777777" w:rsidTr="00942E95">
        <w:trPr>
          <w:trHeight w:val="20"/>
        </w:trPr>
        <w:tc>
          <w:tcPr>
            <w:tcW w:w="3823" w:type="dxa"/>
            <w:shd w:val="clear" w:color="auto" w:fill="F2F2F2" w:themeFill="background1" w:themeFillShade="F2"/>
            <w:vAlign w:val="center"/>
          </w:tcPr>
          <w:p w14:paraId="24C990AE" w14:textId="319CC70B"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63C03B66" w14:textId="77777777" w:rsidR="004071CA" w:rsidRPr="00FB3D74" w:rsidRDefault="004071CA" w:rsidP="00942E95">
            <w:pPr>
              <w:rPr>
                <w:rFonts w:cs="Arial"/>
                <w:b/>
                <w:bCs/>
                <w:sz w:val="16"/>
                <w:szCs w:val="16"/>
              </w:rPr>
            </w:pPr>
            <w:r w:rsidRPr="00FB3D74">
              <w:rPr>
                <w:rFonts w:cs="Arial"/>
                <w:b/>
                <w:bCs/>
                <w:sz w:val="16"/>
                <w:szCs w:val="16"/>
              </w:rPr>
              <w:t>Subsecretaría de Turismo.</w:t>
            </w:r>
          </w:p>
        </w:tc>
      </w:tr>
      <w:tr w:rsidR="004071CA" w:rsidRPr="00FB3D74" w14:paraId="3723DF32" w14:textId="77777777" w:rsidTr="00942E95">
        <w:trPr>
          <w:trHeight w:val="20"/>
        </w:trPr>
        <w:tc>
          <w:tcPr>
            <w:tcW w:w="3823" w:type="dxa"/>
            <w:shd w:val="clear" w:color="auto" w:fill="F2F2F2" w:themeFill="background1" w:themeFillShade="F2"/>
            <w:vAlign w:val="center"/>
          </w:tcPr>
          <w:p w14:paraId="687CFB7C" w14:textId="668CC86F"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1DC8B065" w14:textId="38554BDF" w:rsidR="004071CA" w:rsidRPr="00FB3D74" w:rsidRDefault="004071CA" w:rsidP="00942E95">
            <w:pPr>
              <w:rPr>
                <w:rFonts w:cs="Arial"/>
                <w:sz w:val="16"/>
                <w:szCs w:val="16"/>
              </w:rPr>
            </w:pPr>
            <w:r w:rsidRPr="00FB3D74">
              <w:rPr>
                <w:rFonts w:cs="Arial"/>
                <w:sz w:val="16"/>
                <w:szCs w:val="16"/>
              </w:rPr>
              <w:t>El sector turístico del Estado</w:t>
            </w:r>
            <w:r w:rsidR="00A60065" w:rsidRPr="00FB3D74">
              <w:rPr>
                <w:rFonts w:cs="Arial"/>
                <w:sz w:val="16"/>
                <w:szCs w:val="16"/>
              </w:rPr>
              <w:t xml:space="preserve"> de Colima</w:t>
            </w:r>
            <w:r w:rsidRPr="00FB3D74">
              <w:rPr>
                <w:rFonts w:cs="Arial"/>
                <w:sz w:val="16"/>
                <w:szCs w:val="16"/>
              </w:rPr>
              <w:t xml:space="preserve"> se beneficia de las diferentes acciones que buscan incrementar la derrama económica y afluencia turística: mejora de servicios y atención a turistas y visitantes, con capital humano capacitado y profesionalizado, además de la implementación de productos y proyectos integrales que aprovechen el potencial turístico. </w:t>
            </w:r>
          </w:p>
        </w:tc>
      </w:tr>
      <w:tr w:rsidR="004071CA" w:rsidRPr="00FB3D74" w14:paraId="03B3563E" w14:textId="77777777" w:rsidTr="00942E95">
        <w:trPr>
          <w:trHeight w:val="20"/>
        </w:trPr>
        <w:tc>
          <w:tcPr>
            <w:tcW w:w="3823" w:type="dxa"/>
            <w:shd w:val="clear" w:color="auto" w:fill="F2F2F2" w:themeFill="background1" w:themeFillShade="F2"/>
            <w:vAlign w:val="center"/>
          </w:tcPr>
          <w:p w14:paraId="76364618"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1B2C0B1F"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700A563C" w14:textId="77777777" w:rsidTr="00942E95">
        <w:trPr>
          <w:trHeight w:val="20"/>
        </w:trPr>
        <w:tc>
          <w:tcPr>
            <w:tcW w:w="3823" w:type="dxa"/>
            <w:vAlign w:val="center"/>
          </w:tcPr>
          <w:p w14:paraId="120041EC" w14:textId="356CF54A" w:rsidR="004071CA" w:rsidRPr="00FB3D74" w:rsidRDefault="004071CA" w:rsidP="00942E95">
            <w:pPr>
              <w:rPr>
                <w:rFonts w:cs="Arial"/>
                <w:sz w:val="16"/>
                <w:szCs w:val="16"/>
              </w:rPr>
            </w:pPr>
            <w:r w:rsidRPr="00FB3D74">
              <w:rPr>
                <w:rFonts w:cs="Arial"/>
                <w:sz w:val="16"/>
                <w:szCs w:val="16"/>
              </w:rPr>
              <w:t xml:space="preserve">Derrama </w:t>
            </w:r>
            <w:r w:rsidR="00A57544" w:rsidRPr="00FB3D74">
              <w:rPr>
                <w:rFonts w:cs="Arial"/>
                <w:sz w:val="16"/>
                <w:szCs w:val="16"/>
              </w:rPr>
              <w:t xml:space="preserve">económica turística </w:t>
            </w:r>
            <w:r w:rsidRPr="00FB3D74">
              <w:rPr>
                <w:rFonts w:cs="Arial"/>
                <w:sz w:val="16"/>
                <w:szCs w:val="16"/>
              </w:rPr>
              <w:t>alcanzada.</w:t>
            </w:r>
          </w:p>
        </w:tc>
        <w:tc>
          <w:tcPr>
            <w:tcW w:w="4992" w:type="dxa"/>
            <w:vAlign w:val="center"/>
          </w:tcPr>
          <w:p w14:paraId="2EEDB375" w14:textId="479D9A11" w:rsidR="004071CA" w:rsidRPr="00FB3D74" w:rsidRDefault="004071CA" w:rsidP="00942E95">
            <w:pPr>
              <w:rPr>
                <w:rFonts w:cs="Arial"/>
                <w:sz w:val="16"/>
                <w:szCs w:val="16"/>
              </w:rPr>
            </w:pPr>
            <w:r w:rsidRPr="00FB3D74">
              <w:rPr>
                <w:rFonts w:cs="Arial"/>
                <w:sz w:val="16"/>
                <w:szCs w:val="16"/>
              </w:rPr>
              <w:t>Crecer a 3.6 por ciento anual.</w:t>
            </w:r>
          </w:p>
        </w:tc>
      </w:tr>
      <w:tr w:rsidR="004071CA" w:rsidRPr="00FB3D74" w14:paraId="5335067C" w14:textId="77777777" w:rsidTr="00942E95">
        <w:trPr>
          <w:trHeight w:val="20"/>
        </w:trPr>
        <w:tc>
          <w:tcPr>
            <w:tcW w:w="3823" w:type="dxa"/>
            <w:vAlign w:val="center"/>
          </w:tcPr>
          <w:p w14:paraId="579B279E" w14:textId="77777777" w:rsidR="004071CA" w:rsidRPr="00FB3D74" w:rsidRDefault="004071CA" w:rsidP="00942E95">
            <w:pPr>
              <w:rPr>
                <w:rFonts w:cs="Arial"/>
                <w:sz w:val="16"/>
                <w:szCs w:val="16"/>
              </w:rPr>
            </w:pPr>
            <w:r w:rsidRPr="00FB3D74">
              <w:rPr>
                <w:rFonts w:cs="Arial"/>
                <w:sz w:val="16"/>
                <w:szCs w:val="16"/>
              </w:rPr>
              <w:t>Desempeño de funciones para la consolidación del sector turístico del estado.</w:t>
            </w:r>
          </w:p>
        </w:tc>
        <w:tc>
          <w:tcPr>
            <w:tcW w:w="4992" w:type="dxa"/>
            <w:vAlign w:val="center"/>
          </w:tcPr>
          <w:p w14:paraId="764BC0EC" w14:textId="77777777" w:rsidR="004071CA" w:rsidRPr="00FB3D74" w:rsidRDefault="004071CA" w:rsidP="00942E95">
            <w:pPr>
              <w:rPr>
                <w:rFonts w:cs="Arial"/>
                <w:sz w:val="16"/>
                <w:szCs w:val="16"/>
              </w:rPr>
            </w:pPr>
            <w:r w:rsidRPr="00FB3D74">
              <w:rPr>
                <w:rFonts w:cs="Arial"/>
                <w:sz w:val="16"/>
                <w:szCs w:val="16"/>
              </w:rPr>
              <w:t>Cumplimiento del 100 por ciento de acciones programadas.</w:t>
            </w:r>
          </w:p>
        </w:tc>
      </w:tr>
      <w:tr w:rsidR="004071CA" w:rsidRPr="00FB3D74" w14:paraId="36A9159B" w14:textId="77777777" w:rsidTr="00942E95">
        <w:trPr>
          <w:trHeight w:val="20"/>
        </w:trPr>
        <w:tc>
          <w:tcPr>
            <w:tcW w:w="3823" w:type="dxa"/>
            <w:shd w:val="clear" w:color="auto" w:fill="F2F2F2" w:themeFill="background1" w:themeFillShade="F2"/>
            <w:vAlign w:val="center"/>
          </w:tcPr>
          <w:p w14:paraId="34469A7D" w14:textId="06FC9066"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13A18647" w14:textId="5954881D" w:rsidR="004071CA" w:rsidRPr="00FB3D74" w:rsidRDefault="004071CA" w:rsidP="00942E95">
            <w:pPr>
              <w:rPr>
                <w:rFonts w:cs="Arial"/>
                <w:b/>
                <w:bCs/>
                <w:sz w:val="16"/>
                <w:szCs w:val="16"/>
              </w:rPr>
            </w:pPr>
            <w:r w:rsidRPr="00FB3D74">
              <w:rPr>
                <w:rFonts w:cs="Arial"/>
                <w:b/>
                <w:bCs/>
                <w:sz w:val="16"/>
                <w:szCs w:val="16"/>
              </w:rPr>
              <w:t>27</w:t>
            </w:r>
            <w:r w:rsidR="00942E95" w:rsidRPr="00FB3D74">
              <w:rPr>
                <w:rFonts w:cs="Arial"/>
                <w:b/>
                <w:bCs/>
                <w:sz w:val="16"/>
                <w:szCs w:val="16"/>
              </w:rPr>
              <w:t>.</w:t>
            </w:r>
          </w:p>
        </w:tc>
      </w:tr>
      <w:tr w:rsidR="004071CA" w:rsidRPr="00FB3D74" w14:paraId="56738A26" w14:textId="77777777" w:rsidTr="00942E95">
        <w:trPr>
          <w:trHeight w:val="20"/>
        </w:trPr>
        <w:tc>
          <w:tcPr>
            <w:tcW w:w="3823" w:type="dxa"/>
            <w:shd w:val="clear" w:color="auto" w:fill="F2F2F2" w:themeFill="background1" w:themeFillShade="F2"/>
            <w:vAlign w:val="center"/>
          </w:tcPr>
          <w:p w14:paraId="0FAE9D8C" w14:textId="223C5B4B"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38DECD37" w14:textId="1ACED03F" w:rsidR="004071CA" w:rsidRPr="00FB3D74" w:rsidRDefault="004071CA" w:rsidP="00942E95">
            <w:pPr>
              <w:rPr>
                <w:rFonts w:cs="Arial"/>
                <w:b/>
                <w:bCs/>
                <w:sz w:val="16"/>
                <w:szCs w:val="16"/>
              </w:rPr>
            </w:pPr>
            <w:r w:rsidRPr="00FB3D74">
              <w:rPr>
                <w:rFonts w:cs="Arial"/>
                <w:b/>
                <w:bCs/>
                <w:sz w:val="16"/>
                <w:szCs w:val="16"/>
              </w:rPr>
              <w:t>Centro de Coordinación</w:t>
            </w:r>
            <w:r w:rsidR="00A60065" w:rsidRPr="00FB3D74">
              <w:rPr>
                <w:rFonts w:cs="Arial"/>
                <w:b/>
                <w:bCs/>
                <w:sz w:val="16"/>
                <w:szCs w:val="16"/>
              </w:rPr>
              <w:t>,</w:t>
            </w:r>
            <w:r w:rsidRPr="00FB3D74">
              <w:rPr>
                <w:rFonts w:cs="Arial"/>
                <w:b/>
                <w:bCs/>
                <w:sz w:val="16"/>
                <w:szCs w:val="16"/>
              </w:rPr>
              <w:t xml:space="preserve"> Control</w:t>
            </w:r>
            <w:r w:rsidR="00A60065" w:rsidRPr="00FB3D74">
              <w:rPr>
                <w:rFonts w:cs="Arial"/>
                <w:b/>
                <w:bCs/>
                <w:sz w:val="16"/>
                <w:szCs w:val="16"/>
              </w:rPr>
              <w:t>,</w:t>
            </w:r>
            <w:r w:rsidRPr="00FB3D74">
              <w:rPr>
                <w:rFonts w:cs="Arial"/>
                <w:b/>
                <w:bCs/>
                <w:sz w:val="16"/>
                <w:szCs w:val="16"/>
              </w:rPr>
              <w:t xml:space="preserve"> Comando</w:t>
            </w:r>
            <w:r w:rsidR="00A60065" w:rsidRPr="00FB3D74">
              <w:rPr>
                <w:rFonts w:cs="Arial"/>
                <w:b/>
                <w:bCs/>
                <w:sz w:val="16"/>
                <w:szCs w:val="16"/>
              </w:rPr>
              <w:t>,</w:t>
            </w:r>
            <w:r w:rsidRPr="00FB3D74">
              <w:rPr>
                <w:rFonts w:cs="Arial"/>
                <w:b/>
                <w:bCs/>
                <w:sz w:val="16"/>
                <w:szCs w:val="16"/>
              </w:rPr>
              <w:t xml:space="preserve"> Comunicación</w:t>
            </w:r>
            <w:r w:rsidR="00A60065" w:rsidRPr="00FB3D74">
              <w:rPr>
                <w:rFonts w:cs="Arial"/>
                <w:b/>
                <w:bCs/>
                <w:sz w:val="16"/>
                <w:szCs w:val="16"/>
              </w:rPr>
              <w:t>,</w:t>
            </w:r>
            <w:r w:rsidRPr="00FB3D74">
              <w:rPr>
                <w:rFonts w:cs="Arial"/>
                <w:b/>
                <w:bCs/>
                <w:sz w:val="16"/>
                <w:szCs w:val="16"/>
              </w:rPr>
              <w:t xml:space="preserve"> Cómputo e Inteligencia C5i.</w:t>
            </w:r>
          </w:p>
        </w:tc>
      </w:tr>
      <w:tr w:rsidR="004071CA" w:rsidRPr="00FB3D74" w14:paraId="5F213DA7" w14:textId="77777777" w:rsidTr="00942E95">
        <w:trPr>
          <w:trHeight w:val="20"/>
        </w:trPr>
        <w:tc>
          <w:tcPr>
            <w:tcW w:w="3823" w:type="dxa"/>
            <w:shd w:val="clear" w:color="auto" w:fill="F2F2F2" w:themeFill="background1" w:themeFillShade="F2"/>
            <w:vAlign w:val="center"/>
          </w:tcPr>
          <w:p w14:paraId="2987C579" w14:textId="0087159B"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58AF7B7D" w14:textId="77777777" w:rsidR="004071CA" w:rsidRPr="00FB3D74" w:rsidRDefault="004071CA" w:rsidP="00942E95">
            <w:pPr>
              <w:rPr>
                <w:rFonts w:cs="Arial"/>
                <w:sz w:val="16"/>
                <w:szCs w:val="16"/>
              </w:rPr>
            </w:pPr>
            <w:r w:rsidRPr="00FB3D74">
              <w:rPr>
                <w:rFonts w:cs="Arial"/>
                <w:sz w:val="16"/>
                <w:szCs w:val="16"/>
              </w:rPr>
              <w:t xml:space="preserve">El Centro de Coordinación, Control, Comando, Comunicación, Computo e Inteligencia del Estado de Colima, cuente con los recursos necesarios de infraestructura, tecnología y materiales, así </w:t>
            </w:r>
            <w:r w:rsidRPr="00FB3D74">
              <w:rPr>
                <w:rFonts w:cs="Arial"/>
                <w:sz w:val="16"/>
                <w:szCs w:val="16"/>
              </w:rPr>
              <w:lastRenderedPageBreak/>
              <w:t>como personal suficiente con profesionalización para el cumplimiento oportuno de sus funciones.</w:t>
            </w:r>
          </w:p>
        </w:tc>
      </w:tr>
      <w:tr w:rsidR="004071CA" w:rsidRPr="00FB3D74" w14:paraId="4DA9FF02" w14:textId="77777777" w:rsidTr="00942E95">
        <w:trPr>
          <w:trHeight w:val="20"/>
        </w:trPr>
        <w:tc>
          <w:tcPr>
            <w:tcW w:w="3823" w:type="dxa"/>
            <w:shd w:val="clear" w:color="auto" w:fill="F2F2F2" w:themeFill="background1" w:themeFillShade="F2"/>
            <w:vAlign w:val="center"/>
          </w:tcPr>
          <w:p w14:paraId="1947284E" w14:textId="77777777" w:rsidR="004071CA" w:rsidRPr="00FB3D74" w:rsidRDefault="004071CA" w:rsidP="00942E95">
            <w:pPr>
              <w:jc w:val="center"/>
              <w:rPr>
                <w:rFonts w:cs="Arial"/>
                <w:sz w:val="16"/>
                <w:szCs w:val="16"/>
              </w:rPr>
            </w:pPr>
            <w:r w:rsidRPr="00FB3D74">
              <w:rPr>
                <w:rFonts w:cs="Arial"/>
                <w:b/>
                <w:bCs/>
                <w:sz w:val="16"/>
                <w:szCs w:val="16"/>
              </w:rPr>
              <w:lastRenderedPageBreak/>
              <w:t>Estrategias</w:t>
            </w:r>
          </w:p>
        </w:tc>
        <w:tc>
          <w:tcPr>
            <w:tcW w:w="4992" w:type="dxa"/>
            <w:shd w:val="clear" w:color="auto" w:fill="F2F2F2" w:themeFill="background1" w:themeFillShade="F2"/>
            <w:vAlign w:val="center"/>
          </w:tcPr>
          <w:p w14:paraId="59E1FCBF"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23A4A4E8" w14:textId="77777777" w:rsidTr="00942E95">
        <w:trPr>
          <w:trHeight w:val="20"/>
        </w:trPr>
        <w:tc>
          <w:tcPr>
            <w:tcW w:w="3823" w:type="dxa"/>
            <w:vAlign w:val="center"/>
          </w:tcPr>
          <w:p w14:paraId="0DA8BE7B" w14:textId="77777777" w:rsidR="004071CA" w:rsidRPr="00FB3D74" w:rsidRDefault="004071CA" w:rsidP="00942E95">
            <w:pPr>
              <w:rPr>
                <w:rFonts w:cs="Arial"/>
                <w:sz w:val="16"/>
                <w:szCs w:val="16"/>
              </w:rPr>
            </w:pPr>
            <w:r w:rsidRPr="00FB3D74">
              <w:rPr>
                <w:rFonts w:cs="Arial"/>
                <w:sz w:val="16"/>
                <w:szCs w:val="16"/>
              </w:rPr>
              <w:t>Suficiente personal para la operación del Centro y Subcentros contratado.</w:t>
            </w:r>
          </w:p>
        </w:tc>
        <w:tc>
          <w:tcPr>
            <w:tcW w:w="4992" w:type="dxa"/>
            <w:vAlign w:val="center"/>
          </w:tcPr>
          <w:p w14:paraId="1DA0247E" w14:textId="77777777" w:rsidR="004071CA" w:rsidRPr="00FB3D74" w:rsidRDefault="004071CA" w:rsidP="00942E95">
            <w:pPr>
              <w:rPr>
                <w:rFonts w:cs="Arial"/>
                <w:sz w:val="16"/>
                <w:szCs w:val="16"/>
              </w:rPr>
            </w:pPr>
            <w:r w:rsidRPr="00FB3D74">
              <w:rPr>
                <w:rFonts w:cs="Arial"/>
                <w:sz w:val="16"/>
                <w:szCs w:val="16"/>
              </w:rPr>
              <w:t>Atender el 95 por ciento de llamadas recibidas y reportadas a organismo correspondiente.</w:t>
            </w:r>
          </w:p>
        </w:tc>
      </w:tr>
      <w:tr w:rsidR="004071CA" w:rsidRPr="00FB3D74" w14:paraId="6D145E2A" w14:textId="77777777" w:rsidTr="00942E95">
        <w:trPr>
          <w:trHeight w:val="20"/>
        </w:trPr>
        <w:tc>
          <w:tcPr>
            <w:tcW w:w="3823" w:type="dxa"/>
            <w:vAlign w:val="center"/>
          </w:tcPr>
          <w:p w14:paraId="7E57156B" w14:textId="77777777" w:rsidR="004071CA" w:rsidRPr="00FB3D74" w:rsidRDefault="004071CA" w:rsidP="00942E95">
            <w:pPr>
              <w:rPr>
                <w:rFonts w:cs="Arial"/>
                <w:sz w:val="16"/>
                <w:szCs w:val="16"/>
              </w:rPr>
            </w:pPr>
            <w:r w:rsidRPr="00FB3D74">
              <w:rPr>
                <w:rFonts w:cs="Arial"/>
                <w:sz w:val="16"/>
                <w:szCs w:val="16"/>
              </w:rPr>
              <w:t>Infraestructura del Subcentro Regional Manzanillo y el Subcentro Regional Tecomán optima.</w:t>
            </w:r>
          </w:p>
        </w:tc>
        <w:tc>
          <w:tcPr>
            <w:tcW w:w="4992" w:type="dxa"/>
            <w:vAlign w:val="center"/>
          </w:tcPr>
          <w:p w14:paraId="6DDDB277" w14:textId="77777777" w:rsidR="004071CA" w:rsidRPr="00FB3D74" w:rsidRDefault="004071CA" w:rsidP="00942E95">
            <w:pPr>
              <w:rPr>
                <w:rFonts w:cs="Arial"/>
                <w:sz w:val="16"/>
                <w:szCs w:val="16"/>
              </w:rPr>
            </w:pPr>
            <w:r w:rsidRPr="00FB3D74">
              <w:rPr>
                <w:rFonts w:cs="Arial"/>
                <w:sz w:val="16"/>
                <w:szCs w:val="16"/>
              </w:rPr>
              <w:t>Concluir el 100 por ciento de obras de infraestructura.</w:t>
            </w:r>
          </w:p>
        </w:tc>
      </w:tr>
      <w:tr w:rsidR="004071CA" w:rsidRPr="00FB3D74" w14:paraId="6D8DA080" w14:textId="77777777" w:rsidTr="00942E95">
        <w:trPr>
          <w:trHeight w:val="20"/>
        </w:trPr>
        <w:tc>
          <w:tcPr>
            <w:tcW w:w="3823" w:type="dxa"/>
            <w:vAlign w:val="center"/>
          </w:tcPr>
          <w:p w14:paraId="416D507E" w14:textId="77777777" w:rsidR="004071CA" w:rsidRPr="00FB3D74" w:rsidRDefault="004071CA" w:rsidP="00942E95">
            <w:pPr>
              <w:rPr>
                <w:rFonts w:cs="Arial"/>
                <w:sz w:val="16"/>
                <w:szCs w:val="16"/>
              </w:rPr>
            </w:pPr>
            <w:r w:rsidRPr="00FB3D74">
              <w:rPr>
                <w:rFonts w:cs="Arial"/>
                <w:sz w:val="16"/>
                <w:szCs w:val="16"/>
              </w:rPr>
              <w:t>Tecnologías suficientes para el centro y los Subcentros de Manzanillo y Tecomán otorgadas.</w:t>
            </w:r>
          </w:p>
        </w:tc>
        <w:tc>
          <w:tcPr>
            <w:tcW w:w="4992" w:type="dxa"/>
            <w:vAlign w:val="center"/>
          </w:tcPr>
          <w:p w14:paraId="19B5C685" w14:textId="204CE975" w:rsidR="004071CA" w:rsidRPr="00FB3D74" w:rsidRDefault="004071CA" w:rsidP="00942E95">
            <w:pPr>
              <w:rPr>
                <w:rFonts w:cs="Arial"/>
                <w:sz w:val="16"/>
                <w:szCs w:val="16"/>
              </w:rPr>
            </w:pPr>
            <w:r w:rsidRPr="00FB3D74">
              <w:rPr>
                <w:rFonts w:cs="Arial"/>
                <w:sz w:val="16"/>
                <w:szCs w:val="16"/>
              </w:rPr>
              <w:t>Aumentar en 30</w:t>
            </w:r>
            <w:r w:rsidR="00A60065" w:rsidRPr="00FB3D74">
              <w:rPr>
                <w:rFonts w:cs="Arial"/>
                <w:sz w:val="16"/>
                <w:szCs w:val="16"/>
              </w:rPr>
              <w:t xml:space="preserve"> </w:t>
            </w:r>
            <w:r w:rsidRPr="00FB3D74">
              <w:rPr>
                <w:rFonts w:cs="Arial"/>
                <w:sz w:val="16"/>
                <w:szCs w:val="16"/>
              </w:rPr>
              <w:t xml:space="preserve">por ciento la cantidad de puntos de monitoreo inteligente, </w:t>
            </w:r>
            <w:r w:rsidR="00A60065" w:rsidRPr="00FB3D74">
              <w:rPr>
                <w:rFonts w:cs="Arial"/>
                <w:sz w:val="16"/>
                <w:szCs w:val="16"/>
              </w:rPr>
              <w:t xml:space="preserve">vehicular </w:t>
            </w:r>
            <w:r w:rsidRPr="00FB3D74">
              <w:rPr>
                <w:rFonts w:cs="Arial"/>
                <w:sz w:val="16"/>
                <w:szCs w:val="16"/>
              </w:rPr>
              <w:t>y 10 drones en operación, así como el 33 por ciento de software en operación.</w:t>
            </w:r>
          </w:p>
        </w:tc>
      </w:tr>
      <w:tr w:rsidR="004071CA" w:rsidRPr="00FB3D74" w14:paraId="7A155FB9" w14:textId="77777777" w:rsidTr="00942E95">
        <w:trPr>
          <w:trHeight w:val="20"/>
        </w:trPr>
        <w:tc>
          <w:tcPr>
            <w:tcW w:w="3823" w:type="dxa"/>
            <w:vAlign w:val="center"/>
          </w:tcPr>
          <w:p w14:paraId="6D533393" w14:textId="77777777" w:rsidR="004071CA" w:rsidRPr="00FB3D74" w:rsidRDefault="004071CA" w:rsidP="00942E95">
            <w:pPr>
              <w:rPr>
                <w:rFonts w:cs="Arial"/>
                <w:sz w:val="16"/>
                <w:szCs w:val="16"/>
              </w:rPr>
            </w:pPr>
            <w:r w:rsidRPr="00FB3D74">
              <w:rPr>
                <w:rFonts w:cs="Arial"/>
                <w:sz w:val="16"/>
                <w:szCs w:val="16"/>
              </w:rPr>
              <w:t>Suficiente mobiliario, equipo de cómputo y servidores adquirido.</w:t>
            </w:r>
          </w:p>
        </w:tc>
        <w:tc>
          <w:tcPr>
            <w:tcW w:w="4992" w:type="dxa"/>
            <w:vAlign w:val="center"/>
          </w:tcPr>
          <w:p w14:paraId="2BEE8FF4" w14:textId="77777777" w:rsidR="004071CA" w:rsidRPr="00FB3D74" w:rsidRDefault="004071CA" w:rsidP="00942E95">
            <w:pPr>
              <w:rPr>
                <w:rFonts w:cs="Arial"/>
                <w:sz w:val="16"/>
                <w:szCs w:val="16"/>
              </w:rPr>
            </w:pPr>
            <w:r w:rsidRPr="00FB3D74">
              <w:rPr>
                <w:rFonts w:cs="Arial"/>
                <w:sz w:val="16"/>
                <w:szCs w:val="16"/>
              </w:rPr>
              <w:t>Renovar el 50 por ciento de mobiliario del Centro y Subcentros de Manzanillo y Tecomán.</w:t>
            </w:r>
          </w:p>
        </w:tc>
      </w:tr>
      <w:tr w:rsidR="004071CA" w:rsidRPr="00FB3D74" w14:paraId="1CF28D17" w14:textId="77777777" w:rsidTr="00942E95">
        <w:trPr>
          <w:trHeight w:val="20"/>
        </w:trPr>
        <w:tc>
          <w:tcPr>
            <w:tcW w:w="3823" w:type="dxa"/>
            <w:shd w:val="clear" w:color="auto" w:fill="F2F2F2" w:themeFill="background1" w:themeFillShade="F2"/>
            <w:vAlign w:val="center"/>
          </w:tcPr>
          <w:p w14:paraId="2106457A" w14:textId="1AF6B235"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08A42A2C" w14:textId="439A293A" w:rsidR="004071CA" w:rsidRPr="00FB3D74" w:rsidRDefault="004071CA" w:rsidP="00942E95">
            <w:pPr>
              <w:rPr>
                <w:rFonts w:cs="Arial"/>
                <w:b/>
                <w:bCs/>
                <w:sz w:val="16"/>
                <w:szCs w:val="16"/>
              </w:rPr>
            </w:pPr>
            <w:r w:rsidRPr="00FB3D74">
              <w:rPr>
                <w:rFonts w:cs="Arial"/>
                <w:b/>
                <w:bCs/>
                <w:sz w:val="16"/>
                <w:szCs w:val="16"/>
              </w:rPr>
              <w:t>28</w:t>
            </w:r>
            <w:r w:rsidR="00942E95" w:rsidRPr="00FB3D74">
              <w:rPr>
                <w:rFonts w:cs="Arial"/>
                <w:b/>
                <w:bCs/>
                <w:sz w:val="16"/>
                <w:szCs w:val="16"/>
              </w:rPr>
              <w:t>.</w:t>
            </w:r>
          </w:p>
        </w:tc>
      </w:tr>
      <w:tr w:rsidR="004071CA" w:rsidRPr="00FB3D74" w14:paraId="75329DE3" w14:textId="77777777" w:rsidTr="00942E95">
        <w:trPr>
          <w:trHeight w:val="20"/>
        </w:trPr>
        <w:tc>
          <w:tcPr>
            <w:tcW w:w="3823" w:type="dxa"/>
            <w:shd w:val="clear" w:color="auto" w:fill="F2F2F2" w:themeFill="background1" w:themeFillShade="F2"/>
            <w:vAlign w:val="center"/>
          </w:tcPr>
          <w:p w14:paraId="201B5A30" w14:textId="051F48E4"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545FAB11" w14:textId="77777777" w:rsidR="004071CA" w:rsidRPr="00FB3D74" w:rsidRDefault="004071CA" w:rsidP="00942E95">
            <w:pPr>
              <w:rPr>
                <w:rFonts w:cs="Arial"/>
                <w:b/>
                <w:bCs/>
                <w:sz w:val="16"/>
                <w:szCs w:val="16"/>
              </w:rPr>
            </w:pPr>
            <w:r w:rsidRPr="00FB3D74">
              <w:rPr>
                <w:rFonts w:cs="Arial"/>
                <w:b/>
                <w:bCs/>
                <w:sz w:val="16"/>
                <w:szCs w:val="16"/>
              </w:rPr>
              <w:t>Tribunal Electoral del Estado de Colima.</w:t>
            </w:r>
          </w:p>
        </w:tc>
      </w:tr>
      <w:tr w:rsidR="004071CA" w:rsidRPr="00FB3D74" w14:paraId="315EB7BD" w14:textId="77777777" w:rsidTr="00942E95">
        <w:trPr>
          <w:trHeight w:val="20"/>
        </w:trPr>
        <w:tc>
          <w:tcPr>
            <w:tcW w:w="3823" w:type="dxa"/>
            <w:shd w:val="clear" w:color="auto" w:fill="F2F2F2" w:themeFill="background1" w:themeFillShade="F2"/>
            <w:vAlign w:val="center"/>
          </w:tcPr>
          <w:p w14:paraId="31E01131" w14:textId="1C3BF7B2"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7C0044DC" w14:textId="6E1B460F" w:rsidR="004071CA" w:rsidRPr="00FB3D74" w:rsidRDefault="004071CA" w:rsidP="00942E95">
            <w:pPr>
              <w:rPr>
                <w:rFonts w:cs="Arial"/>
                <w:sz w:val="16"/>
                <w:szCs w:val="16"/>
              </w:rPr>
            </w:pPr>
            <w:r w:rsidRPr="00FB3D74">
              <w:rPr>
                <w:rFonts w:cs="Arial"/>
                <w:sz w:val="16"/>
                <w:szCs w:val="16"/>
              </w:rPr>
              <w:t xml:space="preserve">La ciudadanía del </w:t>
            </w:r>
            <w:r w:rsidR="00A60065" w:rsidRPr="00FB3D74">
              <w:rPr>
                <w:rFonts w:cs="Arial"/>
                <w:sz w:val="16"/>
                <w:szCs w:val="16"/>
              </w:rPr>
              <w:t xml:space="preserve">Estado </w:t>
            </w:r>
            <w:r w:rsidRPr="00FB3D74">
              <w:rPr>
                <w:rFonts w:cs="Arial"/>
                <w:sz w:val="16"/>
                <w:szCs w:val="16"/>
              </w:rPr>
              <w:t>de Colima tiene acceso a la tutela judicial efectiva, a la cultura cívica, democrática, de defensa y ejercicio de sus derechos político-electorales que garantizan y hacen valer su participación en los procesos ciudadanos y partidistas de elección, organización representación, votación y acceso a los espacios de poder públicos bajo los principios de constitucionalidad, equidad y legalidad de los actos y resoluciones jurídico electorales.</w:t>
            </w:r>
          </w:p>
        </w:tc>
      </w:tr>
      <w:tr w:rsidR="004071CA" w:rsidRPr="00FB3D74" w14:paraId="7DA0FB6F" w14:textId="77777777" w:rsidTr="00942E95">
        <w:trPr>
          <w:trHeight w:val="20"/>
        </w:trPr>
        <w:tc>
          <w:tcPr>
            <w:tcW w:w="3823" w:type="dxa"/>
            <w:shd w:val="clear" w:color="auto" w:fill="F2F2F2" w:themeFill="background1" w:themeFillShade="F2"/>
            <w:vAlign w:val="center"/>
          </w:tcPr>
          <w:p w14:paraId="19BBA567"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4EC52ECB"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6CE8B51F" w14:textId="77777777" w:rsidTr="00942E95">
        <w:trPr>
          <w:trHeight w:val="20"/>
        </w:trPr>
        <w:tc>
          <w:tcPr>
            <w:tcW w:w="3823" w:type="dxa"/>
            <w:vAlign w:val="center"/>
          </w:tcPr>
          <w:p w14:paraId="23DABB6D" w14:textId="77777777" w:rsidR="004071CA" w:rsidRPr="00FB3D74" w:rsidRDefault="004071CA" w:rsidP="00942E95">
            <w:pPr>
              <w:rPr>
                <w:rFonts w:cs="Arial"/>
                <w:sz w:val="16"/>
                <w:szCs w:val="16"/>
              </w:rPr>
            </w:pPr>
            <w:r w:rsidRPr="00FB3D74">
              <w:rPr>
                <w:rFonts w:cs="Arial"/>
                <w:sz w:val="16"/>
                <w:szCs w:val="16"/>
              </w:rPr>
              <w:t>Servicios de medios de impugnación y demandas atendidas e implementados en procesos ágiles de atención y solución de controversias electorales.</w:t>
            </w:r>
          </w:p>
        </w:tc>
        <w:tc>
          <w:tcPr>
            <w:tcW w:w="4992" w:type="dxa"/>
            <w:vAlign w:val="center"/>
          </w:tcPr>
          <w:p w14:paraId="1954FFDE" w14:textId="77777777" w:rsidR="004071CA" w:rsidRPr="00FB3D74" w:rsidRDefault="004071CA" w:rsidP="00942E95">
            <w:pPr>
              <w:rPr>
                <w:rFonts w:cs="Arial"/>
                <w:sz w:val="16"/>
                <w:szCs w:val="16"/>
              </w:rPr>
            </w:pPr>
            <w:r w:rsidRPr="00FB3D74">
              <w:rPr>
                <w:rFonts w:cs="Arial"/>
                <w:sz w:val="16"/>
                <w:szCs w:val="16"/>
              </w:rPr>
              <w:t>Lograr 183 resoluciones de conflictos.</w:t>
            </w:r>
          </w:p>
        </w:tc>
      </w:tr>
      <w:tr w:rsidR="004071CA" w:rsidRPr="00FB3D74" w14:paraId="03BCD976" w14:textId="77777777" w:rsidTr="00942E95">
        <w:trPr>
          <w:trHeight w:val="20"/>
        </w:trPr>
        <w:tc>
          <w:tcPr>
            <w:tcW w:w="3823" w:type="dxa"/>
            <w:vAlign w:val="center"/>
          </w:tcPr>
          <w:p w14:paraId="36795F6C" w14:textId="77777777" w:rsidR="004071CA" w:rsidRPr="00FB3D74" w:rsidRDefault="004071CA" w:rsidP="00942E95">
            <w:pPr>
              <w:rPr>
                <w:rFonts w:cs="Arial"/>
                <w:sz w:val="16"/>
                <w:szCs w:val="16"/>
              </w:rPr>
            </w:pPr>
            <w:r w:rsidRPr="00FB3D74">
              <w:rPr>
                <w:rFonts w:cs="Arial"/>
                <w:sz w:val="16"/>
                <w:szCs w:val="16"/>
              </w:rPr>
              <w:t>Contenidos para el fortalecimiento de la cultura cívica en materia de los derechos políticos proporcionados.</w:t>
            </w:r>
          </w:p>
        </w:tc>
        <w:tc>
          <w:tcPr>
            <w:tcW w:w="4992" w:type="dxa"/>
            <w:vAlign w:val="center"/>
          </w:tcPr>
          <w:p w14:paraId="694E8122" w14:textId="77777777" w:rsidR="004071CA" w:rsidRPr="00FB3D74" w:rsidRDefault="004071CA" w:rsidP="00942E95">
            <w:pPr>
              <w:rPr>
                <w:rFonts w:cs="Arial"/>
                <w:sz w:val="16"/>
                <w:szCs w:val="16"/>
              </w:rPr>
            </w:pPr>
            <w:r w:rsidRPr="00FB3D74">
              <w:rPr>
                <w:rFonts w:cs="Arial"/>
                <w:sz w:val="16"/>
                <w:szCs w:val="16"/>
              </w:rPr>
              <w:t>Lograr la difusión de 180 productos institucionales.</w:t>
            </w:r>
          </w:p>
        </w:tc>
      </w:tr>
      <w:tr w:rsidR="004071CA" w:rsidRPr="00FB3D74" w14:paraId="3FF57B7D" w14:textId="77777777" w:rsidTr="00942E95">
        <w:trPr>
          <w:trHeight w:val="20"/>
        </w:trPr>
        <w:tc>
          <w:tcPr>
            <w:tcW w:w="3823" w:type="dxa"/>
            <w:vAlign w:val="center"/>
          </w:tcPr>
          <w:p w14:paraId="7EEF2AC0" w14:textId="77777777" w:rsidR="004071CA" w:rsidRPr="00FB3D74" w:rsidRDefault="004071CA" w:rsidP="00942E95">
            <w:pPr>
              <w:rPr>
                <w:rFonts w:cs="Arial"/>
                <w:sz w:val="16"/>
                <w:szCs w:val="16"/>
              </w:rPr>
            </w:pPr>
            <w:r w:rsidRPr="00FB3D74">
              <w:rPr>
                <w:rFonts w:cs="Arial"/>
                <w:sz w:val="16"/>
                <w:szCs w:val="16"/>
              </w:rPr>
              <w:t>Servicios de difusión de la cultura cívica y política mediante capacitación, profesionalización, especialización e investigación del derecho electoral, el sistema político mexicano y los derechos humanos con perspectiva de inclusión y equidad de género implementadas.</w:t>
            </w:r>
          </w:p>
        </w:tc>
        <w:tc>
          <w:tcPr>
            <w:tcW w:w="4992" w:type="dxa"/>
            <w:vAlign w:val="center"/>
          </w:tcPr>
          <w:p w14:paraId="3848125E" w14:textId="77777777" w:rsidR="004071CA" w:rsidRPr="00FB3D74" w:rsidRDefault="004071CA" w:rsidP="00942E95">
            <w:pPr>
              <w:rPr>
                <w:rFonts w:cs="Arial"/>
                <w:sz w:val="16"/>
                <w:szCs w:val="16"/>
              </w:rPr>
            </w:pPr>
            <w:r w:rsidRPr="00FB3D74">
              <w:rPr>
                <w:rFonts w:cs="Arial"/>
                <w:sz w:val="16"/>
                <w:szCs w:val="16"/>
              </w:rPr>
              <w:t>Ejecutar 12 actividades.</w:t>
            </w:r>
          </w:p>
        </w:tc>
      </w:tr>
      <w:tr w:rsidR="004071CA" w:rsidRPr="00FB3D74" w14:paraId="06C3899A" w14:textId="77777777" w:rsidTr="00942E95">
        <w:trPr>
          <w:trHeight w:val="20"/>
        </w:trPr>
        <w:tc>
          <w:tcPr>
            <w:tcW w:w="3823" w:type="dxa"/>
            <w:vAlign w:val="center"/>
          </w:tcPr>
          <w:p w14:paraId="478F2DFF" w14:textId="77777777" w:rsidR="004071CA" w:rsidRPr="00FB3D74" w:rsidRDefault="004071CA" w:rsidP="00942E95">
            <w:pPr>
              <w:rPr>
                <w:rFonts w:cs="Arial"/>
                <w:sz w:val="16"/>
                <w:szCs w:val="16"/>
              </w:rPr>
            </w:pPr>
            <w:r w:rsidRPr="00FB3D74">
              <w:rPr>
                <w:rFonts w:cs="Arial"/>
                <w:sz w:val="16"/>
                <w:szCs w:val="16"/>
              </w:rPr>
              <w:t>Celebración de sesiones del Pleno del Tribunal Electoral del Estado de Colima para conocer y dar seguimiento a los asuntos internos del Tribunal, así como resolver los recursos de apelación, asuntos especiales y controversias laborales realizadas.</w:t>
            </w:r>
          </w:p>
        </w:tc>
        <w:tc>
          <w:tcPr>
            <w:tcW w:w="4992" w:type="dxa"/>
            <w:vAlign w:val="center"/>
          </w:tcPr>
          <w:p w14:paraId="5AE46355" w14:textId="49B09F39" w:rsidR="004071CA" w:rsidRPr="00FB3D74" w:rsidRDefault="004071CA" w:rsidP="00942E95">
            <w:pPr>
              <w:rPr>
                <w:rFonts w:cs="Arial"/>
                <w:sz w:val="16"/>
                <w:szCs w:val="16"/>
              </w:rPr>
            </w:pPr>
            <w:r w:rsidRPr="00FB3D74">
              <w:rPr>
                <w:rFonts w:cs="Arial"/>
                <w:sz w:val="16"/>
                <w:szCs w:val="16"/>
              </w:rPr>
              <w:t xml:space="preserve">Realizar 66 sesiones públicas del </w:t>
            </w:r>
            <w:r w:rsidR="00BB76DD" w:rsidRPr="00FB3D74">
              <w:rPr>
                <w:rFonts w:cs="Arial"/>
                <w:sz w:val="16"/>
                <w:szCs w:val="16"/>
              </w:rPr>
              <w:t>Tribunal Electoral del Estado de Colima. (</w:t>
            </w:r>
            <w:r w:rsidRPr="00FB3D74">
              <w:rPr>
                <w:rFonts w:cs="Arial"/>
                <w:sz w:val="16"/>
                <w:szCs w:val="16"/>
              </w:rPr>
              <w:t>TEE</w:t>
            </w:r>
            <w:r w:rsidR="00BB76DD" w:rsidRPr="00FB3D74">
              <w:rPr>
                <w:rFonts w:cs="Arial"/>
                <w:sz w:val="16"/>
                <w:szCs w:val="16"/>
              </w:rPr>
              <w:t>)</w:t>
            </w:r>
            <w:r w:rsidRPr="00FB3D74">
              <w:rPr>
                <w:rFonts w:cs="Arial"/>
                <w:sz w:val="16"/>
                <w:szCs w:val="16"/>
              </w:rPr>
              <w:t>.</w:t>
            </w:r>
          </w:p>
        </w:tc>
      </w:tr>
      <w:tr w:rsidR="004071CA" w:rsidRPr="00FB3D74" w14:paraId="77F9850A" w14:textId="77777777" w:rsidTr="00942E95">
        <w:trPr>
          <w:trHeight w:val="20"/>
        </w:trPr>
        <w:tc>
          <w:tcPr>
            <w:tcW w:w="3823" w:type="dxa"/>
            <w:vAlign w:val="center"/>
          </w:tcPr>
          <w:p w14:paraId="168284A2" w14:textId="77777777" w:rsidR="004071CA" w:rsidRPr="00FB3D74" w:rsidRDefault="004071CA" w:rsidP="00942E95">
            <w:pPr>
              <w:rPr>
                <w:rFonts w:cs="Arial"/>
                <w:sz w:val="16"/>
                <w:szCs w:val="16"/>
              </w:rPr>
            </w:pPr>
            <w:r w:rsidRPr="00FB3D74">
              <w:rPr>
                <w:rFonts w:cs="Arial"/>
                <w:sz w:val="16"/>
                <w:szCs w:val="16"/>
              </w:rPr>
              <w:t>Servicio de Defensoría Pública Electoral al pueblo de Colima sobre sus derechos político-electorales proporcionados.</w:t>
            </w:r>
          </w:p>
        </w:tc>
        <w:tc>
          <w:tcPr>
            <w:tcW w:w="4992" w:type="dxa"/>
            <w:vAlign w:val="center"/>
          </w:tcPr>
          <w:p w14:paraId="2826EA5C" w14:textId="77777777" w:rsidR="004071CA" w:rsidRPr="00FB3D74" w:rsidRDefault="004071CA" w:rsidP="00942E95">
            <w:pPr>
              <w:rPr>
                <w:rFonts w:cs="Arial"/>
                <w:sz w:val="16"/>
                <w:szCs w:val="16"/>
              </w:rPr>
            </w:pPr>
            <w:r w:rsidRPr="00FB3D74">
              <w:rPr>
                <w:rFonts w:cs="Arial"/>
                <w:sz w:val="16"/>
                <w:szCs w:val="16"/>
              </w:rPr>
              <w:t>Brindar 60 servicios.</w:t>
            </w:r>
          </w:p>
        </w:tc>
      </w:tr>
      <w:tr w:rsidR="004071CA" w:rsidRPr="00FB3D74" w14:paraId="073416B9" w14:textId="77777777" w:rsidTr="00942E95">
        <w:trPr>
          <w:trHeight w:val="20"/>
        </w:trPr>
        <w:tc>
          <w:tcPr>
            <w:tcW w:w="3823" w:type="dxa"/>
            <w:vAlign w:val="center"/>
          </w:tcPr>
          <w:p w14:paraId="3A71C49F" w14:textId="77777777" w:rsidR="004071CA" w:rsidRPr="00FB3D74" w:rsidRDefault="004071CA" w:rsidP="00942E95">
            <w:pPr>
              <w:rPr>
                <w:rFonts w:cs="Arial"/>
                <w:sz w:val="16"/>
                <w:szCs w:val="16"/>
              </w:rPr>
            </w:pPr>
            <w:r w:rsidRPr="00FB3D74">
              <w:rPr>
                <w:rFonts w:cs="Arial"/>
                <w:sz w:val="16"/>
                <w:szCs w:val="16"/>
              </w:rPr>
              <w:t>Estrategias implementadas de formación cultural e incorporación de la perspectiva de género en lo referente al ejercicio de los derechos político-electorales de la población colimense.</w:t>
            </w:r>
          </w:p>
        </w:tc>
        <w:tc>
          <w:tcPr>
            <w:tcW w:w="4992" w:type="dxa"/>
            <w:vAlign w:val="center"/>
          </w:tcPr>
          <w:p w14:paraId="3990E87F" w14:textId="77777777" w:rsidR="004071CA" w:rsidRPr="00FB3D74" w:rsidRDefault="004071CA" w:rsidP="00942E95">
            <w:pPr>
              <w:rPr>
                <w:rFonts w:cs="Arial"/>
                <w:sz w:val="16"/>
                <w:szCs w:val="16"/>
              </w:rPr>
            </w:pPr>
            <w:r w:rsidRPr="00FB3D74">
              <w:rPr>
                <w:rFonts w:cs="Arial"/>
                <w:sz w:val="16"/>
                <w:szCs w:val="16"/>
              </w:rPr>
              <w:t>Elaborar 1 programa.</w:t>
            </w:r>
          </w:p>
        </w:tc>
      </w:tr>
      <w:tr w:rsidR="004071CA" w:rsidRPr="00FB3D74" w14:paraId="3C6ED95F" w14:textId="77777777" w:rsidTr="00942E95">
        <w:trPr>
          <w:trHeight w:val="20"/>
        </w:trPr>
        <w:tc>
          <w:tcPr>
            <w:tcW w:w="3823" w:type="dxa"/>
            <w:shd w:val="clear" w:color="auto" w:fill="F2F2F2" w:themeFill="background1" w:themeFillShade="F2"/>
            <w:vAlign w:val="center"/>
          </w:tcPr>
          <w:p w14:paraId="74586EBA" w14:textId="0C2C6D71"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7F9CC642" w14:textId="06AE1C77" w:rsidR="004071CA" w:rsidRPr="00FB3D74" w:rsidRDefault="004071CA" w:rsidP="00942E95">
            <w:pPr>
              <w:rPr>
                <w:rFonts w:cs="Arial"/>
                <w:b/>
                <w:bCs/>
                <w:sz w:val="16"/>
                <w:szCs w:val="16"/>
              </w:rPr>
            </w:pPr>
            <w:r w:rsidRPr="00FB3D74">
              <w:rPr>
                <w:rFonts w:cs="Arial"/>
                <w:b/>
                <w:bCs/>
                <w:sz w:val="16"/>
                <w:szCs w:val="16"/>
              </w:rPr>
              <w:t>29</w:t>
            </w:r>
            <w:r w:rsidR="00942E95" w:rsidRPr="00FB3D74">
              <w:rPr>
                <w:rFonts w:cs="Arial"/>
                <w:b/>
                <w:bCs/>
                <w:sz w:val="16"/>
                <w:szCs w:val="16"/>
              </w:rPr>
              <w:t>.</w:t>
            </w:r>
          </w:p>
        </w:tc>
      </w:tr>
      <w:tr w:rsidR="004071CA" w:rsidRPr="00FB3D74" w14:paraId="2759C3DB" w14:textId="77777777" w:rsidTr="00942E95">
        <w:trPr>
          <w:trHeight w:val="20"/>
        </w:trPr>
        <w:tc>
          <w:tcPr>
            <w:tcW w:w="3823" w:type="dxa"/>
            <w:shd w:val="clear" w:color="auto" w:fill="F2F2F2" w:themeFill="background1" w:themeFillShade="F2"/>
            <w:vAlign w:val="center"/>
          </w:tcPr>
          <w:p w14:paraId="0395F40C" w14:textId="1F6F3396"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2AC01E5E" w14:textId="77777777" w:rsidR="004071CA" w:rsidRPr="00FB3D74" w:rsidRDefault="004071CA" w:rsidP="00942E95">
            <w:pPr>
              <w:rPr>
                <w:rFonts w:cs="Arial"/>
                <w:b/>
                <w:bCs/>
                <w:sz w:val="16"/>
                <w:szCs w:val="16"/>
              </w:rPr>
            </w:pPr>
            <w:r w:rsidRPr="00FB3D74">
              <w:rPr>
                <w:rFonts w:cs="Arial"/>
                <w:b/>
                <w:bCs/>
                <w:sz w:val="16"/>
                <w:szCs w:val="16"/>
              </w:rPr>
              <w:t>Instituto Electoral del Estado de Colima.</w:t>
            </w:r>
          </w:p>
        </w:tc>
      </w:tr>
      <w:tr w:rsidR="004071CA" w:rsidRPr="00FB3D74" w14:paraId="677F4078" w14:textId="77777777" w:rsidTr="00942E95">
        <w:trPr>
          <w:trHeight w:val="20"/>
        </w:trPr>
        <w:tc>
          <w:tcPr>
            <w:tcW w:w="3823" w:type="dxa"/>
            <w:shd w:val="clear" w:color="auto" w:fill="F2F2F2" w:themeFill="background1" w:themeFillShade="F2"/>
            <w:vAlign w:val="center"/>
          </w:tcPr>
          <w:p w14:paraId="39BB7BE1" w14:textId="081AC96D"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688C3FFA" w14:textId="4DA0457D" w:rsidR="004071CA" w:rsidRPr="00FB3D74" w:rsidRDefault="004071CA" w:rsidP="00942E95">
            <w:pPr>
              <w:rPr>
                <w:rFonts w:cs="Arial"/>
                <w:sz w:val="16"/>
                <w:szCs w:val="16"/>
              </w:rPr>
            </w:pPr>
            <w:r w:rsidRPr="00FB3D74">
              <w:rPr>
                <w:rFonts w:cs="Arial"/>
                <w:sz w:val="16"/>
                <w:szCs w:val="16"/>
              </w:rPr>
              <w:t xml:space="preserve">Las y los colimenses cuentan con un </w:t>
            </w:r>
            <w:r w:rsidR="00D00197" w:rsidRPr="00FB3D74">
              <w:rPr>
                <w:rFonts w:cs="Arial"/>
                <w:sz w:val="16"/>
                <w:szCs w:val="16"/>
              </w:rPr>
              <w:t xml:space="preserve">Órgano Electoral </w:t>
            </w:r>
            <w:r w:rsidRPr="00FB3D74">
              <w:rPr>
                <w:rFonts w:cs="Arial"/>
                <w:sz w:val="16"/>
                <w:szCs w:val="16"/>
              </w:rPr>
              <w:t>de carácter autónomo y permanente que garantice el ejercicio de los derechos políticos-electorales de las y los ciudadanos, así como el fomento de la cultura democrática y la educación cívica de la población en general.</w:t>
            </w:r>
          </w:p>
        </w:tc>
      </w:tr>
      <w:tr w:rsidR="004071CA" w:rsidRPr="00FB3D74" w14:paraId="7049D892" w14:textId="77777777" w:rsidTr="00942E95">
        <w:trPr>
          <w:trHeight w:val="20"/>
        </w:trPr>
        <w:tc>
          <w:tcPr>
            <w:tcW w:w="3823" w:type="dxa"/>
            <w:shd w:val="clear" w:color="auto" w:fill="F2F2F2" w:themeFill="background1" w:themeFillShade="F2"/>
            <w:vAlign w:val="center"/>
          </w:tcPr>
          <w:p w14:paraId="17D935F4"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02F79CDF"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5E571654" w14:textId="77777777" w:rsidTr="00942E95">
        <w:trPr>
          <w:trHeight w:val="20"/>
        </w:trPr>
        <w:tc>
          <w:tcPr>
            <w:tcW w:w="3823" w:type="dxa"/>
            <w:vAlign w:val="center"/>
          </w:tcPr>
          <w:p w14:paraId="5C0656C5" w14:textId="77777777" w:rsidR="004071CA" w:rsidRPr="00FB3D74" w:rsidRDefault="004071CA" w:rsidP="00942E95">
            <w:pPr>
              <w:rPr>
                <w:rFonts w:cs="Arial"/>
                <w:sz w:val="16"/>
                <w:szCs w:val="16"/>
              </w:rPr>
            </w:pPr>
            <w:r w:rsidRPr="00FB3D74">
              <w:rPr>
                <w:rFonts w:cs="Arial"/>
                <w:sz w:val="16"/>
                <w:szCs w:val="16"/>
              </w:rPr>
              <w:t>Cultura cívica, desarrollo de la cultura política democrática y promoción del voto y la participación ciudadana fortalecidas.</w:t>
            </w:r>
          </w:p>
        </w:tc>
        <w:tc>
          <w:tcPr>
            <w:tcW w:w="4992" w:type="dxa"/>
            <w:vAlign w:val="center"/>
          </w:tcPr>
          <w:p w14:paraId="7A3BAC8A" w14:textId="77777777" w:rsidR="004071CA" w:rsidRPr="00FB3D74" w:rsidRDefault="004071CA" w:rsidP="00942E95">
            <w:pPr>
              <w:rPr>
                <w:rFonts w:cs="Arial"/>
                <w:sz w:val="16"/>
                <w:szCs w:val="16"/>
              </w:rPr>
            </w:pPr>
            <w:r w:rsidRPr="00FB3D74">
              <w:rPr>
                <w:rFonts w:cs="Arial"/>
                <w:sz w:val="16"/>
                <w:szCs w:val="16"/>
              </w:rPr>
              <w:t>Cumplir el 100 por ciento de las actividades programadas.</w:t>
            </w:r>
          </w:p>
        </w:tc>
      </w:tr>
      <w:tr w:rsidR="004071CA" w:rsidRPr="00FB3D74" w14:paraId="433E9924" w14:textId="77777777" w:rsidTr="00942E95">
        <w:trPr>
          <w:trHeight w:val="20"/>
        </w:trPr>
        <w:tc>
          <w:tcPr>
            <w:tcW w:w="3823" w:type="dxa"/>
            <w:vAlign w:val="center"/>
          </w:tcPr>
          <w:p w14:paraId="4E007972" w14:textId="77777777" w:rsidR="004071CA" w:rsidRPr="00FB3D74" w:rsidRDefault="004071CA" w:rsidP="00942E95">
            <w:pPr>
              <w:rPr>
                <w:rFonts w:cs="Arial"/>
                <w:sz w:val="16"/>
                <w:szCs w:val="16"/>
              </w:rPr>
            </w:pPr>
            <w:r w:rsidRPr="00FB3D74">
              <w:rPr>
                <w:rFonts w:cs="Arial"/>
                <w:sz w:val="16"/>
                <w:szCs w:val="16"/>
              </w:rPr>
              <w:lastRenderedPageBreak/>
              <w:t>Principio de máxima publicidad cumplido.</w:t>
            </w:r>
          </w:p>
        </w:tc>
        <w:tc>
          <w:tcPr>
            <w:tcW w:w="4992" w:type="dxa"/>
            <w:vAlign w:val="center"/>
          </w:tcPr>
          <w:p w14:paraId="033FD798" w14:textId="77777777" w:rsidR="004071CA" w:rsidRPr="00FB3D74" w:rsidRDefault="004071CA" w:rsidP="00942E95">
            <w:pPr>
              <w:rPr>
                <w:rFonts w:cs="Arial"/>
                <w:sz w:val="16"/>
                <w:szCs w:val="16"/>
              </w:rPr>
            </w:pPr>
            <w:r w:rsidRPr="00FB3D74">
              <w:rPr>
                <w:rFonts w:cs="Arial"/>
                <w:sz w:val="16"/>
                <w:szCs w:val="16"/>
              </w:rPr>
              <w:t>Cumplir el 100 por ciento de las actividades programadas.</w:t>
            </w:r>
          </w:p>
        </w:tc>
      </w:tr>
      <w:tr w:rsidR="004071CA" w:rsidRPr="00FB3D74" w14:paraId="603819B3" w14:textId="77777777" w:rsidTr="00942E95">
        <w:trPr>
          <w:trHeight w:val="20"/>
        </w:trPr>
        <w:tc>
          <w:tcPr>
            <w:tcW w:w="3823" w:type="dxa"/>
            <w:vAlign w:val="center"/>
          </w:tcPr>
          <w:p w14:paraId="5385D963" w14:textId="77777777" w:rsidR="004071CA" w:rsidRPr="00FB3D74" w:rsidRDefault="004071CA" w:rsidP="00942E95">
            <w:pPr>
              <w:rPr>
                <w:rFonts w:cs="Arial"/>
                <w:sz w:val="16"/>
                <w:szCs w:val="16"/>
              </w:rPr>
            </w:pPr>
            <w:r w:rsidRPr="00FB3D74">
              <w:rPr>
                <w:rFonts w:cs="Arial"/>
                <w:sz w:val="16"/>
                <w:szCs w:val="16"/>
              </w:rPr>
              <w:t>Procesos electorales y mecanismos de participación ciudadana realizados con eficacia, que garanticen la participación política de las mujeres de manera paritaria libre de violencia política.</w:t>
            </w:r>
          </w:p>
        </w:tc>
        <w:tc>
          <w:tcPr>
            <w:tcW w:w="4992" w:type="dxa"/>
            <w:vAlign w:val="center"/>
          </w:tcPr>
          <w:p w14:paraId="50F19D9B" w14:textId="77777777" w:rsidR="004071CA" w:rsidRPr="00FB3D74" w:rsidRDefault="004071CA" w:rsidP="00942E95">
            <w:pPr>
              <w:rPr>
                <w:rFonts w:cs="Arial"/>
                <w:sz w:val="16"/>
                <w:szCs w:val="16"/>
              </w:rPr>
            </w:pPr>
            <w:r w:rsidRPr="00FB3D74">
              <w:rPr>
                <w:rFonts w:cs="Arial"/>
                <w:sz w:val="16"/>
                <w:szCs w:val="16"/>
              </w:rPr>
              <w:t>Cumplir el 100 por ciento los mecanismos de participación ciudadana solicitados con el principio de legalidad.</w:t>
            </w:r>
          </w:p>
        </w:tc>
      </w:tr>
      <w:tr w:rsidR="004071CA" w:rsidRPr="00FB3D74" w14:paraId="44A71404" w14:textId="77777777" w:rsidTr="00942E95">
        <w:trPr>
          <w:trHeight w:val="20"/>
        </w:trPr>
        <w:tc>
          <w:tcPr>
            <w:tcW w:w="3823" w:type="dxa"/>
            <w:vAlign w:val="center"/>
          </w:tcPr>
          <w:p w14:paraId="633ED26C" w14:textId="77777777" w:rsidR="004071CA" w:rsidRPr="00FB3D74" w:rsidRDefault="004071CA" w:rsidP="00942E95">
            <w:pPr>
              <w:rPr>
                <w:rFonts w:cs="Arial"/>
                <w:sz w:val="16"/>
                <w:szCs w:val="16"/>
              </w:rPr>
            </w:pPr>
            <w:r w:rsidRPr="00FB3D74">
              <w:rPr>
                <w:rFonts w:cs="Arial"/>
                <w:sz w:val="16"/>
                <w:szCs w:val="16"/>
              </w:rPr>
              <w:t>Eficacia operativa del Instituto Electoral del Estado lograda.</w:t>
            </w:r>
          </w:p>
        </w:tc>
        <w:tc>
          <w:tcPr>
            <w:tcW w:w="4992" w:type="dxa"/>
            <w:vAlign w:val="center"/>
          </w:tcPr>
          <w:p w14:paraId="7C1B76BC" w14:textId="77777777" w:rsidR="004071CA" w:rsidRPr="00FB3D74" w:rsidRDefault="004071CA" w:rsidP="00942E95">
            <w:pPr>
              <w:rPr>
                <w:rFonts w:cs="Arial"/>
                <w:sz w:val="16"/>
                <w:szCs w:val="16"/>
              </w:rPr>
            </w:pPr>
            <w:r w:rsidRPr="00FB3D74">
              <w:rPr>
                <w:rFonts w:cs="Arial"/>
                <w:sz w:val="16"/>
                <w:szCs w:val="16"/>
              </w:rPr>
              <w:t>Cumplir el 100 por ciento de las actividades programadas.</w:t>
            </w:r>
          </w:p>
        </w:tc>
      </w:tr>
      <w:tr w:rsidR="004071CA" w:rsidRPr="00FB3D74" w14:paraId="548D0DA2" w14:textId="77777777" w:rsidTr="00942E95">
        <w:trPr>
          <w:trHeight w:val="20"/>
        </w:trPr>
        <w:tc>
          <w:tcPr>
            <w:tcW w:w="3823" w:type="dxa"/>
            <w:shd w:val="clear" w:color="auto" w:fill="F2F2F2" w:themeFill="background1" w:themeFillShade="F2"/>
            <w:vAlign w:val="center"/>
          </w:tcPr>
          <w:p w14:paraId="58B7B1E5" w14:textId="6086A7BE"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1A30933B" w14:textId="2898F80F" w:rsidR="004071CA" w:rsidRPr="00FB3D74" w:rsidRDefault="004071CA" w:rsidP="00942E95">
            <w:pPr>
              <w:rPr>
                <w:rFonts w:cs="Arial"/>
                <w:b/>
                <w:bCs/>
                <w:sz w:val="16"/>
                <w:szCs w:val="16"/>
              </w:rPr>
            </w:pPr>
            <w:r w:rsidRPr="00FB3D74">
              <w:rPr>
                <w:rFonts w:cs="Arial"/>
                <w:b/>
                <w:bCs/>
                <w:sz w:val="16"/>
                <w:szCs w:val="16"/>
              </w:rPr>
              <w:t>30</w:t>
            </w:r>
            <w:r w:rsidR="00942E95" w:rsidRPr="00FB3D74">
              <w:rPr>
                <w:rFonts w:cs="Arial"/>
                <w:b/>
                <w:bCs/>
                <w:sz w:val="16"/>
                <w:szCs w:val="16"/>
              </w:rPr>
              <w:t>.</w:t>
            </w:r>
          </w:p>
        </w:tc>
      </w:tr>
      <w:tr w:rsidR="004071CA" w:rsidRPr="00FB3D74" w14:paraId="2D42E82D" w14:textId="77777777" w:rsidTr="00942E95">
        <w:trPr>
          <w:trHeight w:val="20"/>
        </w:trPr>
        <w:tc>
          <w:tcPr>
            <w:tcW w:w="3823" w:type="dxa"/>
            <w:shd w:val="clear" w:color="auto" w:fill="F2F2F2" w:themeFill="background1" w:themeFillShade="F2"/>
            <w:vAlign w:val="center"/>
          </w:tcPr>
          <w:p w14:paraId="4250D977" w14:textId="28DE0BCD"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32B38D5D" w14:textId="77777777" w:rsidR="004071CA" w:rsidRPr="00FB3D74" w:rsidRDefault="004071CA" w:rsidP="00942E95">
            <w:pPr>
              <w:rPr>
                <w:rFonts w:cs="Arial"/>
                <w:b/>
                <w:bCs/>
                <w:sz w:val="16"/>
                <w:szCs w:val="16"/>
              </w:rPr>
            </w:pPr>
            <w:r w:rsidRPr="00FB3D74">
              <w:rPr>
                <w:rFonts w:cs="Arial"/>
                <w:b/>
                <w:bCs/>
                <w:sz w:val="16"/>
                <w:szCs w:val="16"/>
              </w:rPr>
              <w:t>Tribunal de Arbitraje y Escalafón.</w:t>
            </w:r>
          </w:p>
        </w:tc>
      </w:tr>
      <w:tr w:rsidR="004071CA" w:rsidRPr="00FB3D74" w14:paraId="302EB126" w14:textId="77777777" w:rsidTr="00942E95">
        <w:trPr>
          <w:trHeight w:val="20"/>
        </w:trPr>
        <w:tc>
          <w:tcPr>
            <w:tcW w:w="3823" w:type="dxa"/>
            <w:shd w:val="clear" w:color="auto" w:fill="F2F2F2" w:themeFill="background1" w:themeFillShade="F2"/>
            <w:vAlign w:val="center"/>
          </w:tcPr>
          <w:p w14:paraId="7AD1D372" w14:textId="697780E6"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5EA9B918" w14:textId="77777777" w:rsidR="004071CA" w:rsidRPr="00FB3D74" w:rsidRDefault="004071CA" w:rsidP="00942E95">
            <w:pPr>
              <w:rPr>
                <w:rFonts w:cs="Arial"/>
                <w:sz w:val="16"/>
                <w:szCs w:val="16"/>
              </w:rPr>
            </w:pPr>
            <w:r w:rsidRPr="00FB3D74">
              <w:rPr>
                <w:rFonts w:cs="Arial"/>
                <w:sz w:val="16"/>
                <w:szCs w:val="16"/>
              </w:rPr>
              <w:t>Los servidores públicos y los entes gubernamentales resuelven sus controversias.</w:t>
            </w:r>
          </w:p>
        </w:tc>
      </w:tr>
      <w:tr w:rsidR="004071CA" w:rsidRPr="00FB3D74" w14:paraId="2F035359" w14:textId="77777777" w:rsidTr="00942E95">
        <w:trPr>
          <w:trHeight w:val="20"/>
        </w:trPr>
        <w:tc>
          <w:tcPr>
            <w:tcW w:w="3823" w:type="dxa"/>
            <w:shd w:val="clear" w:color="auto" w:fill="F2F2F2" w:themeFill="background1" w:themeFillShade="F2"/>
            <w:vAlign w:val="center"/>
          </w:tcPr>
          <w:p w14:paraId="0A4EDA12"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0E10A129"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5430A8FB" w14:textId="77777777" w:rsidTr="00942E95">
        <w:trPr>
          <w:trHeight w:val="20"/>
        </w:trPr>
        <w:tc>
          <w:tcPr>
            <w:tcW w:w="3823" w:type="dxa"/>
            <w:vAlign w:val="center"/>
          </w:tcPr>
          <w:p w14:paraId="2DA152AD" w14:textId="77777777" w:rsidR="004071CA" w:rsidRPr="00FB3D74" w:rsidRDefault="004071CA" w:rsidP="00942E95">
            <w:pPr>
              <w:rPr>
                <w:rFonts w:cs="Arial"/>
                <w:sz w:val="16"/>
                <w:szCs w:val="16"/>
              </w:rPr>
            </w:pPr>
            <w:r w:rsidRPr="00FB3D74">
              <w:rPr>
                <w:rFonts w:cs="Arial"/>
                <w:sz w:val="16"/>
                <w:szCs w:val="16"/>
              </w:rPr>
              <w:t>Coordinación de las acciones para resolver las controversias individuales y colectivas tramitadas.</w:t>
            </w:r>
          </w:p>
        </w:tc>
        <w:tc>
          <w:tcPr>
            <w:tcW w:w="4992" w:type="dxa"/>
            <w:vAlign w:val="center"/>
          </w:tcPr>
          <w:p w14:paraId="20ED8C6B" w14:textId="77777777" w:rsidR="004071CA" w:rsidRPr="00FB3D74" w:rsidRDefault="004071CA" w:rsidP="00942E95">
            <w:pPr>
              <w:rPr>
                <w:rFonts w:cs="Arial"/>
                <w:sz w:val="16"/>
                <w:szCs w:val="16"/>
              </w:rPr>
            </w:pPr>
            <w:r w:rsidRPr="00FB3D74">
              <w:rPr>
                <w:rFonts w:cs="Arial"/>
                <w:sz w:val="16"/>
                <w:szCs w:val="16"/>
              </w:rPr>
              <w:t>Atender 320 demandas en el presente ejercicio.</w:t>
            </w:r>
          </w:p>
        </w:tc>
      </w:tr>
      <w:tr w:rsidR="004071CA" w:rsidRPr="00FB3D74" w14:paraId="0BAE4A5B" w14:textId="77777777" w:rsidTr="00942E95">
        <w:trPr>
          <w:trHeight w:val="20"/>
        </w:trPr>
        <w:tc>
          <w:tcPr>
            <w:tcW w:w="3823" w:type="dxa"/>
            <w:shd w:val="clear" w:color="auto" w:fill="F2F2F2" w:themeFill="background1" w:themeFillShade="F2"/>
            <w:vAlign w:val="center"/>
          </w:tcPr>
          <w:p w14:paraId="69CF834B" w14:textId="0F711EA2"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58ECB37B" w14:textId="74A8FF8E" w:rsidR="004071CA" w:rsidRPr="00FB3D74" w:rsidRDefault="004071CA" w:rsidP="00942E95">
            <w:pPr>
              <w:rPr>
                <w:rFonts w:cs="Arial"/>
                <w:b/>
                <w:bCs/>
                <w:sz w:val="16"/>
                <w:szCs w:val="16"/>
              </w:rPr>
            </w:pPr>
            <w:r w:rsidRPr="00FB3D74">
              <w:rPr>
                <w:rFonts w:cs="Arial"/>
                <w:b/>
                <w:bCs/>
                <w:sz w:val="16"/>
                <w:szCs w:val="16"/>
              </w:rPr>
              <w:t>31</w:t>
            </w:r>
            <w:r w:rsidR="00942E95" w:rsidRPr="00FB3D74">
              <w:rPr>
                <w:rFonts w:cs="Arial"/>
                <w:b/>
                <w:bCs/>
                <w:sz w:val="16"/>
                <w:szCs w:val="16"/>
              </w:rPr>
              <w:t>.</w:t>
            </w:r>
          </w:p>
        </w:tc>
      </w:tr>
      <w:tr w:rsidR="004071CA" w:rsidRPr="00FB3D74" w14:paraId="2E95DB3A" w14:textId="77777777" w:rsidTr="00942E95">
        <w:trPr>
          <w:trHeight w:val="20"/>
        </w:trPr>
        <w:tc>
          <w:tcPr>
            <w:tcW w:w="3823" w:type="dxa"/>
            <w:shd w:val="clear" w:color="auto" w:fill="F2F2F2" w:themeFill="background1" w:themeFillShade="F2"/>
            <w:vAlign w:val="center"/>
          </w:tcPr>
          <w:p w14:paraId="38674247" w14:textId="01B0F5C3"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6C6660A0" w14:textId="77777777" w:rsidR="004071CA" w:rsidRPr="00FB3D74" w:rsidRDefault="004071CA" w:rsidP="00942E95">
            <w:pPr>
              <w:rPr>
                <w:rFonts w:cs="Arial"/>
                <w:b/>
                <w:bCs/>
                <w:sz w:val="16"/>
                <w:szCs w:val="16"/>
              </w:rPr>
            </w:pPr>
            <w:r w:rsidRPr="00FB3D74">
              <w:rPr>
                <w:rFonts w:cs="Arial"/>
                <w:b/>
                <w:bCs/>
                <w:sz w:val="16"/>
                <w:szCs w:val="16"/>
              </w:rPr>
              <w:t>Tribunal de Justicia Administrativa del Estado de Colima.</w:t>
            </w:r>
          </w:p>
        </w:tc>
      </w:tr>
      <w:tr w:rsidR="004071CA" w:rsidRPr="00FB3D74" w14:paraId="4AC24B90" w14:textId="77777777" w:rsidTr="00942E95">
        <w:trPr>
          <w:trHeight w:val="20"/>
        </w:trPr>
        <w:tc>
          <w:tcPr>
            <w:tcW w:w="3823" w:type="dxa"/>
            <w:shd w:val="clear" w:color="auto" w:fill="F2F2F2" w:themeFill="background1" w:themeFillShade="F2"/>
            <w:vAlign w:val="center"/>
          </w:tcPr>
          <w:p w14:paraId="460818B6" w14:textId="7CD0E332"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3FA8D363" w14:textId="77777777" w:rsidR="004071CA" w:rsidRPr="00FB3D74" w:rsidRDefault="004071CA" w:rsidP="00942E95">
            <w:pPr>
              <w:rPr>
                <w:rFonts w:cs="Arial"/>
                <w:sz w:val="16"/>
                <w:szCs w:val="16"/>
              </w:rPr>
            </w:pPr>
            <w:r w:rsidRPr="00FB3D74">
              <w:rPr>
                <w:rFonts w:cs="Arial"/>
                <w:sz w:val="16"/>
                <w:szCs w:val="16"/>
              </w:rPr>
              <w:t>Las personas físicas o morales reciben impartición de justicia fiscal, administrativa y de responsabilidades de servidores públicos.</w:t>
            </w:r>
          </w:p>
        </w:tc>
      </w:tr>
      <w:tr w:rsidR="004071CA" w:rsidRPr="00FB3D74" w14:paraId="64DCDF35" w14:textId="77777777" w:rsidTr="00942E95">
        <w:trPr>
          <w:trHeight w:val="20"/>
        </w:trPr>
        <w:tc>
          <w:tcPr>
            <w:tcW w:w="3823" w:type="dxa"/>
            <w:shd w:val="clear" w:color="auto" w:fill="F2F2F2" w:themeFill="background1" w:themeFillShade="F2"/>
            <w:vAlign w:val="center"/>
          </w:tcPr>
          <w:p w14:paraId="1AD9C1E9"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2EF0BF05"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02324B33" w14:textId="77777777" w:rsidTr="00942E95">
        <w:trPr>
          <w:trHeight w:val="20"/>
        </w:trPr>
        <w:tc>
          <w:tcPr>
            <w:tcW w:w="3823" w:type="dxa"/>
            <w:vAlign w:val="center"/>
          </w:tcPr>
          <w:p w14:paraId="086BDD88" w14:textId="77777777" w:rsidR="004071CA" w:rsidRPr="00FB3D74" w:rsidRDefault="004071CA" w:rsidP="00942E95">
            <w:pPr>
              <w:rPr>
                <w:rFonts w:cs="Arial"/>
                <w:sz w:val="16"/>
                <w:szCs w:val="16"/>
              </w:rPr>
            </w:pPr>
            <w:r w:rsidRPr="00FB3D74">
              <w:rPr>
                <w:rFonts w:cs="Arial"/>
                <w:sz w:val="16"/>
                <w:szCs w:val="16"/>
              </w:rPr>
              <w:t>Atribuciones constitucionales y legales cumplidas.</w:t>
            </w:r>
          </w:p>
        </w:tc>
        <w:tc>
          <w:tcPr>
            <w:tcW w:w="4992" w:type="dxa"/>
            <w:vAlign w:val="center"/>
          </w:tcPr>
          <w:p w14:paraId="2D1E65C0" w14:textId="77777777" w:rsidR="004071CA" w:rsidRPr="00FB3D74" w:rsidRDefault="004071CA" w:rsidP="00942E95">
            <w:pPr>
              <w:rPr>
                <w:rFonts w:cs="Arial"/>
                <w:sz w:val="16"/>
                <w:szCs w:val="16"/>
              </w:rPr>
            </w:pPr>
            <w:r w:rsidRPr="00FB3D74">
              <w:rPr>
                <w:rFonts w:cs="Arial"/>
                <w:sz w:val="16"/>
                <w:szCs w:val="16"/>
              </w:rPr>
              <w:t>Alcanzar un total de 550 expedientes concluidos.</w:t>
            </w:r>
          </w:p>
        </w:tc>
      </w:tr>
      <w:tr w:rsidR="004071CA" w:rsidRPr="00FB3D74" w14:paraId="431D4EF4" w14:textId="77777777" w:rsidTr="00942E95">
        <w:trPr>
          <w:trHeight w:val="20"/>
        </w:trPr>
        <w:tc>
          <w:tcPr>
            <w:tcW w:w="3823" w:type="dxa"/>
            <w:shd w:val="clear" w:color="auto" w:fill="F2F2F2" w:themeFill="background1" w:themeFillShade="F2"/>
            <w:vAlign w:val="center"/>
          </w:tcPr>
          <w:p w14:paraId="5E7B8BD6" w14:textId="1260EE3D"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44B0864F" w14:textId="6BFA74C3" w:rsidR="004071CA" w:rsidRPr="00FB3D74" w:rsidRDefault="004071CA" w:rsidP="00942E95">
            <w:pPr>
              <w:rPr>
                <w:rFonts w:cs="Arial"/>
                <w:b/>
                <w:bCs/>
                <w:sz w:val="16"/>
                <w:szCs w:val="16"/>
              </w:rPr>
            </w:pPr>
            <w:r w:rsidRPr="00FB3D74">
              <w:rPr>
                <w:rFonts w:cs="Arial"/>
                <w:b/>
                <w:bCs/>
                <w:sz w:val="16"/>
                <w:szCs w:val="16"/>
              </w:rPr>
              <w:t>32</w:t>
            </w:r>
            <w:r w:rsidR="00942E95" w:rsidRPr="00FB3D74">
              <w:rPr>
                <w:rFonts w:cs="Arial"/>
                <w:b/>
                <w:bCs/>
                <w:sz w:val="16"/>
                <w:szCs w:val="16"/>
              </w:rPr>
              <w:t>.</w:t>
            </w:r>
          </w:p>
        </w:tc>
      </w:tr>
      <w:tr w:rsidR="004071CA" w:rsidRPr="00FB3D74" w14:paraId="4D58BA1F" w14:textId="77777777" w:rsidTr="00942E95">
        <w:trPr>
          <w:trHeight w:val="20"/>
        </w:trPr>
        <w:tc>
          <w:tcPr>
            <w:tcW w:w="3823" w:type="dxa"/>
            <w:shd w:val="clear" w:color="auto" w:fill="F2F2F2" w:themeFill="background1" w:themeFillShade="F2"/>
            <w:vAlign w:val="center"/>
          </w:tcPr>
          <w:p w14:paraId="566AC0B4" w14:textId="2BA0532F"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586F9FF7" w14:textId="77777777" w:rsidR="004071CA" w:rsidRPr="00FB3D74" w:rsidRDefault="004071CA" w:rsidP="00942E95">
            <w:pPr>
              <w:rPr>
                <w:rFonts w:cs="Arial"/>
                <w:b/>
                <w:bCs/>
                <w:sz w:val="16"/>
                <w:szCs w:val="16"/>
              </w:rPr>
            </w:pPr>
            <w:r w:rsidRPr="00FB3D74">
              <w:rPr>
                <w:rFonts w:cs="Arial"/>
                <w:b/>
                <w:bCs/>
                <w:sz w:val="16"/>
                <w:szCs w:val="16"/>
              </w:rPr>
              <w:t>Secretariado Ejecutivo del Sistema Estatal de Seguridad Pública (C4).</w:t>
            </w:r>
          </w:p>
        </w:tc>
      </w:tr>
      <w:tr w:rsidR="004071CA" w:rsidRPr="00FB3D74" w14:paraId="2B574399" w14:textId="77777777" w:rsidTr="00942E95">
        <w:trPr>
          <w:trHeight w:val="20"/>
        </w:trPr>
        <w:tc>
          <w:tcPr>
            <w:tcW w:w="3823" w:type="dxa"/>
            <w:shd w:val="clear" w:color="auto" w:fill="F2F2F2" w:themeFill="background1" w:themeFillShade="F2"/>
            <w:vAlign w:val="center"/>
          </w:tcPr>
          <w:p w14:paraId="5FE9069C" w14:textId="40A3EE51"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09AF763A" w14:textId="7254AE4C" w:rsidR="004071CA" w:rsidRPr="00FB3D74" w:rsidRDefault="004071CA" w:rsidP="00942E95">
            <w:pPr>
              <w:rPr>
                <w:rFonts w:cs="Arial"/>
                <w:sz w:val="16"/>
                <w:szCs w:val="16"/>
              </w:rPr>
            </w:pPr>
            <w:r w:rsidRPr="00FB3D74">
              <w:rPr>
                <w:rFonts w:cs="Arial"/>
                <w:sz w:val="16"/>
                <w:szCs w:val="16"/>
              </w:rPr>
              <w:t xml:space="preserve">Las instituciones de seguridad pública en el </w:t>
            </w:r>
            <w:r w:rsidR="000405D6" w:rsidRPr="00FB3D74">
              <w:rPr>
                <w:rFonts w:cs="Arial"/>
                <w:sz w:val="16"/>
                <w:szCs w:val="16"/>
              </w:rPr>
              <w:t xml:space="preserve">Estado </w:t>
            </w:r>
            <w:r w:rsidRPr="00FB3D74">
              <w:rPr>
                <w:rFonts w:cs="Arial"/>
                <w:sz w:val="16"/>
                <w:szCs w:val="16"/>
              </w:rPr>
              <w:t>de Colima cuentan con el apoyo institucional necesario para su fortalecimiento, modernización y equipamiento.</w:t>
            </w:r>
          </w:p>
        </w:tc>
      </w:tr>
      <w:tr w:rsidR="004071CA" w:rsidRPr="00FB3D74" w14:paraId="726F4B2C" w14:textId="77777777" w:rsidTr="00942E95">
        <w:trPr>
          <w:trHeight w:val="20"/>
        </w:trPr>
        <w:tc>
          <w:tcPr>
            <w:tcW w:w="3823" w:type="dxa"/>
            <w:shd w:val="clear" w:color="auto" w:fill="F2F2F2" w:themeFill="background1" w:themeFillShade="F2"/>
            <w:vAlign w:val="center"/>
          </w:tcPr>
          <w:p w14:paraId="4DC904B8"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33C6F344"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2B4BA9F4" w14:textId="77777777" w:rsidTr="00942E95">
        <w:trPr>
          <w:trHeight w:val="20"/>
        </w:trPr>
        <w:tc>
          <w:tcPr>
            <w:tcW w:w="3823" w:type="dxa"/>
            <w:vAlign w:val="center"/>
          </w:tcPr>
          <w:p w14:paraId="32A3BE29" w14:textId="77777777" w:rsidR="004071CA" w:rsidRPr="00FB3D74" w:rsidRDefault="004071CA" w:rsidP="00942E95">
            <w:pPr>
              <w:rPr>
                <w:rFonts w:cs="Arial"/>
                <w:sz w:val="16"/>
                <w:szCs w:val="16"/>
              </w:rPr>
            </w:pPr>
            <w:r w:rsidRPr="00FB3D74">
              <w:rPr>
                <w:rFonts w:cs="Arial"/>
                <w:sz w:val="16"/>
                <w:szCs w:val="16"/>
              </w:rPr>
              <w:t>Recursos federales para el fortalecimiento, modernización y equipamiento de las instituciones estatales de seguridad pública ejercidos.</w:t>
            </w:r>
          </w:p>
        </w:tc>
        <w:tc>
          <w:tcPr>
            <w:tcW w:w="4992" w:type="dxa"/>
            <w:vAlign w:val="center"/>
          </w:tcPr>
          <w:p w14:paraId="4EC30961" w14:textId="77777777" w:rsidR="004071CA" w:rsidRPr="00FB3D74" w:rsidRDefault="004071CA" w:rsidP="00942E95">
            <w:pPr>
              <w:rPr>
                <w:rFonts w:cs="Arial"/>
                <w:sz w:val="16"/>
                <w:szCs w:val="16"/>
              </w:rPr>
            </w:pPr>
            <w:r w:rsidRPr="00FB3D74">
              <w:rPr>
                <w:rFonts w:cs="Arial"/>
                <w:sz w:val="16"/>
                <w:szCs w:val="16"/>
              </w:rPr>
              <w:t>Lograr el 100 por ciento de metas físicas convenida.</w:t>
            </w:r>
          </w:p>
        </w:tc>
      </w:tr>
      <w:tr w:rsidR="004071CA" w:rsidRPr="00FB3D74" w14:paraId="14E6F910" w14:textId="77777777" w:rsidTr="00942E95">
        <w:trPr>
          <w:trHeight w:val="20"/>
        </w:trPr>
        <w:tc>
          <w:tcPr>
            <w:tcW w:w="3823" w:type="dxa"/>
            <w:vAlign w:val="center"/>
          </w:tcPr>
          <w:p w14:paraId="10C3B5B5" w14:textId="77777777" w:rsidR="004071CA" w:rsidRPr="00FB3D74" w:rsidRDefault="004071CA" w:rsidP="00942E95">
            <w:pPr>
              <w:rPr>
                <w:rFonts w:cs="Arial"/>
                <w:sz w:val="16"/>
                <w:szCs w:val="16"/>
              </w:rPr>
            </w:pPr>
            <w:r w:rsidRPr="00FB3D74">
              <w:rPr>
                <w:rFonts w:cs="Arial"/>
                <w:sz w:val="16"/>
                <w:szCs w:val="16"/>
              </w:rPr>
              <w:t>Acciones de coordinación de seguridad pública desempeñadas.</w:t>
            </w:r>
          </w:p>
        </w:tc>
        <w:tc>
          <w:tcPr>
            <w:tcW w:w="4992" w:type="dxa"/>
            <w:vAlign w:val="center"/>
          </w:tcPr>
          <w:p w14:paraId="3F1E9FD8" w14:textId="77777777" w:rsidR="004071CA" w:rsidRPr="00FB3D74" w:rsidRDefault="004071CA" w:rsidP="00942E95">
            <w:pPr>
              <w:rPr>
                <w:rFonts w:cs="Arial"/>
                <w:sz w:val="16"/>
                <w:szCs w:val="16"/>
              </w:rPr>
            </w:pPr>
            <w:r w:rsidRPr="00FB3D74">
              <w:rPr>
                <w:rFonts w:cs="Arial"/>
                <w:sz w:val="16"/>
                <w:szCs w:val="16"/>
              </w:rPr>
              <w:t xml:space="preserve">Porcentaje de recursos ejercidos para el desempeño de funciones en materia de seguridad pública. </w:t>
            </w:r>
          </w:p>
        </w:tc>
      </w:tr>
      <w:tr w:rsidR="004071CA" w:rsidRPr="00FB3D74" w14:paraId="26317623" w14:textId="77777777" w:rsidTr="00942E95">
        <w:trPr>
          <w:trHeight w:val="20"/>
        </w:trPr>
        <w:tc>
          <w:tcPr>
            <w:tcW w:w="3823" w:type="dxa"/>
            <w:vAlign w:val="center"/>
          </w:tcPr>
          <w:p w14:paraId="7BED9B3F" w14:textId="29BB7432" w:rsidR="004071CA" w:rsidRPr="00FB3D74" w:rsidRDefault="004071CA" w:rsidP="00942E95">
            <w:pPr>
              <w:rPr>
                <w:rFonts w:cs="Arial"/>
                <w:sz w:val="16"/>
                <w:szCs w:val="16"/>
              </w:rPr>
            </w:pPr>
            <w:r w:rsidRPr="00FB3D74">
              <w:rPr>
                <w:rFonts w:cs="Arial"/>
                <w:sz w:val="16"/>
                <w:szCs w:val="16"/>
              </w:rPr>
              <w:t xml:space="preserve">Acciones de </w:t>
            </w:r>
            <w:r w:rsidR="000405D6" w:rsidRPr="00FB3D74">
              <w:rPr>
                <w:rFonts w:cs="Arial"/>
                <w:sz w:val="16"/>
                <w:szCs w:val="16"/>
              </w:rPr>
              <w:t xml:space="preserve">fortalecimiento </w:t>
            </w:r>
            <w:r w:rsidRPr="00FB3D74">
              <w:rPr>
                <w:rFonts w:cs="Arial"/>
                <w:sz w:val="16"/>
                <w:szCs w:val="16"/>
              </w:rPr>
              <w:t>de las instituciones de seguridad pública estatales y municipales, mediante la certificación, profesionalización, y el equipamiento de los elementos policiales y el fortalecimiento tecnológico de equipo e infraestructura de las instituciones de seguridad pública, ejecutadas.</w:t>
            </w:r>
          </w:p>
        </w:tc>
        <w:tc>
          <w:tcPr>
            <w:tcW w:w="4992" w:type="dxa"/>
            <w:vAlign w:val="center"/>
          </w:tcPr>
          <w:p w14:paraId="6569C82E" w14:textId="77777777" w:rsidR="004071CA" w:rsidRPr="00FB3D74" w:rsidRDefault="004071CA" w:rsidP="00942E95">
            <w:pPr>
              <w:rPr>
                <w:rFonts w:cs="Arial"/>
                <w:sz w:val="16"/>
                <w:szCs w:val="16"/>
              </w:rPr>
            </w:pPr>
            <w:r w:rsidRPr="00FB3D74">
              <w:rPr>
                <w:rFonts w:cs="Arial"/>
                <w:sz w:val="16"/>
                <w:szCs w:val="16"/>
              </w:rPr>
              <w:t>Porcentaje de cumplimiento de metas del FOFISP establecidas para la entidad (427.00).</w:t>
            </w:r>
          </w:p>
        </w:tc>
      </w:tr>
      <w:tr w:rsidR="004071CA" w:rsidRPr="00FB3D74" w14:paraId="7D7A8E87" w14:textId="77777777" w:rsidTr="00942E95">
        <w:trPr>
          <w:trHeight w:val="20"/>
        </w:trPr>
        <w:tc>
          <w:tcPr>
            <w:tcW w:w="3823" w:type="dxa"/>
            <w:shd w:val="clear" w:color="auto" w:fill="F2F2F2" w:themeFill="background1" w:themeFillShade="F2"/>
            <w:vAlign w:val="center"/>
          </w:tcPr>
          <w:p w14:paraId="528DE5FE" w14:textId="025E46CB"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28BD33D7" w14:textId="57CA8374" w:rsidR="004071CA" w:rsidRPr="00FB3D74" w:rsidRDefault="004071CA" w:rsidP="00942E95">
            <w:pPr>
              <w:rPr>
                <w:rFonts w:cs="Arial"/>
                <w:b/>
                <w:bCs/>
                <w:sz w:val="16"/>
                <w:szCs w:val="16"/>
              </w:rPr>
            </w:pPr>
            <w:r w:rsidRPr="00FB3D74">
              <w:rPr>
                <w:rFonts w:cs="Arial"/>
                <w:b/>
                <w:bCs/>
                <w:sz w:val="16"/>
                <w:szCs w:val="16"/>
              </w:rPr>
              <w:t>33</w:t>
            </w:r>
            <w:r w:rsidR="00942E95" w:rsidRPr="00FB3D74">
              <w:rPr>
                <w:rFonts w:cs="Arial"/>
                <w:b/>
                <w:bCs/>
                <w:sz w:val="16"/>
                <w:szCs w:val="16"/>
              </w:rPr>
              <w:t>.</w:t>
            </w:r>
          </w:p>
        </w:tc>
      </w:tr>
      <w:tr w:rsidR="004071CA" w:rsidRPr="00FB3D74" w14:paraId="2E189C04" w14:textId="77777777" w:rsidTr="00942E95">
        <w:trPr>
          <w:trHeight w:val="20"/>
        </w:trPr>
        <w:tc>
          <w:tcPr>
            <w:tcW w:w="3823" w:type="dxa"/>
            <w:shd w:val="clear" w:color="auto" w:fill="F2F2F2" w:themeFill="background1" w:themeFillShade="F2"/>
            <w:vAlign w:val="center"/>
          </w:tcPr>
          <w:p w14:paraId="61BABF8F" w14:textId="75CE873A"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5453CE27" w14:textId="77777777" w:rsidR="004071CA" w:rsidRPr="00FB3D74" w:rsidRDefault="004071CA" w:rsidP="00942E95">
            <w:pPr>
              <w:rPr>
                <w:rFonts w:cs="Arial"/>
                <w:b/>
                <w:bCs/>
                <w:sz w:val="16"/>
                <w:szCs w:val="16"/>
              </w:rPr>
            </w:pPr>
            <w:r w:rsidRPr="00FB3D74">
              <w:rPr>
                <w:rFonts w:cs="Arial"/>
                <w:b/>
                <w:bCs/>
                <w:sz w:val="16"/>
                <w:szCs w:val="16"/>
              </w:rPr>
              <w:t>Secretaría de Seguridad Pública.</w:t>
            </w:r>
          </w:p>
        </w:tc>
      </w:tr>
      <w:tr w:rsidR="004071CA" w:rsidRPr="00FB3D74" w14:paraId="092719C8" w14:textId="77777777" w:rsidTr="00942E95">
        <w:trPr>
          <w:trHeight w:val="20"/>
        </w:trPr>
        <w:tc>
          <w:tcPr>
            <w:tcW w:w="3823" w:type="dxa"/>
            <w:shd w:val="clear" w:color="auto" w:fill="F2F2F2" w:themeFill="background1" w:themeFillShade="F2"/>
            <w:vAlign w:val="center"/>
          </w:tcPr>
          <w:p w14:paraId="012603DF" w14:textId="0F269FBB"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2A6F4141" w14:textId="77777777" w:rsidR="004071CA" w:rsidRPr="00FB3D74" w:rsidRDefault="004071CA" w:rsidP="00942E95">
            <w:pPr>
              <w:rPr>
                <w:rFonts w:cs="Arial"/>
                <w:sz w:val="16"/>
                <w:szCs w:val="16"/>
              </w:rPr>
            </w:pPr>
            <w:r w:rsidRPr="00FB3D74">
              <w:rPr>
                <w:rFonts w:cs="Arial"/>
                <w:sz w:val="16"/>
                <w:szCs w:val="16"/>
              </w:rPr>
              <w:t>La población del Estado de Colima goza de seguridad pública.</w:t>
            </w:r>
          </w:p>
        </w:tc>
      </w:tr>
      <w:tr w:rsidR="004071CA" w:rsidRPr="00FB3D74" w14:paraId="59A0D7EF" w14:textId="77777777" w:rsidTr="00942E95">
        <w:trPr>
          <w:trHeight w:val="20"/>
        </w:trPr>
        <w:tc>
          <w:tcPr>
            <w:tcW w:w="3823" w:type="dxa"/>
            <w:shd w:val="clear" w:color="auto" w:fill="F2F2F2" w:themeFill="background1" w:themeFillShade="F2"/>
            <w:vAlign w:val="center"/>
          </w:tcPr>
          <w:p w14:paraId="3C14D15B"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05B05B07"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1DA576D4" w14:textId="77777777" w:rsidTr="00942E95">
        <w:trPr>
          <w:trHeight w:val="20"/>
        </w:trPr>
        <w:tc>
          <w:tcPr>
            <w:tcW w:w="3823" w:type="dxa"/>
            <w:vAlign w:val="center"/>
          </w:tcPr>
          <w:p w14:paraId="0A88D51A" w14:textId="77777777" w:rsidR="004071CA" w:rsidRPr="00FB3D74" w:rsidRDefault="004071CA" w:rsidP="00942E95">
            <w:pPr>
              <w:rPr>
                <w:rFonts w:cs="Arial"/>
                <w:sz w:val="16"/>
                <w:szCs w:val="16"/>
              </w:rPr>
            </w:pPr>
            <w:r w:rsidRPr="00FB3D74">
              <w:rPr>
                <w:rFonts w:cs="Arial"/>
                <w:sz w:val="16"/>
                <w:szCs w:val="16"/>
              </w:rPr>
              <w:t>Aplicación de beneficios para el fortalecimiento de las capacidades operativas de la Policía Estatal Preventiva, proporcionados.</w:t>
            </w:r>
          </w:p>
        </w:tc>
        <w:tc>
          <w:tcPr>
            <w:tcW w:w="4992" w:type="dxa"/>
            <w:vAlign w:val="center"/>
          </w:tcPr>
          <w:p w14:paraId="3E6401CA" w14:textId="77777777" w:rsidR="004071CA" w:rsidRPr="00FB3D74" w:rsidRDefault="004071CA" w:rsidP="00942E95">
            <w:pPr>
              <w:rPr>
                <w:rFonts w:cs="Arial"/>
                <w:sz w:val="16"/>
                <w:szCs w:val="16"/>
              </w:rPr>
            </w:pPr>
            <w:r w:rsidRPr="00FB3D74">
              <w:rPr>
                <w:rFonts w:cs="Arial"/>
                <w:sz w:val="16"/>
                <w:szCs w:val="16"/>
              </w:rPr>
              <w:t>Cumplir con al menos 13 beneficios de los 21 que establece el MNPJC al 2025.</w:t>
            </w:r>
          </w:p>
        </w:tc>
      </w:tr>
      <w:tr w:rsidR="004071CA" w:rsidRPr="00FB3D74" w14:paraId="54F9A230" w14:textId="77777777" w:rsidTr="00942E95">
        <w:trPr>
          <w:trHeight w:val="20"/>
        </w:trPr>
        <w:tc>
          <w:tcPr>
            <w:tcW w:w="3823" w:type="dxa"/>
            <w:vAlign w:val="center"/>
          </w:tcPr>
          <w:p w14:paraId="6FCC71B0" w14:textId="77777777" w:rsidR="004071CA" w:rsidRPr="00FB3D74" w:rsidRDefault="004071CA" w:rsidP="00942E95">
            <w:pPr>
              <w:rPr>
                <w:rFonts w:cs="Arial"/>
                <w:sz w:val="16"/>
                <w:szCs w:val="16"/>
              </w:rPr>
            </w:pPr>
            <w:r w:rsidRPr="00FB3D74">
              <w:rPr>
                <w:rFonts w:cs="Arial"/>
                <w:sz w:val="16"/>
                <w:szCs w:val="16"/>
              </w:rPr>
              <w:t>Ejecución de operativos de seguridad y vigilancia por parte de la Policía Estatal, realizados.</w:t>
            </w:r>
          </w:p>
        </w:tc>
        <w:tc>
          <w:tcPr>
            <w:tcW w:w="4992" w:type="dxa"/>
            <w:vAlign w:val="center"/>
          </w:tcPr>
          <w:p w14:paraId="11326281" w14:textId="52DBA1A4" w:rsidR="004071CA" w:rsidRPr="00FB3D74" w:rsidRDefault="004071CA" w:rsidP="00942E95">
            <w:pPr>
              <w:rPr>
                <w:rFonts w:cs="Arial"/>
                <w:sz w:val="16"/>
                <w:szCs w:val="16"/>
              </w:rPr>
            </w:pPr>
            <w:r w:rsidRPr="00FB3D74">
              <w:rPr>
                <w:rFonts w:cs="Arial"/>
                <w:sz w:val="16"/>
                <w:szCs w:val="16"/>
              </w:rPr>
              <w:t xml:space="preserve">Participar al 100 por ciento en los Operativos realizados por la Policía Estatal y en </w:t>
            </w:r>
            <w:r w:rsidR="000405D6" w:rsidRPr="00FB3D74">
              <w:rPr>
                <w:rFonts w:cs="Arial"/>
                <w:sz w:val="16"/>
                <w:szCs w:val="16"/>
              </w:rPr>
              <w:t xml:space="preserve">conjunto </w:t>
            </w:r>
            <w:r w:rsidRPr="00FB3D74">
              <w:rPr>
                <w:rFonts w:cs="Arial"/>
                <w:sz w:val="16"/>
                <w:szCs w:val="16"/>
              </w:rPr>
              <w:t>en 2025, es decir, un aproximado de 11,987.</w:t>
            </w:r>
          </w:p>
        </w:tc>
      </w:tr>
      <w:tr w:rsidR="004071CA" w:rsidRPr="00FB3D74" w14:paraId="60FDBEE4" w14:textId="77777777" w:rsidTr="00942E95">
        <w:trPr>
          <w:trHeight w:val="20"/>
        </w:trPr>
        <w:tc>
          <w:tcPr>
            <w:tcW w:w="3823" w:type="dxa"/>
            <w:vAlign w:val="center"/>
          </w:tcPr>
          <w:p w14:paraId="07CFF58A" w14:textId="4F3A7873" w:rsidR="004071CA" w:rsidRPr="00FB3D74" w:rsidRDefault="004071CA" w:rsidP="00942E95">
            <w:pPr>
              <w:rPr>
                <w:rFonts w:cs="Arial"/>
                <w:sz w:val="16"/>
                <w:szCs w:val="16"/>
              </w:rPr>
            </w:pPr>
            <w:r w:rsidRPr="00FB3D74">
              <w:rPr>
                <w:rFonts w:cs="Arial"/>
                <w:sz w:val="16"/>
                <w:szCs w:val="16"/>
              </w:rPr>
              <w:t xml:space="preserve">Personas </w:t>
            </w:r>
            <w:r w:rsidR="000405D6" w:rsidRPr="00FB3D74">
              <w:rPr>
                <w:rFonts w:cs="Arial"/>
                <w:sz w:val="16"/>
                <w:szCs w:val="16"/>
              </w:rPr>
              <w:t xml:space="preserve">Privadas </w:t>
            </w:r>
            <w:r w:rsidRPr="00FB3D74">
              <w:rPr>
                <w:rFonts w:cs="Arial"/>
                <w:sz w:val="16"/>
                <w:szCs w:val="16"/>
              </w:rPr>
              <w:t xml:space="preserve">de la </w:t>
            </w:r>
            <w:r w:rsidR="000405D6" w:rsidRPr="00FB3D74">
              <w:rPr>
                <w:rFonts w:cs="Arial"/>
                <w:sz w:val="16"/>
                <w:szCs w:val="16"/>
              </w:rPr>
              <w:t xml:space="preserve">Libertad </w:t>
            </w:r>
            <w:r w:rsidRPr="00FB3D74">
              <w:rPr>
                <w:rFonts w:cs="Arial"/>
                <w:sz w:val="16"/>
                <w:szCs w:val="16"/>
              </w:rPr>
              <w:t>(PPL) con actividades del Modelo Integral de Reinserción Social, reinsertadas.</w:t>
            </w:r>
          </w:p>
        </w:tc>
        <w:tc>
          <w:tcPr>
            <w:tcW w:w="4992" w:type="dxa"/>
            <w:vAlign w:val="center"/>
          </w:tcPr>
          <w:p w14:paraId="500B6A67" w14:textId="5D3DD13E" w:rsidR="004071CA" w:rsidRPr="00FB3D74" w:rsidRDefault="004071CA" w:rsidP="00942E95">
            <w:pPr>
              <w:rPr>
                <w:rFonts w:cs="Arial"/>
                <w:sz w:val="16"/>
                <w:szCs w:val="16"/>
              </w:rPr>
            </w:pPr>
            <w:r w:rsidRPr="00FB3D74">
              <w:rPr>
                <w:rFonts w:cs="Arial"/>
                <w:sz w:val="16"/>
                <w:szCs w:val="16"/>
              </w:rPr>
              <w:t xml:space="preserve">Reinsertar al 100 por ciento de las </w:t>
            </w:r>
            <w:r w:rsidR="000405D6" w:rsidRPr="00FB3D74">
              <w:rPr>
                <w:rFonts w:cs="Arial"/>
                <w:sz w:val="16"/>
                <w:szCs w:val="16"/>
              </w:rPr>
              <w:t>Personas Privadas de la Libertad (</w:t>
            </w:r>
            <w:r w:rsidRPr="00FB3D74">
              <w:rPr>
                <w:rFonts w:cs="Arial"/>
                <w:sz w:val="16"/>
                <w:szCs w:val="16"/>
              </w:rPr>
              <w:t>PPL</w:t>
            </w:r>
            <w:r w:rsidR="000405D6" w:rsidRPr="00FB3D74">
              <w:rPr>
                <w:rFonts w:cs="Arial"/>
                <w:sz w:val="16"/>
                <w:szCs w:val="16"/>
              </w:rPr>
              <w:t>)</w:t>
            </w:r>
            <w:r w:rsidRPr="00FB3D74">
              <w:rPr>
                <w:rFonts w:cs="Arial"/>
                <w:sz w:val="16"/>
                <w:szCs w:val="16"/>
              </w:rPr>
              <w:t xml:space="preserve"> que egresan de los Centros Penitenciarios en la entidad al 2025.</w:t>
            </w:r>
          </w:p>
        </w:tc>
      </w:tr>
      <w:tr w:rsidR="004071CA" w:rsidRPr="00FB3D74" w14:paraId="01241270" w14:textId="77777777" w:rsidTr="00942E95">
        <w:trPr>
          <w:trHeight w:val="20"/>
        </w:trPr>
        <w:tc>
          <w:tcPr>
            <w:tcW w:w="3823" w:type="dxa"/>
            <w:vAlign w:val="center"/>
          </w:tcPr>
          <w:p w14:paraId="019129FE" w14:textId="2791310F" w:rsidR="004071CA" w:rsidRPr="00FB3D74" w:rsidRDefault="004071CA" w:rsidP="00942E95">
            <w:pPr>
              <w:rPr>
                <w:rFonts w:cs="Arial"/>
                <w:sz w:val="16"/>
                <w:szCs w:val="16"/>
              </w:rPr>
            </w:pPr>
            <w:r w:rsidRPr="00FB3D74">
              <w:rPr>
                <w:rFonts w:cs="Arial"/>
                <w:sz w:val="16"/>
                <w:szCs w:val="16"/>
              </w:rPr>
              <w:t>Atención de la Unidad de Medidas Cautelares proporcionadas.</w:t>
            </w:r>
          </w:p>
        </w:tc>
        <w:tc>
          <w:tcPr>
            <w:tcW w:w="4992" w:type="dxa"/>
            <w:vAlign w:val="center"/>
          </w:tcPr>
          <w:p w14:paraId="39049DBC" w14:textId="77777777" w:rsidR="004071CA" w:rsidRPr="00FB3D74" w:rsidRDefault="004071CA" w:rsidP="00942E95">
            <w:pPr>
              <w:rPr>
                <w:rFonts w:cs="Arial"/>
                <w:sz w:val="16"/>
                <w:szCs w:val="16"/>
              </w:rPr>
            </w:pPr>
            <w:r w:rsidRPr="00FB3D74">
              <w:rPr>
                <w:rFonts w:cs="Arial"/>
                <w:sz w:val="16"/>
                <w:szCs w:val="16"/>
              </w:rPr>
              <w:t>Atender el 100 por ciento de los expedientes a través de las UMECAS en 2025, es decir, un aproximado de 3,000.</w:t>
            </w:r>
          </w:p>
        </w:tc>
      </w:tr>
      <w:tr w:rsidR="004071CA" w:rsidRPr="00FB3D74" w14:paraId="1EC0FCF1" w14:textId="77777777" w:rsidTr="00942E95">
        <w:trPr>
          <w:trHeight w:val="20"/>
        </w:trPr>
        <w:tc>
          <w:tcPr>
            <w:tcW w:w="3823" w:type="dxa"/>
            <w:vAlign w:val="center"/>
          </w:tcPr>
          <w:p w14:paraId="5FE40929" w14:textId="77777777" w:rsidR="004071CA" w:rsidRPr="00FB3D74" w:rsidRDefault="004071CA" w:rsidP="00942E95">
            <w:pPr>
              <w:rPr>
                <w:rFonts w:cs="Arial"/>
                <w:sz w:val="16"/>
                <w:szCs w:val="16"/>
              </w:rPr>
            </w:pPr>
            <w:r w:rsidRPr="00FB3D74">
              <w:rPr>
                <w:rFonts w:cs="Arial"/>
                <w:sz w:val="16"/>
                <w:szCs w:val="16"/>
              </w:rPr>
              <w:t>Elementos registrados en desarrollo policial, capacitados.</w:t>
            </w:r>
          </w:p>
        </w:tc>
        <w:tc>
          <w:tcPr>
            <w:tcW w:w="4992" w:type="dxa"/>
            <w:vAlign w:val="center"/>
          </w:tcPr>
          <w:p w14:paraId="4A4045C2" w14:textId="77777777" w:rsidR="004071CA" w:rsidRPr="00FB3D74" w:rsidRDefault="004071CA" w:rsidP="00942E95">
            <w:pPr>
              <w:rPr>
                <w:rFonts w:cs="Arial"/>
                <w:sz w:val="16"/>
                <w:szCs w:val="16"/>
              </w:rPr>
            </w:pPr>
            <w:r w:rsidRPr="00FB3D74">
              <w:rPr>
                <w:rFonts w:cs="Arial"/>
                <w:sz w:val="16"/>
                <w:szCs w:val="16"/>
              </w:rPr>
              <w:t>Registrar a capacitación a 2,000 elementos de las diferentes corporaciones en la entidad al 2025.</w:t>
            </w:r>
          </w:p>
        </w:tc>
      </w:tr>
      <w:tr w:rsidR="004071CA" w:rsidRPr="00FB3D74" w14:paraId="3B1EE52B" w14:textId="77777777" w:rsidTr="00942E95">
        <w:trPr>
          <w:trHeight w:val="20"/>
        </w:trPr>
        <w:tc>
          <w:tcPr>
            <w:tcW w:w="3823" w:type="dxa"/>
            <w:vAlign w:val="center"/>
          </w:tcPr>
          <w:p w14:paraId="6CB47EBE" w14:textId="77777777" w:rsidR="004071CA" w:rsidRPr="00FB3D74" w:rsidRDefault="004071CA" w:rsidP="00942E95">
            <w:pPr>
              <w:rPr>
                <w:rFonts w:cs="Arial"/>
                <w:sz w:val="16"/>
                <w:szCs w:val="16"/>
              </w:rPr>
            </w:pPr>
            <w:r w:rsidRPr="00FB3D74">
              <w:rPr>
                <w:rFonts w:cs="Arial"/>
                <w:sz w:val="16"/>
                <w:szCs w:val="16"/>
              </w:rPr>
              <w:lastRenderedPageBreak/>
              <w:t>Reconocimientos al desempeño académico de policías e instructores, otorgados.</w:t>
            </w:r>
          </w:p>
        </w:tc>
        <w:tc>
          <w:tcPr>
            <w:tcW w:w="4992" w:type="dxa"/>
            <w:vAlign w:val="center"/>
          </w:tcPr>
          <w:p w14:paraId="636F2D04" w14:textId="77777777" w:rsidR="004071CA" w:rsidRPr="00FB3D74" w:rsidRDefault="004071CA" w:rsidP="00942E95">
            <w:pPr>
              <w:rPr>
                <w:rFonts w:cs="Arial"/>
                <w:sz w:val="16"/>
                <w:szCs w:val="16"/>
              </w:rPr>
            </w:pPr>
            <w:r w:rsidRPr="00FB3D74">
              <w:rPr>
                <w:rFonts w:cs="Arial"/>
                <w:sz w:val="16"/>
                <w:szCs w:val="16"/>
              </w:rPr>
              <w:t>Reconocer al menos a 10 elementos entre instructores y policías en 2025.</w:t>
            </w:r>
          </w:p>
        </w:tc>
      </w:tr>
      <w:tr w:rsidR="004071CA" w:rsidRPr="00FB3D74" w14:paraId="3A2AD462" w14:textId="77777777" w:rsidTr="00942E95">
        <w:trPr>
          <w:trHeight w:val="20"/>
        </w:trPr>
        <w:tc>
          <w:tcPr>
            <w:tcW w:w="3823" w:type="dxa"/>
            <w:vAlign w:val="center"/>
          </w:tcPr>
          <w:p w14:paraId="2B4A7FFC" w14:textId="77777777" w:rsidR="004071CA" w:rsidRPr="00FB3D74" w:rsidRDefault="004071CA" w:rsidP="00942E95">
            <w:pPr>
              <w:rPr>
                <w:rFonts w:cs="Arial"/>
                <w:sz w:val="16"/>
                <w:szCs w:val="16"/>
              </w:rPr>
            </w:pPr>
            <w:r w:rsidRPr="00FB3D74">
              <w:rPr>
                <w:rFonts w:cs="Arial"/>
                <w:sz w:val="16"/>
                <w:szCs w:val="16"/>
              </w:rPr>
              <w:t>Supervisión de la ejecución y medidas privativas y de sanción no privativa de la libertad y medidas cautelares o suspensión condicional del proceso, realizadas.</w:t>
            </w:r>
          </w:p>
        </w:tc>
        <w:tc>
          <w:tcPr>
            <w:tcW w:w="4992" w:type="dxa"/>
            <w:vAlign w:val="center"/>
          </w:tcPr>
          <w:p w14:paraId="641CA675" w14:textId="77777777" w:rsidR="004071CA" w:rsidRPr="00FB3D74" w:rsidRDefault="004071CA" w:rsidP="00942E95">
            <w:pPr>
              <w:rPr>
                <w:rFonts w:cs="Arial"/>
                <w:sz w:val="16"/>
                <w:szCs w:val="16"/>
              </w:rPr>
            </w:pPr>
            <w:r w:rsidRPr="00FB3D74">
              <w:rPr>
                <w:rFonts w:cs="Arial"/>
                <w:sz w:val="16"/>
                <w:szCs w:val="16"/>
              </w:rPr>
              <w:t>Cumplir con el seguimiento de al menos 16 ACL registrados al 2025.</w:t>
            </w:r>
          </w:p>
        </w:tc>
      </w:tr>
      <w:tr w:rsidR="004071CA" w:rsidRPr="00FB3D74" w14:paraId="7DB21ED9" w14:textId="77777777" w:rsidTr="00942E95">
        <w:trPr>
          <w:trHeight w:val="20"/>
        </w:trPr>
        <w:tc>
          <w:tcPr>
            <w:tcW w:w="3823" w:type="dxa"/>
            <w:vAlign w:val="center"/>
          </w:tcPr>
          <w:p w14:paraId="18229370" w14:textId="77777777" w:rsidR="004071CA" w:rsidRPr="00FB3D74" w:rsidRDefault="004071CA" w:rsidP="00942E95">
            <w:pPr>
              <w:rPr>
                <w:rFonts w:cs="Arial"/>
                <w:sz w:val="16"/>
                <w:szCs w:val="16"/>
              </w:rPr>
            </w:pPr>
            <w:r w:rsidRPr="00FB3D74">
              <w:rPr>
                <w:rFonts w:cs="Arial"/>
                <w:sz w:val="16"/>
                <w:szCs w:val="16"/>
              </w:rPr>
              <w:t>Acciones de prevención del delito, gestión, capacitación y vinculación social en la Entidad, realizadas.</w:t>
            </w:r>
          </w:p>
        </w:tc>
        <w:tc>
          <w:tcPr>
            <w:tcW w:w="4992" w:type="dxa"/>
            <w:vAlign w:val="center"/>
          </w:tcPr>
          <w:p w14:paraId="017EEF61" w14:textId="77777777" w:rsidR="004071CA" w:rsidRPr="00FB3D74" w:rsidRDefault="004071CA" w:rsidP="00942E95">
            <w:pPr>
              <w:rPr>
                <w:rFonts w:cs="Arial"/>
                <w:sz w:val="16"/>
                <w:szCs w:val="16"/>
              </w:rPr>
            </w:pPr>
            <w:r w:rsidRPr="00FB3D74">
              <w:rPr>
                <w:rFonts w:cs="Arial"/>
                <w:sz w:val="16"/>
                <w:szCs w:val="16"/>
              </w:rPr>
              <w:t>Realizar al menos 600 acciones de vinculación social y prevención del delito en la Entidad en 2025.</w:t>
            </w:r>
          </w:p>
        </w:tc>
      </w:tr>
      <w:tr w:rsidR="004071CA" w:rsidRPr="00FB3D74" w14:paraId="0AB57738" w14:textId="77777777" w:rsidTr="00942E95">
        <w:trPr>
          <w:trHeight w:val="20"/>
        </w:trPr>
        <w:tc>
          <w:tcPr>
            <w:tcW w:w="3823" w:type="dxa"/>
            <w:vAlign w:val="center"/>
          </w:tcPr>
          <w:p w14:paraId="35565708" w14:textId="77777777" w:rsidR="004071CA" w:rsidRPr="00FB3D74" w:rsidRDefault="004071CA" w:rsidP="00942E95">
            <w:pPr>
              <w:rPr>
                <w:rFonts w:cs="Arial"/>
                <w:sz w:val="16"/>
                <w:szCs w:val="16"/>
              </w:rPr>
            </w:pPr>
            <w:r w:rsidRPr="00FB3D74">
              <w:rPr>
                <w:rFonts w:cs="Arial"/>
                <w:sz w:val="16"/>
                <w:szCs w:val="16"/>
              </w:rPr>
              <w:t>Regulación a la operación de las prestadoras de servicios de seguridad privada realizadas.</w:t>
            </w:r>
          </w:p>
        </w:tc>
        <w:tc>
          <w:tcPr>
            <w:tcW w:w="4992" w:type="dxa"/>
            <w:vAlign w:val="center"/>
          </w:tcPr>
          <w:p w14:paraId="4C559803" w14:textId="3D43107F" w:rsidR="004071CA" w:rsidRPr="00FB3D74" w:rsidRDefault="004071CA" w:rsidP="00942E95">
            <w:pPr>
              <w:rPr>
                <w:rFonts w:cs="Arial"/>
                <w:sz w:val="16"/>
                <w:szCs w:val="16"/>
              </w:rPr>
            </w:pPr>
            <w:r w:rsidRPr="00FB3D74">
              <w:rPr>
                <w:rFonts w:cs="Arial"/>
                <w:sz w:val="16"/>
                <w:szCs w:val="16"/>
              </w:rPr>
              <w:t>Cumplir con el 100</w:t>
            </w:r>
            <w:r w:rsidR="000405D6" w:rsidRPr="00FB3D74">
              <w:rPr>
                <w:rFonts w:cs="Arial"/>
                <w:sz w:val="16"/>
                <w:szCs w:val="16"/>
              </w:rPr>
              <w:t xml:space="preserve"> por ciento</w:t>
            </w:r>
            <w:r w:rsidRPr="00FB3D74">
              <w:rPr>
                <w:rFonts w:cs="Arial"/>
                <w:sz w:val="16"/>
                <w:szCs w:val="16"/>
              </w:rPr>
              <w:t xml:space="preserve"> de revalidaciones y autorizaciones de las empresas de seguridad privada registradas.</w:t>
            </w:r>
          </w:p>
        </w:tc>
      </w:tr>
      <w:tr w:rsidR="004071CA" w:rsidRPr="00FB3D74" w14:paraId="382F6F4B" w14:textId="77777777" w:rsidTr="00942E95">
        <w:trPr>
          <w:trHeight w:val="20"/>
        </w:trPr>
        <w:tc>
          <w:tcPr>
            <w:tcW w:w="3823" w:type="dxa"/>
            <w:vAlign w:val="center"/>
          </w:tcPr>
          <w:p w14:paraId="6EAB67CC" w14:textId="77777777" w:rsidR="004071CA" w:rsidRPr="00FB3D74" w:rsidRDefault="004071CA" w:rsidP="00942E95">
            <w:pPr>
              <w:rPr>
                <w:rFonts w:cs="Arial"/>
                <w:sz w:val="16"/>
                <w:szCs w:val="16"/>
              </w:rPr>
            </w:pPr>
            <w:r w:rsidRPr="00FB3D74">
              <w:rPr>
                <w:rFonts w:cs="Arial"/>
                <w:sz w:val="16"/>
                <w:szCs w:val="16"/>
              </w:rPr>
              <w:t>Servicios de seguridad y vigilancia personal o intramuros, armados, no armados y custodia de valores, brindados.</w:t>
            </w:r>
          </w:p>
        </w:tc>
        <w:tc>
          <w:tcPr>
            <w:tcW w:w="4992" w:type="dxa"/>
            <w:vAlign w:val="center"/>
          </w:tcPr>
          <w:p w14:paraId="40B9EFC0" w14:textId="77777777" w:rsidR="004071CA" w:rsidRPr="00FB3D74" w:rsidRDefault="004071CA" w:rsidP="00942E95">
            <w:pPr>
              <w:rPr>
                <w:rFonts w:cs="Arial"/>
                <w:sz w:val="16"/>
                <w:szCs w:val="16"/>
              </w:rPr>
            </w:pPr>
            <w:r w:rsidRPr="00FB3D74">
              <w:rPr>
                <w:rFonts w:cs="Arial"/>
                <w:sz w:val="16"/>
                <w:szCs w:val="16"/>
              </w:rPr>
              <w:t>Cumplir con 23 convenios y/o contratos en 2025.</w:t>
            </w:r>
          </w:p>
        </w:tc>
      </w:tr>
      <w:tr w:rsidR="004071CA" w:rsidRPr="00FB3D74" w14:paraId="75F7A7A0" w14:textId="77777777" w:rsidTr="00942E95">
        <w:trPr>
          <w:trHeight w:val="20"/>
        </w:trPr>
        <w:tc>
          <w:tcPr>
            <w:tcW w:w="3823" w:type="dxa"/>
            <w:vAlign w:val="center"/>
          </w:tcPr>
          <w:p w14:paraId="0ECD6239" w14:textId="77777777" w:rsidR="004071CA" w:rsidRPr="00FB3D74" w:rsidRDefault="004071CA" w:rsidP="00942E95">
            <w:pPr>
              <w:rPr>
                <w:rFonts w:cs="Arial"/>
                <w:sz w:val="16"/>
                <w:szCs w:val="16"/>
              </w:rPr>
            </w:pPr>
            <w:r w:rsidRPr="00FB3D74">
              <w:rPr>
                <w:rFonts w:cs="Arial"/>
                <w:sz w:val="16"/>
                <w:szCs w:val="16"/>
              </w:rPr>
              <w:t>Actividades coordinadas del Despacho de la SSP para el cumplimiento de metas, realizadas.</w:t>
            </w:r>
          </w:p>
        </w:tc>
        <w:tc>
          <w:tcPr>
            <w:tcW w:w="4992" w:type="dxa"/>
            <w:vAlign w:val="center"/>
          </w:tcPr>
          <w:p w14:paraId="783DCD3D" w14:textId="0DC9B6B9" w:rsidR="004071CA" w:rsidRPr="00FB3D74" w:rsidRDefault="004071CA" w:rsidP="00942E95">
            <w:pPr>
              <w:rPr>
                <w:rFonts w:cs="Arial"/>
                <w:sz w:val="16"/>
                <w:szCs w:val="16"/>
              </w:rPr>
            </w:pPr>
            <w:r w:rsidRPr="00FB3D74">
              <w:rPr>
                <w:rFonts w:cs="Arial"/>
                <w:sz w:val="16"/>
                <w:szCs w:val="16"/>
              </w:rPr>
              <w:t xml:space="preserve">Iniciar el trabajo en al menos 24 metas </w:t>
            </w:r>
            <w:r w:rsidR="000405D6" w:rsidRPr="00FB3D74">
              <w:rPr>
                <w:rFonts w:cs="Arial"/>
                <w:sz w:val="16"/>
                <w:szCs w:val="16"/>
              </w:rPr>
              <w:t>Plan Estatal de Desarrollo (</w:t>
            </w:r>
            <w:r w:rsidRPr="00FB3D74">
              <w:rPr>
                <w:rFonts w:cs="Arial"/>
                <w:sz w:val="16"/>
                <w:szCs w:val="16"/>
              </w:rPr>
              <w:t>PED</w:t>
            </w:r>
            <w:r w:rsidR="000405D6" w:rsidRPr="00FB3D74">
              <w:rPr>
                <w:rFonts w:cs="Arial"/>
                <w:sz w:val="16"/>
                <w:szCs w:val="16"/>
              </w:rPr>
              <w:t>)</w:t>
            </w:r>
            <w:r w:rsidRPr="00FB3D74">
              <w:rPr>
                <w:rFonts w:cs="Arial"/>
                <w:sz w:val="16"/>
                <w:szCs w:val="16"/>
              </w:rPr>
              <w:t>.</w:t>
            </w:r>
          </w:p>
        </w:tc>
      </w:tr>
      <w:tr w:rsidR="004071CA" w:rsidRPr="00FB3D74" w14:paraId="6A74C210" w14:textId="77777777" w:rsidTr="00942E95">
        <w:trPr>
          <w:trHeight w:val="20"/>
        </w:trPr>
        <w:tc>
          <w:tcPr>
            <w:tcW w:w="3823" w:type="dxa"/>
            <w:shd w:val="clear" w:color="auto" w:fill="F2F2F2" w:themeFill="background1" w:themeFillShade="F2"/>
            <w:vAlign w:val="center"/>
          </w:tcPr>
          <w:p w14:paraId="38E698BD" w14:textId="0F21CDAA" w:rsidR="004071CA" w:rsidRPr="00FB3D74" w:rsidRDefault="004071CA" w:rsidP="00942E95">
            <w:pPr>
              <w:rPr>
                <w:rFonts w:cs="Arial"/>
                <w:b/>
                <w:bCs/>
                <w:sz w:val="16"/>
                <w:szCs w:val="16"/>
              </w:rPr>
            </w:pPr>
            <w:r w:rsidRPr="00FB3D74">
              <w:rPr>
                <w:rFonts w:cs="Arial"/>
                <w:b/>
                <w:bCs/>
                <w:sz w:val="16"/>
                <w:szCs w:val="16"/>
              </w:rPr>
              <w:t>Número de Programa Presupuestal</w:t>
            </w:r>
            <w:r w:rsidR="00942E95" w:rsidRPr="00FB3D74">
              <w:rPr>
                <w:rFonts w:cs="Arial"/>
                <w:b/>
                <w:bCs/>
                <w:sz w:val="16"/>
                <w:szCs w:val="16"/>
              </w:rPr>
              <w:t>.</w:t>
            </w:r>
          </w:p>
        </w:tc>
        <w:tc>
          <w:tcPr>
            <w:tcW w:w="4992" w:type="dxa"/>
            <w:shd w:val="clear" w:color="auto" w:fill="F2F2F2" w:themeFill="background1" w:themeFillShade="F2"/>
            <w:vAlign w:val="center"/>
          </w:tcPr>
          <w:p w14:paraId="017E6EFE" w14:textId="4D61341B" w:rsidR="004071CA" w:rsidRPr="00FB3D74" w:rsidRDefault="004071CA" w:rsidP="00942E95">
            <w:pPr>
              <w:rPr>
                <w:rFonts w:cs="Arial"/>
                <w:b/>
                <w:bCs/>
                <w:sz w:val="16"/>
                <w:szCs w:val="16"/>
              </w:rPr>
            </w:pPr>
            <w:r w:rsidRPr="00FB3D74">
              <w:rPr>
                <w:rFonts w:cs="Arial"/>
                <w:b/>
                <w:bCs/>
                <w:sz w:val="16"/>
                <w:szCs w:val="16"/>
              </w:rPr>
              <w:t>34</w:t>
            </w:r>
            <w:r w:rsidR="00942E95" w:rsidRPr="00FB3D74">
              <w:rPr>
                <w:rFonts w:cs="Arial"/>
                <w:b/>
                <w:bCs/>
                <w:sz w:val="16"/>
                <w:szCs w:val="16"/>
              </w:rPr>
              <w:t>.</w:t>
            </w:r>
          </w:p>
        </w:tc>
      </w:tr>
      <w:tr w:rsidR="004071CA" w:rsidRPr="00FB3D74" w14:paraId="24A16F13" w14:textId="77777777" w:rsidTr="00942E95">
        <w:trPr>
          <w:trHeight w:val="20"/>
        </w:trPr>
        <w:tc>
          <w:tcPr>
            <w:tcW w:w="3823" w:type="dxa"/>
            <w:shd w:val="clear" w:color="auto" w:fill="F2F2F2" w:themeFill="background1" w:themeFillShade="F2"/>
            <w:vAlign w:val="center"/>
          </w:tcPr>
          <w:p w14:paraId="1C45DE12" w14:textId="1EDBA20A" w:rsidR="004071CA" w:rsidRPr="00FB3D74" w:rsidRDefault="004071CA" w:rsidP="00942E95">
            <w:pPr>
              <w:rPr>
                <w:rFonts w:cs="Arial"/>
                <w:b/>
                <w:bCs/>
                <w:sz w:val="16"/>
                <w:szCs w:val="16"/>
              </w:rPr>
            </w:pPr>
            <w:r w:rsidRPr="00FB3D74">
              <w:rPr>
                <w:rFonts w:cs="Arial"/>
                <w:b/>
                <w:bCs/>
                <w:sz w:val="16"/>
                <w:szCs w:val="16"/>
              </w:rPr>
              <w:t>Dependencia/Organismo</w:t>
            </w:r>
            <w:r w:rsidR="00942E95" w:rsidRPr="00FB3D74">
              <w:rPr>
                <w:rFonts w:cs="Arial"/>
                <w:b/>
                <w:bCs/>
                <w:sz w:val="16"/>
                <w:szCs w:val="16"/>
              </w:rPr>
              <w:t>.</w:t>
            </w:r>
          </w:p>
        </w:tc>
        <w:tc>
          <w:tcPr>
            <w:tcW w:w="4992" w:type="dxa"/>
            <w:shd w:val="clear" w:color="auto" w:fill="F2F2F2" w:themeFill="background1" w:themeFillShade="F2"/>
            <w:vAlign w:val="center"/>
          </w:tcPr>
          <w:p w14:paraId="3F6519F4" w14:textId="77777777" w:rsidR="004071CA" w:rsidRPr="00FB3D74" w:rsidRDefault="004071CA" w:rsidP="00942E95">
            <w:pPr>
              <w:rPr>
                <w:rFonts w:cs="Arial"/>
                <w:b/>
                <w:bCs/>
                <w:sz w:val="16"/>
                <w:szCs w:val="16"/>
              </w:rPr>
            </w:pPr>
            <w:r w:rsidRPr="00FB3D74">
              <w:rPr>
                <w:rFonts w:cs="Arial"/>
                <w:b/>
                <w:bCs/>
                <w:sz w:val="16"/>
                <w:szCs w:val="16"/>
              </w:rPr>
              <w:t>Fiscalía General del Estado de Colima.</w:t>
            </w:r>
          </w:p>
        </w:tc>
      </w:tr>
      <w:tr w:rsidR="004071CA" w:rsidRPr="00FB3D74" w14:paraId="3D053499" w14:textId="77777777" w:rsidTr="00942E95">
        <w:trPr>
          <w:trHeight w:val="20"/>
        </w:trPr>
        <w:tc>
          <w:tcPr>
            <w:tcW w:w="3823" w:type="dxa"/>
            <w:shd w:val="clear" w:color="auto" w:fill="F2F2F2" w:themeFill="background1" w:themeFillShade="F2"/>
            <w:vAlign w:val="center"/>
          </w:tcPr>
          <w:p w14:paraId="602EDFAD" w14:textId="6AE424B5" w:rsidR="004071CA" w:rsidRPr="00FB3D74" w:rsidRDefault="004071CA" w:rsidP="00942E95">
            <w:pPr>
              <w:rPr>
                <w:rFonts w:cs="Arial"/>
                <w:b/>
                <w:bCs/>
                <w:sz w:val="16"/>
                <w:szCs w:val="16"/>
              </w:rPr>
            </w:pPr>
            <w:r w:rsidRPr="00FB3D74">
              <w:rPr>
                <w:rFonts w:cs="Arial"/>
                <w:b/>
                <w:bCs/>
                <w:sz w:val="16"/>
                <w:szCs w:val="16"/>
              </w:rPr>
              <w:t>Objetivo Anual</w:t>
            </w:r>
            <w:r w:rsidR="00942E95" w:rsidRPr="00FB3D74">
              <w:rPr>
                <w:rFonts w:cs="Arial"/>
                <w:b/>
                <w:bCs/>
                <w:sz w:val="16"/>
                <w:szCs w:val="16"/>
              </w:rPr>
              <w:t>.</w:t>
            </w:r>
          </w:p>
        </w:tc>
        <w:tc>
          <w:tcPr>
            <w:tcW w:w="4992" w:type="dxa"/>
            <w:shd w:val="clear" w:color="auto" w:fill="F2F2F2" w:themeFill="background1" w:themeFillShade="F2"/>
            <w:vAlign w:val="center"/>
          </w:tcPr>
          <w:p w14:paraId="0147DD66" w14:textId="77777777" w:rsidR="004071CA" w:rsidRPr="00FB3D74" w:rsidRDefault="004071CA" w:rsidP="00942E95">
            <w:pPr>
              <w:rPr>
                <w:rFonts w:cs="Arial"/>
                <w:sz w:val="16"/>
                <w:szCs w:val="16"/>
              </w:rPr>
            </w:pPr>
            <w:r w:rsidRPr="00FB3D74">
              <w:rPr>
                <w:rFonts w:cs="Arial"/>
                <w:sz w:val="16"/>
                <w:szCs w:val="16"/>
              </w:rPr>
              <w:t>La población del estado de Colima cuenta con un sistema de procuración de justicia consolidado para la investigación y persecución de los delitos, apegando a los derechos humanos, integrado por servidores públicos profesionales y especializados en la materia, aportamos consigo un beneficio a la sociedad.</w:t>
            </w:r>
          </w:p>
        </w:tc>
      </w:tr>
      <w:tr w:rsidR="004071CA" w:rsidRPr="00FB3D74" w14:paraId="6D0AD5A4" w14:textId="77777777" w:rsidTr="00942E95">
        <w:trPr>
          <w:trHeight w:val="20"/>
        </w:trPr>
        <w:tc>
          <w:tcPr>
            <w:tcW w:w="3823" w:type="dxa"/>
            <w:shd w:val="clear" w:color="auto" w:fill="F2F2F2" w:themeFill="background1" w:themeFillShade="F2"/>
            <w:vAlign w:val="center"/>
          </w:tcPr>
          <w:p w14:paraId="0BBFA14F" w14:textId="77777777" w:rsidR="004071CA" w:rsidRPr="00FB3D74" w:rsidRDefault="004071CA" w:rsidP="00942E9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519C1CD4" w14:textId="77777777" w:rsidR="004071CA" w:rsidRPr="00FB3D74" w:rsidRDefault="004071CA" w:rsidP="00942E95">
            <w:pPr>
              <w:jc w:val="center"/>
              <w:rPr>
                <w:rFonts w:cs="Arial"/>
                <w:sz w:val="16"/>
                <w:szCs w:val="16"/>
              </w:rPr>
            </w:pPr>
            <w:r w:rsidRPr="00FB3D74">
              <w:rPr>
                <w:rFonts w:cs="Arial"/>
                <w:b/>
                <w:bCs/>
                <w:sz w:val="16"/>
                <w:szCs w:val="16"/>
              </w:rPr>
              <w:t>Metas</w:t>
            </w:r>
          </w:p>
        </w:tc>
      </w:tr>
      <w:tr w:rsidR="004071CA" w:rsidRPr="00FB3D74" w14:paraId="375226D1" w14:textId="77777777" w:rsidTr="00942E95">
        <w:trPr>
          <w:trHeight w:val="20"/>
        </w:trPr>
        <w:tc>
          <w:tcPr>
            <w:tcW w:w="3823" w:type="dxa"/>
            <w:vAlign w:val="center"/>
          </w:tcPr>
          <w:p w14:paraId="53B2F29B" w14:textId="77777777" w:rsidR="004071CA" w:rsidRPr="00FB3D74" w:rsidRDefault="004071CA" w:rsidP="00942E95">
            <w:pPr>
              <w:rPr>
                <w:rFonts w:cs="Arial"/>
                <w:sz w:val="16"/>
                <w:szCs w:val="16"/>
              </w:rPr>
            </w:pPr>
            <w:r w:rsidRPr="00FB3D74">
              <w:rPr>
                <w:rFonts w:cs="Arial"/>
                <w:sz w:val="16"/>
                <w:szCs w:val="16"/>
              </w:rPr>
              <w:t>Capacidad operativa de la Fiscalía General del Estado fortalecida.</w:t>
            </w:r>
          </w:p>
        </w:tc>
        <w:tc>
          <w:tcPr>
            <w:tcW w:w="4992" w:type="dxa"/>
            <w:vAlign w:val="center"/>
          </w:tcPr>
          <w:p w14:paraId="1312123B" w14:textId="77777777" w:rsidR="004071CA" w:rsidRPr="00FB3D74" w:rsidRDefault="004071CA" w:rsidP="00942E95">
            <w:pPr>
              <w:rPr>
                <w:rFonts w:cs="Arial"/>
                <w:sz w:val="16"/>
                <w:szCs w:val="16"/>
              </w:rPr>
            </w:pPr>
            <w:r w:rsidRPr="00FB3D74">
              <w:rPr>
                <w:rFonts w:cs="Arial"/>
                <w:sz w:val="16"/>
                <w:szCs w:val="16"/>
              </w:rPr>
              <w:t>Lograr el 100 por ciento de las acciones anuales de capacidad operativa proyectadas.</w:t>
            </w:r>
          </w:p>
        </w:tc>
      </w:tr>
      <w:tr w:rsidR="004071CA" w:rsidRPr="00FB3D74" w14:paraId="47678C9D" w14:textId="77777777" w:rsidTr="00942E95">
        <w:trPr>
          <w:trHeight w:val="20"/>
        </w:trPr>
        <w:tc>
          <w:tcPr>
            <w:tcW w:w="3823" w:type="dxa"/>
            <w:vAlign w:val="center"/>
          </w:tcPr>
          <w:p w14:paraId="65A80168" w14:textId="77777777" w:rsidR="004071CA" w:rsidRPr="00FB3D74" w:rsidRDefault="004071CA" w:rsidP="00942E95">
            <w:pPr>
              <w:rPr>
                <w:rFonts w:cs="Arial"/>
                <w:sz w:val="16"/>
                <w:szCs w:val="16"/>
              </w:rPr>
            </w:pPr>
            <w:r w:rsidRPr="00FB3D74">
              <w:rPr>
                <w:rFonts w:cs="Arial"/>
                <w:sz w:val="16"/>
                <w:szCs w:val="16"/>
              </w:rPr>
              <w:t>Gestiones de la Fiscalía General del Estado realizadas.</w:t>
            </w:r>
          </w:p>
        </w:tc>
        <w:tc>
          <w:tcPr>
            <w:tcW w:w="4992" w:type="dxa"/>
            <w:vAlign w:val="center"/>
          </w:tcPr>
          <w:p w14:paraId="794AD8AE" w14:textId="77777777" w:rsidR="004071CA" w:rsidRPr="00FB3D74" w:rsidRDefault="004071CA" w:rsidP="00942E95">
            <w:pPr>
              <w:rPr>
                <w:rFonts w:cs="Arial"/>
                <w:sz w:val="16"/>
                <w:szCs w:val="16"/>
              </w:rPr>
            </w:pPr>
            <w:r w:rsidRPr="00FB3D74">
              <w:rPr>
                <w:rFonts w:cs="Arial"/>
                <w:sz w:val="16"/>
                <w:szCs w:val="16"/>
              </w:rPr>
              <w:t>Lograr el 100 por ciento de las gestiones anuales proyectadas.</w:t>
            </w:r>
          </w:p>
        </w:tc>
      </w:tr>
      <w:tr w:rsidR="004071CA" w:rsidRPr="00FB3D74" w14:paraId="238731CF" w14:textId="77777777" w:rsidTr="00942E95">
        <w:trPr>
          <w:trHeight w:val="20"/>
        </w:trPr>
        <w:tc>
          <w:tcPr>
            <w:tcW w:w="3823" w:type="dxa"/>
            <w:shd w:val="clear" w:color="auto" w:fill="F2F2F2" w:themeFill="background1" w:themeFillShade="F2"/>
            <w:vAlign w:val="center"/>
          </w:tcPr>
          <w:p w14:paraId="6A8A312F" w14:textId="16BB4249" w:rsidR="004071CA" w:rsidRPr="00FB3D74" w:rsidRDefault="004071CA" w:rsidP="00942E95">
            <w:pPr>
              <w:rPr>
                <w:rFonts w:cs="Arial"/>
                <w:b/>
                <w:bCs/>
                <w:sz w:val="16"/>
                <w:szCs w:val="16"/>
              </w:rPr>
            </w:pPr>
            <w:r w:rsidRPr="00FB3D74">
              <w:rPr>
                <w:rFonts w:cs="Arial"/>
                <w:b/>
                <w:bCs/>
                <w:sz w:val="16"/>
                <w:szCs w:val="16"/>
              </w:rPr>
              <w:t>Número de Programa Presupuestal</w:t>
            </w:r>
            <w:r w:rsidR="00C86BC1" w:rsidRPr="00FB3D74">
              <w:rPr>
                <w:rFonts w:cs="Arial"/>
                <w:b/>
                <w:bCs/>
                <w:sz w:val="16"/>
                <w:szCs w:val="16"/>
              </w:rPr>
              <w:t>.</w:t>
            </w:r>
          </w:p>
        </w:tc>
        <w:tc>
          <w:tcPr>
            <w:tcW w:w="4992" w:type="dxa"/>
            <w:shd w:val="clear" w:color="auto" w:fill="F2F2F2" w:themeFill="background1" w:themeFillShade="F2"/>
            <w:vAlign w:val="center"/>
          </w:tcPr>
          <w:p w14:paraId="528DC339" w14:textId="2C64094F" w:rsidR="004071CA" w:rsidRPr="00FB3D74" w:rsidRDefault="004071CA" w:rsidP="00942E95">
            <w:pPr>
              <w:rPr>
                <w:rFonts w:cs="Arial"/>
                <w:b/>
                <w:bCs/>
                <w:sz w:val="16"/>
                <w:szCs w:val="16"/>
              </w:rPr>
            </w:pPr>
            <w:r w:rsidRPr="00FB3D74">
              <w:rPr>
                <w:rFonts w:cs="Arial"/>
                <w:b/>
                <w:bCs/>
                <w:sz w:val="16"/>
                <w:szCs w:val="16"/>
              </w:rPr>
              <w:t>35</w:t>
            </w:r>
            <w:r w:rsidR="00C86BC1" w:rsidRPr="00FB3D74">
              <w:rPr>
                <w:rFonts w:cs="Arial"/>
                <w:b/>
                <w:bCs/>
                <w:sz w:val="16"/>
                <w:szCs w:val="16"/>
              </w:rPr>
              <w:t>.</w:t>
            </w:r>
          </w:p>
        </w:tc>
      </w:tr>
      <w:tr w:rsidR="004071CA" w:rsidRPr="00FB3D74" w14:paraId="25FA0AFA" w14:textId="77777777" w:rsidTr="00942E95">
        <w:trPr>
          <w:trHeight w:val="20"/>
        </w:trPr>
        <w:tc>
          <w:tcPr>
            <w:tcW w:w="3823" w:type="dxa"/>
            <w:shd w:val="clear" w:color="auto" w:fill="F2F2F2" w:themeFill="background1" w:themeFillShade="F2"/>
            <w:vAlign w:val="center"/>
          </w:tcPr>
          <w:p w14:paraId="148E8C59" w14:textId="28EA9DD9" w:rsidR="004071CA" w:rsidRPr="00FB3D74" w:rsidRDefault="004071CA" w:rsidP="00942E95">
            <w:pPr>
              <w:rPr>
                <w:rFonts w:cs="Arial"/>
                <w:b/>
                <w:bCs/>
                <w:sz w:val="16"/>
                <w:szCs w:val="16"/>
              </w:rPr>
            </w:pPr>
            <w:r w:rsidRPr="00FB3D74">
              <w:rPr>
                <w:rFonts w:cs="Arial"/>
                <w:b/>
                <w:bCs/>
                <w:sz w:val="16"/>
                <w:szCs w:val="16"/>
              </w:rPr>
              <w:t>Dependencia/Organismo</w:t>
            </w:r>
            <w:r w:rsidR="00C86BC1" w:rsidRPr="00FB3D74">
              <w:rPr>
                <w:rFonts w:cs="Arial"/>
                <w:b/>
                <w:bCs/>
                <w:sz w:val="16"/>
                <w:szCs w:val="16"/>
              </w:rPr>
              <w:t>.</w:t>
            </w:r>
          </w:p>
        </w:tc>
        <w:tc>
          <w:tcPr>
            <w:tcW w:w="4992" w:type="dxa"/>
            <w:shd w:val="clear" w:color="auto" w:fill="F2F2F2" w:themeFill="background1" w:themeFillShade="F2"/>
            <w:vAlign w:val="center"/>
          </w:tcPr>
          <w:p w14:paraId="3BAAE403" w14:textId="77777777" w:rsidR="004071CA" w:rsidRPr="00FB3D74" w:rsidRDefault="004071CA" w:rsidP="00942E95">
            <w:pPr>
              <w:rPr>
                <w:rFonts w:cs="Arial"/>
                <w:b/>
                <w:bCs/>
                <w:sz w:val="16"/>
                <w:szCs w:val="16"/>
              </w:rPr>
            </w:pPr>
            <w:r w:rsidRPr="00FB3D74">
              <w:rPr>
                <w:rFonts w:cs="Arial"/>
                <w:b/>
                <w:bCs/>
                <w:sz w:val="16"/>
                <w:szCs w:val="16"/>
              </w:rPr>
              <w:t>Comisión de Derechos Humanos del Estado de Colima.</w:t>
            </w:r>
          </w:p>
        </w:tc>
      </w:tr>
      <w:tr w:rsidR="004071CA" w:rsidRPr="00FB3D74" w14:paraId="039C04D8" w14:textId="77777777" w:rsidTr="00942E95">
        <w:trPr>
          <w:trHeight w:val="20"/>
        </w:trPr>
        <w:tc>
          <w:tcPr>
            <w:tcW w:w="3823" w:type="dxa"/>
            <w:shd w:val="clear" w:color="auto" w:fill="F2F2F2" w:themeFill="background1" w:themeFillShade="F2"/>
            <w:vAlign w:val="center"/>
          </w:tcPr>
          <w:p w14:paraId="0483E207" w14:textId="4BB65191" w:rsidR="004071CA" w:rsidRPr="00FB3D74" w:rsidRDefault="004071CA" w:rsidP="00942E95">
            <w:pPr>
              <w:rPr>
                <w:rFonts w:cs="Arial"/>
                <w:b/>
                <w:bCs/>
                <w:sz w:val="16"/>
                <w:szCs w:val="16"/>
              </w:rPr>
            </w:pPr>
            <w:r w:rsidRPr="00FB3D74">
              <w:rPr>
                <w:rFonts w:cs="Arial"/>
                <w:b/>
                <w:bCs/>
                <w:sz w:val="16"/>
                <w:szCs w:val="16"/>
              </w:rPr>
              <w:t>Objetivo Anual</w:t>
            </w:r>
            <w:r w:rsidR="00C86BC1" w:rsidRPr="00FB3D74">
              <w:rPr>
                <w:rFonts w:cs="Arial"/>
                <w:b/>
                <w:bCs/>
                <w:sz w:val="16"/>
                <w:szCs w:val="16"/>
              </w:rPr>
              <w:t>.</w:t>
            </w:r>
          </w:p>
        </w:tc>
        <w:tc>
          <w:tcPr>
            <w:tcW w:w="4992" w:type="dxa"/>
            <w:shd w:val="clear" w:color="auto" w:fill="F2F2F2" w:themeFill="background1" w:themeFillShade="F2"/>
            <w:vAlign w:val="center"/>
          </w:tcPr>
          <w:p w14:paraId="5282EBC7" w14:textId="7F88652B" w:rsidR="004071CA" w:rsidRPr="00FB3D74" w:rsidRDefault="004071CA" w:rsidP="00942E95">
            <w:pPr>
              <w:rPr>
                <w:rFonts w:cs="Arial"/>
                <w:sz w:val="16"/>
                <w:szCs w:val="16"/>
              </w:rPr>
            </w:pPr>
            <w:r w:rsidRPr="00FB3D74">
              <w:rPr>
                <w:rFonts w:cs="Arial"/>
                <w:sz w:val="16"/>
                <w:szCs w:val="16"/>
              </w:rPr>
              <w:t xml:space="preserve">Existe una estrategia institucional eficaz, mediante la promoción, respeto, protección y garantía de los DDHH para las personas del </w:t>
            </w:r>
            <w:r w:rsidR="000405D6" w:rsidRPr="00FB3D74">
              <w:rPr>
                <w:rFonts w:cs="Arial"/>
                <w:sz w:val="16"/>
                <w:szCs w:val="16"/>
              </w:rPr>
              <w:t xml:space="preserve">Estado </w:t>
            </w:r>
            <w:r w:rsidRPr="00FB3D74">
              <w:rPr>
                <w:rFonts w:cs="Arial"/>
                <w:sz w:val="16"/>
                <w:szCs w:val="16"/>
              </w:rPr>
              <w:t>de Colima.</w:t>
            </w:r>
          </w:p>
        </w:tc>
      </w:tr>
      <w:tr w:rsidR="004071CA" w:rsidRPr="00FB3D74" w14:paraId="00E7B23C" w14:textId="77777777" w:rsidTr="00942E95">
        <w:trPr>
          <w:trHeight w:val="20"/>
        </w:trPr>
        <w:tc>
          <w:tcPr>
            <w:tcW w:w="3823" w:type="dxa"/>
            <w:shd w:val="clear" w:color="auto" w:fill="F2F2F2" w:themeFill="background1" w:themeFillShade="F2"/>
            <w:vAlign w:val="center"/>
          </w:tcPr>
          <w:p w14:paraId="137273E4" w14:textId="77777777" w:rsidR="004071CA" w:rsidRPr="00FB3D74" w:rsidRDefault="004071CA" w:rsidP="00C86BC1">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28D4A5C1" w14:textId="77777777" w:rsidR="004071CA" w:rsidRPr="00FB3D74" w:rsidRDefault="004071CA" w:rsidP="00C86BC1">
            <w:pPr>
              <w:jc w:val="center"/>
              <w:rPr>
                <w:rFonts w:cs="Arial"/>
                <w:sz w:val="16"/>
                <w:szCs w:val="16"/>
              </w:rPr>
            </w:pPr>
            <w:r w:rsidRPr="00FB3D74">
              <w:rPr>
                <w:rFonts w:cs="Arial"/>
                <w:b/>
                <w:bCs/>
                <w:sz w:val="16"/>
                <w:szCs w:val="16"/>
              </w:rPr>
              <w:t>Metas</w:t>
            </w:r>
          </w:p>
        </w:tc>
      </w:tr>
      <w:tr w:rsidR="004071CA" w:rsidRPr="00FB3D74" w14:paraId="4CF6BD0E" w14:textId="77777777" w:rsidTr="00942E95">
        <w:trPr>
          <w:trHeight w:val="20"/>
        </w:trPr>
        <w:tc>
          <w:tcPr>
            <w:tcW w:w="3823" w:type="dxa"/>
            <w:vAlign w:val="center"/>
          </w:tcPr>
          <w:p w14:paraId="53AD6876" w14:textId="77777777" w:rsidR="004071CA" w:rsidRPr="00FB3D74" w:rsidRDefault="004071CA" w:rsidP="00942E95">
            <w:pPr>
              <w:rPr>
                <w:rFonts w:cs="Arial"/>
                <w:sz w:val="16"/>
                <w:szCs w:val="16"/>
              </w:rPr>
            </w:pPr>
            <w:r w:rsidRPr="00FB3D74">
              <w:rPr>
                <w:rFonts w:cs="Arial"/>
                <w:sz w:val="16"/>
                <w:szCs w:val="16"/>
              </w:rPr>
              <w:t>Servicios de promoción, capacitación, estudio, observancia y divulgación de derechos humanos brindados.</w:t>
            </w:r>
          </w:p>
        </w:tc>
        <w:tc>
          <w:tcPr>
            <w:tcW w:w="4992" w:type="dxa"/>
            <w:vAlign w:val="center"/>
          </w:tcPr>
          <w:p w14:paraId="3E8D4757" w14:textId="77777777" w:rsidR="004071CA" w:rsidRPr="00FB3D74" w:rsidRDefault="004071CA" w:rsidP="00942E95">
            <w:pPr>
              <w:rPr>
                <w:rFonts w:cs="Arial"/>
                <w:sz w:val="16"/>
                <w:szCs w:val="16"/>
              </w:rPr>
            </w:pPr>
            <w:r w:rsidRPr="00FB3D74">
              <w:rPr>
                <w:rFonts w:cs="Arial"/>
                <w:sz w:val="16"/>
                <w:szCs w:val="16"/>
              </w:rPr>
              <w:t>Atender al 100 por ciento de personas que acudan a las oficinas del organismo, en materia de promoción, difusión y capacitación de los Derechos Humanos a personas que habitan y transitan en esta entidad federativa. (5,032.00)</w:t>
            </w:r>
          </w:p>
        </w:tc>
      </w:tr>
      <w:tr w:rsidR="004071CA" w:rsidRPr="00FB3D74" w14:paraId="325ECB5E" w14:textId="77777777" w:rsidTr="00942E95">
        <w:trPr>
          <w:trHeight w:val="20"/>
        </w:trPr>
        <w:tc>
          <w:tcPr>
            <w:tcW w:w="3823" w:type="dxa"/>
            <w:vAlign w:val="center"/>
          </w:tcPr>
          <w:p w14:paraId="30BFA3DE" w14:textId="77777777" w:rsidR="004071CA" w:rsidRPr="00FB3D74" w:rsidRDefault="004071CA" w:rsidP="00942E95">
            <w:pPr>
              <w:rPr>
                <w:rFonts w:cs="Arial"/>
                <w:sz w:val="16"/>
                <w:szCs w:val="16"/>
              </w:rPr>
            </w:pPr>
            <w:r w:rsidRPr="00FB3D74">
              <w:rPr>
                <w:rFonts w:cs="Arial"/>
                <w:sz w:val="16"/>
                <w:szCs w:val="16"/>
              </w:rPr>
              <w:t>Servicios de orientación, protección y defensa de derechos humanos brindados.</w:t>
            </w:r>
          </w:p>
        </w:tc>
        <w:tc>
          <w:tcPr>
            <w:tcW w:w="4992" w:type="dxa"/>
            <w:vAlign w:val="center"/>
          </w:tcPr>
          <w:p w14:paraId="42FE5710" w14:textId="2AF9F375" w:rsidR="004071CA" w:rsidRPr="00FB3D74" w:rsidRDefault="004071CA" w:rsidP="00942E95">
            <w:pPr>
              <w:rPr>
                <w:rFonts w:cs="Arial"/>
                <w:sz w:val="16"/>
                <w:szCs w:val="16"/>
              </w:rPr>
            </w:pPr>
            <w:r w:rsidRPr="00FB3D74">
              <w:rPr>
                <w:rFonts w:cs="Arial"/>
                <w:sz w:val="16"/>
                <w:szCs w:val="16"/>
              </w:rPr>
              <w:t>Atender a personas para recibir una orientación, se les realice una gestión, interpongan una queja y les sea emitida una recomendación por la intervención de la</w:t>
            </w:r>
            <w:r w:rsidR="000405D6" w:rsidRPr="00FB3D74">
              <w:rPr>
                <w:rFonts w:cs="Arial"/>
                <w:sz w:val="16"/>
                <w:szCs w:val="16"/>
              </w:rPr>
              <w:t xml:space="preserve"> Comisión de Derechos Humanos del Estado de Colima.</w:t>
            </w:r>
            <w:r w:rsidRPr="00FB3D74">
              <w:rPr>
                <w:rFonts w:cs="Arial"/>
                <w:sz w:val="16"/>
                <w:szCs w:val="16"/>
              </w:rPr>
              <w:t xml:space="preserve"> </w:t>
            </w:r>
            <w:r w:rsidR="000405D6" w:rsidRPr="00FB3D74">
              <w:rPr>
                <w:rFonts w:cs="Arial"/>
                <w:sz w:val="16"/>
                <w:szCs w:val="16"/>
              </w:rPr>
              <w:t>(</w:t>
            </w:r>
            <w:r w:rsidRPr="00FB3D74">
              <w:rPr>
                <w:rFonts w:cs="Arial"/>
                <w:sz w:val="16"/>
                <w:szCs w:val="16"/>
              </w:rPr>
              <w:t>CDHEC</w:t>
            </w:r>
            <w:r w:rsidR="000405D6" w:rsidRPr="00FB3D74">
              <w:rPr>
                <w:rFonts w:cs="Arial"/>
                <w:sz w:val="16"/>
                <w:szCs w:val="16"/>
              </w:rPr>
              <w:t>)</w:t>
            </w:r>
            <w:r w:rsidRPr="00FB3D74">
              <w:rPr>
                <w:rFonts w:cs="Arial"/>
                <w:sz w:val="16"/>
                <w:szCs w:val="16"/>
              </w:rPr>
              <w:t>. (1,206.00)</w:t>
            </w:r>
          </w:p>
        </w:tc>
      </w:tr>
      <w:tr w:rsidR="004071CA" w:rsidRPr="00FB3D74" w14:paraId="57AF0F92" w14:textId="77777777" w:rsidTr="00942E95">
        <w:trPr>
          <w:trHeight w:val="20"/>
        </w:trPr>
        <w:tc>
          <w:tcPr>
            <w:tcW w:w="3823" w:type="dxa"/>
            <w:vAlign w:val="center"/>
          </w:tcPr>
          <w:p w14:paraId="79ACA4B8" w14:textId="77777777" w:rsidR="004071CA" w:rsidRPr="00FB3D74" w:rsidRDefault="004071CA" w:rsidP="00942E95">
            <w:pPr>
              <w:rPr>
                <w:rFonts w:cs="Arial"/>
                <w:sz w:val="16"/>
                <w:szCs w:val="16"/>
              </w:rPr>
            </w:pPr>
            <w:r w:rsidRPr="00FB3D74">
              <w:rPr>
                <w:rFonts w:cs="Arial"/>
                <w:sz w:val="16"/>
                <w:szCs w:val="16"/>
              </w:rPr>
              <w:t>Fortalecimiento de la autonomía, administración y capacidad de gestión institucional realizada.</w:t>
            </w:r>
          </w:p>
        </w:tc>
        <w:tc>
          <w:tcPr>
            <w:tcW w:w="4992" w:type="dxa"/>
            <w:vAlign w:val="center"/>
          </w:tcPr>
          <w:p w14:paraId="6F38234C" w14:textId="77777777" w:rsidR="004071CA" w:rsidRPr="00FB3D74" w:rsidRDefault="004071CA" w:rsidP="00942E95">
            <w:pPr>
              <w:rPr>
                <w:rFonts w:cs="Arial"/>
                <w:sz w:val="16"/>
                <w:szCs w:val="16"/>
              </w:rPr>
            </w:pPr>
            <w:r w:rsidRPr="00FB3D74">
              <w:rPr>
                <w:rFonts w:cs="Arial"/>
                <w:sz w:val="16"/>
                <w:szCs w:val="16"/>
              </w:rPr>
              <w:t>Ejercer el 100 por ciento del presupuesto asignado.</w:t>
            </w:r>
          </w:p>
        </w:tc>
      </w:tr>
      <w:tr w:rsidR="004071CA" w:rsidRPr="00FB3D74" w14:paraId="328AAD24" w14:textId="77777777" w:rsidTr="00942E95">
        <w:trPr>
          <w:trHeight w:val="20"/>
        </w:trPr>
        <w:tc>
          <w:tcPr>
            <w:tcW w:w="3823" w:type="dxa"/>
            <w:shd w:val="clear" w:color="auto" w:fill="F2F2F2" w:themeFill="background1" w:themeFillShade="F2"/>
            <w:vAlign w:val="center"/>
          </w:tcPr>
          <w:p w14:paraId="71F542B5" w14:textId="14C5E92E" w:rsidR="004071CA" w:rsidRPr="00FB3D74" w:rsidRDefault="004071CA" w:rsidP="00942E95">
            <w:pPr>
              <w:rPr>
                <w:rFonts w:cs="Arial"/>
                <w:b/>
                <w:bCs/>
                <w:sz w:val="16"/>
                <w:szCs w:val="16"/>
              </w:rPr>
            </w:pPr>
            <w:r w:rsidRPr="00FB3D74">
              <w:rPr>
                <w:rFonts w:cs="Arial"/>
                <w:b/>
                <w:bCs/>
                <w:sz w:val="16"/>
                <w:szCs w:val="16"/>
              </w:rPr>
              <w:t>Número de Programa Presupuestal</w:t>
            </w:r>
            <w:r w:rsidR="00C86BC1" w:rsidRPr="00FB3D74">
              <w:rPr>
                <w:rFonts w:cs="Arial"/>
                <w:b/>
                <w:bCs/>
                <w:sz w:val="16"/>
                <w:szCs w:val="16"/>
              </w:rPr>
              <w:t>.</w:t>
            </w:r>
          </w:p>
        </w:tc>
        <w:tc>
          <w:tcPr>
            <w:tcW w:w="4992" w:type="dxa"/>
            <w:shd w:val="clear" w:color="auto" w:fill="F2F2F2" w:themeFill="background1" w:themeFillShade="F2"/>
            <w:vAlign w:val="center"/>
          </w:tcPr>
          <w:p w14:paraId="690CFE75" w14:textId="1E6D25D7" w:rsidR="004071CA" w:rsidRPr="00FB3D74" w:rsidRDefault="004071CA" w:rsidP="00942E95">
            <w:pPr>
              <w:rPr>
                <w:rFonts w:cs="Arial"/>
                <w:b/>
                <w:bCs/>
                <w:sz w:val="16"/>
                <w:szCs w:val="16"/>
              </w:rPr>
            </w:pPr>
            <w:r w:rsidRPr="00FB3D74">
              <w:rPr>
                <w:rFonts w:cs="Arial"/>
                <w:b/>
                <w:bCs/>
                <w:sz w:val="16"/>
                <w:szCs w:val="16"/>
              </w:rPr>
              <w:t>36</w:t>
            </w:r>
            <w:r w:rsidR="00C86BC1" w:rsidRPr="00FB3D74">
              <w:rPr>
                <w:rFonts w:cs="Arial"/>
                <w:b/>
                <w:bCs/>
                <w:sz w:val="16"/>
                <w:szCs w:val="16"/>
              </w:rPr>
              <w:t>.</w:t>
            </w:r>
          </w:p>
        </w:tc>
      </w:tr>
      <w:tr w:rsidR="004071CA" w:rsidRPr="00FB3D74" w14:paraId="5A03524B" w14:textId="77777777" w:rsidTr="00942E95">
        <w:trPr>
          <w:trHeight w:val="20"/>
        </w:trPr>
        <w:tc>
          <w:tcPr>
            <w:tcW w:w="3823" w:type="dxa"/>
            <w:shd w:val="clear" w:color="auto" w:fill="F2F2F2" w:themeFill="background1" w:themeFillShade="F2"/>
            <w:vAlign w:val="center"/>
          </w:tcPr>
          <w:p w14:paraId="0D21015E" w14:textId="078F3626" w:rsidR="004071CA" w:rsidRPr="00FB3D74" w:rsidRDefault="004071CA" w:rsidP="00942E95">
            <w:pPr>
              <w:rPr>
                <w:rFonts w:cs="Arial"/>
                <w:b/>
                <w:bCs/>
                <w:sz w:val="16"/>
                <w:szCs w:val="16"/>
              </w:rPr>
            </w:pPr>
            <w:r w:rsidRPr="00FB3D74">
              <w:rPr>
                <w:rFonts w:cs="Arial"/>
                <w:b/>
                <w:bCs/>
                <w:sz w:val="16"/>
                <w:szCs w:val="16"/>
              </w:rPr>
              <w:t>Dependencia/Organismo</w:t>
            </w:r>
            <w:r w:rsidR="00C86BC1" w:rsidRPr="00FB3D74">
              <w:rPr>
                <w:rFonts w:cs="Arial"/>
                <w:b/>
                <w:bCs/>
                <w:sz w:val="16"/>
                <w:szCs w:val="16"/>
              </w:rPr>
              <w:t>.</w:t>
            </w:r>
          </w:p>
        </w:tc>
        <w:tc>
          <w:tcPr>
            <w:tcW w:w="4992" w:type="dxa"/>
            <w:shd w:val="clear" w:color="auto" w:fill="F2F2F2" w:themeFill="background1" w:themeFillShade="F2"/>
            <w:vAlign w:val="center"/>
          </w:tcPr>
          <w:p w14:paraId="463E2AF8" w14:textId="77777777" w:rsidR="004071CA" w:rsidRPr="00FB3D74" w:rsidRDefault="004071CA" w:rsidP="00942E95">
            <w:pPr>
              <w:tabs>
                <w:tab w:val="left" w:pos="397"/>
              </w:tabs>
              <w:rPr>
                <w:rFonts w:cs="Arial"/>
                <w:b/>
                <w:bCs/>
                <w:sz w:val="16"/>
                <w:szCs w:val="16"/>
              </w:rPr>
            </w:pPr>
            <w:r w:rsidRPr="00FB3D74">
              <w:rPr>
                <w:rFonts w:cs="Arial"/>
                <w:b/>
                <w:bCs/>
                <w:sz w:val="16"/>
                <w:szCs w:val="16"/>
              </w:rPr>
              <w:t>Secretariado Ejecutivo del Sistema estatal de Seguridad Pública (C3)</w:t>
            </w:r>
          </w:p>
        </w:tc>
      </w:tr>
      <w:tr w:rsidR="004071CA" w:rsidRPr="00FB3D74" w14:paraId="1F0D02BA" w14:textId="77777777" w:rsidTr="00942E95">
        <w:trPr>
          <w:trHeight w:val="20"/>
        </w:trPr>
        <w:tc>
          <w:tcPr>
            <w:tcW w:w="3823" w:type="dxa"/>
            <w:shd w:val="clear" w:color="auto" w:fill="F2F2F2" w:themeFill="background1" w:themeFillShade="F2"/>
            <w:vAlign w:val="center"/>
          </w:tcPr>
          <w:p w14:paraId="4C78FE28" w14:textId="1C1CF845" w:rsidR="004071CA" w:rsidRPr="00FB3D74" w:rsidRDefault="004071CA" w:rsidP="00942E95">
            <w:pPr>
              <w:rPr>
                <w:rFonts w:cs="Arial"/>
                <w:b/>
                <w:bCs/>
                <w:sz w:val="16"/>
                <w:szCs w:val="16"/>
              </w:rPr>
            </w:pPr>
            <w:r w:rsidRPr="00FB3D74">
              <w:rPr>
                <w:rFonts w:cs="Arial"/>
                <w:b/>
                <w:bCs/>
                <w:sz w:val="16"/>
                <w:szCs w:val="16"/>
              </w:rPr>
              <w:t>Objetivo Anual</w:t>
            </w:r>
            <w:r w:rsidR="00C86BC1" w:rsidRPr="00FB3D74">
              <w:rPr>
                <w:rFonts w:cs="Arial"/>
                <w:b/>
                <w:bCs/>
                <w:sz w:val="16"/>
                <w:szCs w:val="16"/>
              </w:rPr>
              <w:t>.</w:t>
            </w:r>
          </w:p>
        </w:tc>
        <w:tc>
          <w:tcPr>
            <w:tcW w:w="4992" w:type="dxa"/>
            <w:shd w:val="clear" w:color="auto" w:fill="F2F2F2" w:themeFill="background1" w:themeFillShade="F2"/>
            <w:vAlign w:val="center"/>
          </w:tcPr>
          <w:p w14:paraId="58BB287C" w14:textId="77777777" w:rsidR="004071CA" w:rsidRPr="00FB3D74" w:rsidRDefault="004071CA" w:rsidP="00942E95">
            <w:pPr>
              <w:rPr>
                <w:rFonts w:cs="Arial"/>
                <w:sz w:val="16"/>
                <w:szCs w:val="16"/>
              </w:rPr>
            </w:pPr>
            <w:r w:rsidRPr="00FB3D74">
              <w:rPr>
                <w:rFonts w:cs="Arial"/>
                <w:sz w:val="16"/>
                <w:szCs w:val="16"/>
              </w:rPr>
              <w:t>Los cuerpos de seguridad y aspirantes, aplican evaluaciones de control de confianza para ingresar o permanecer en instituciones de seguridad.</w:t>
            </w:r>
          </w:p>
        </w:tc>
      </w:tr>
      <w:tr w:rsidR="004071CA" w:rsidRPr="00FB3D74" w14:paraId="3C81E612" w14:textId="77777777" w:rsidTr="00942E95">
        <w:trPr>
          <w:trHeight w:val="20"/>
        </w:trPr>
        <w:tc>
          <w:tcPr>
            <w:tcW w:w="3823" w:type="dxa"/>
            <w:shd w:val="clear" w:color="auto" w:fill="F2F2F2" w:themeFill="background1" w:themeFillShade="F2"/>
            <w:vAlign w:val="center"/>
          </w:tcPr>
          <w:p w14:paraId="512E5FB4" w14:textId="77777777" w:rsidR="004071CA" w:rsidRPr="00FB3D74" w:rsidRDefault="004071CA" w:rsidP="00C86BC1">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7B1A56D3" w14:textId="77777777" w:rsidR="004071CA" w:rsidRPr="00FB3D74" w:rsidRDefault="004071CA" w:rsidP="00C86BC1">
            <w:pPr>
              <w:jc w:val="center"/>
              <w:rPr>
                <w:rFonts w:cs="Arial"/>
                <w:sz w:val="16"/>
                <w:szCs w:val="16"/>
              </w:rPr>
            </w:pPr>
            <w:r w:rsidRPr="00FB3D74">
              <w:rPr>
                <w:rFonts w:cs="Arial"/>
                <w:b/>
                <w:bCs/>
                <w:sz w:val="16"/>
                <w:szCs w:val="16"/>
              </w:rPr>
              <w:t>Metas</w:t>
            </w:r>
          </w:p>
        </w:tc>
      </w:tr>
      <w:tr w:rsidR="004071CA" w:rsidRPr="00FB3D74" w14:paraId="37FA009A" w14:textId="77777777" w:rsidTr="00942E95">
        <w:trPr>
          <w:trHeight w:val="20"/>
        </w:trPr>
        <w:tc>
          <w:tcPr>
            <w:tcW w:w="3823" w:type="dxa"/>
            <w:vAlign w:val="center"/>
          </w:tcPr>
          <w:p w14:paraId="5E641F79" w14:textId="77777777" w:rsidR="004071CA" w:rsidRPr="00FB3D74" w:rsidRDefault="004071CA" w:rsidP="00942E95">
            <w:pPr>
              <w:rPr>
                <w:rFonts w:cs="Arial"/>
                <w:sz w:val="16"/>
                <w:szCs w:val="16"/>
              </w:rPr>
            </w:pPr>
            <w:r w:rsidRPr="00FB3D74">
              <w:rPr>
                <w:rFonts w:cs="Arial"/>
                <w:sz w:val="16"/>
                <w:szCs w:val="16"/>
              </w:rPr>
              <w:t>Evaluaciones de control de confianza aplicadas.</w:t>
            </w:r>
          </w:p>
        </w:tc>
        <w:tc>
          <w:tcPr>
            <w:tcW w:w="4992" w:type="dxa"/>
            <w:vAlign w:val="center"/>
          </w:tcPr>
          <w:p w14:paraId="4218441E" w14:textId="77777777" w:rsidR="004071CA" w:rsidRPr="00FB3D74" w:rsidRDefault="004071CA" w:rsidP="00942E95">
            <w:pPr>
              <w:rPr>
                <w:rFonts w:cs="Arial"/>
                <w:sz w:val="16"/>
                <w:szCs w:val="16"/>
              </w:rPr>
            </w:pPr>
            <w:r w:rsidRPr="00FB3D74">
              <w:rPr>
                <w:rFonts w:cs="Arial"/>
                <w:sz w:val="16"/>
                <w:szCs w:val="16"/>
              </w:rPr>
              <w:t>Porcentaje de elementos de las instituciones de seguridad que han sido evaluados. (1,317.00)</w:t>
            </w:r>
          </w:p>
        </w:tc>
      </w:tr>
      <w:tr w:rsidR="004071CA" w:rsidRPr="00FB3D74" w14:paraId="0D7F6272" w14:textId="77777777" w:rsidTr="00942E95">
        <w:trPr>
          <w:trHeight w:val="20"/>
        </w:trPr>
        <w:tc>
          <w:tcPr>
            <w:tcW w:w="3823" w:type="dxa"/>
            <w:shd w:val="clear" w:color="auto" w:fill="F2F2F2" w:themeFill="background1" w:themeFillShade="F2"/>
            <w:vAlign w:val="center"/>
          </w:tcPr>
          <w:p w14:paraId="0CF5D549" w14:textId="5C517A7A" w:rsidR="004071CA" w:rsidRPr="00FB3D74" w:rsidRDefault="004071CA" w:rsidP="00942E95">
            <w:pPr>
              <w:rPr>
                <w:rFonts w:cs="Arial"/>
                <w:b/>
                <w:bCs/>
                <w:sz w:val="16"/>
                <w:szCs w:val="16"/>
              </w:rPr>
            </w:pPr>
            <w:r w:rsidRPr="00FB3D74">
              <w:rPr>
                <w:rFonts w:cs="Arial"/>
                <w:b/>
                <w:bCs/>
                <w:sz w:val="16"/>
                <w:szCs w:val="16"/>
              </w:rPr>
              <w:t>Número de Programa Presupuestal</w:t>
            </w:r>
            <w:r w:rsidR="00C86BC1" w:rsidRPr="00FB3D74">
              <w:rPr>
                <w:rFonts w:cs="Arial"/>
                <w:b/>
                <w:bCs/>
                <w:sz w:val="16"/>
                <w:szCs w:val="16"/>
              </w:rPr>
              <w:t>.</w:t>
            </w:r>
          </w:p>
        </w:tc>
        <w:tc>
          <w:tcPr>
            <w:tcW w:w="4992" w:type="dxa"/>
            <w:shd w:val="clear" w:color="auto" w:fill="F2F2F2" w:themeFill="background1" w:themeFillShade="F2"/>
            <w:vAlign w:val="center"/>
          </w:tcPr>
          <w:p w14:paraId="4E0413FB" w14:textId="3EFA493D" w:rsidR="004071CA" w:rsidRPr="00FB3D74" w:rsidRDefault="004071CA" w:rsidP="00942E95">
            <w:pPr>
              <w:rPr>
                <w:rFonts w:cs="Arial"/>
                <w:b/>
                <w:bCs/>
                <w:sz w:val="16"/>
                <w:szCs w:val="16"/>
              </w:rPr>
            </w:pPr>
            <w:r w:rsidRPr="00FB3D74">
              <w:rPr>
                <w:rFonts w:cs="Arial"/>
                <w:b/>
                <w:bCs/>
                <w:sz w:val="16"/>
                <w:szCs w:val="16"/>
              </w:rPr>
              <w:t>37</w:t>
            </w:r>
            <w:r w:rsidR="00C86BC1" w:rsidRPr="00FB3D74">
              <w:rPr>
                <w:rFonts w:cs="Arial"/>
                <w:b/>
                <w:bCs/>
                <w:sz w:val="16"/>
                <w:szCs w:val="16"/>
              </w:rPr>
              <w:t>.</w:t>
            </w:r>
          </w:p>
        </w:tc>
      </w:tr>
      <w:tr w:rsidR="004071CA" w:rsidRPr="00FB3D74" w14:paraId="24A73DAF" w14:textId="77777777" w:rsidTr="00942E95">
        <w:trPr>
          <w:trHeight w:val="20"/>
        </w:trPr>
        <w:tc>
          <w:tcPr>
            <w:tcW w:w="3823" w:type="dxa"/>
            <w:shd w:val="clear" w:color="auto" w:fill="F2F2F2" w:themeFill="background1" w:themeFillShade="F2"/>
            <w:vAlign w:val="center"/>
          </w:tcPr>
          <w:p w14:paraId="6AF07638" w14:textId="3CD47E33" w:rsidR="004071CA" w:rsidRPr="00FB3D74" w:rsidRDefault="004071CA" w:rsidP="00942E95">
            <w:pPr>
              <w:rPr>
                <w:rFonts w:cs="Arial"/>
                <w:b/>
                <w:bCs/>
                <w:sz w:val="16"/>
                <w:szCs w:val="16"/>
              </w:rPr>
            </w:pPr>
            <w:r w:rsidRPr="00FB3D74">
              <w:rPr>
                <w:rFonts w:cs="Arial"/>
                <w:b/>
                <w:bCs/>
                <w:sz w:val="16"/>
                <w:szCs w:val="16"/>
              </w:rPr>
              <w:t>Dependencia/Organismo</w:t>
            </w:r>
            <w:r w:rsidR="00C86BC1" w:rsidRPr="00FB3D74">
              <w:rPr>
                <w:rFonts w:cs="Arial"/>
                <w:b/>
                <w:bCs/>
                <w:sz w:val="16"/>
                <w:szCs w:val="16"/>
              </w:rPr>
              <w:t>.</w:t>
            </w:r>
          </w:p>
        </w:tc>
        <w:tc>
          <w:tcPr>
            <w:tcW w:w="4992" w:type="dxa"/>
            <w:shd w:val="clear" w:color="auto" w:fill="F2F2F2" w:themeFill="background1" w:themeFillShade="F2"/>
            <w:vAlign w:val="center"/>
          </w:tcPr>
          <w:p w14:paraId="25F43523" w14:textId="77777777" w:rsidR="004071CA" w:rsidRPr="00FB3D74" w:rsidRDefault="004071CA" w:rsidP="00942E95">
            <w:pPr>
              <w:tabs>
                <w:tab w:val="left" w:pos="397"/>
              </w:tabs>
              <w:rPr>
                <w:rFonts w:cs="Arial"/>
                <w:b/>
                <w:bCs/>
                <w:sz w:val="16"/>
                <w:szCs w:val="16"/>
              </w:rPr>
            </w:pPr>
            <w:r w:rsidRPr="00FB3D74">
              <w:rPr>
                <w:rFonts w:cs="Arial"/>
                <w:b/>
                <w:bCs/>
                <w:sz w:val="16"/>
                <w:szCs w:val="16"/>
              </w:rPr>
              <w:t>Instituto para el Registro del Territorio del Estado de Colima.</w:t>
            </w:r>
          </w:p>
        </w:tc>
      </w:tr>
      <w:tr w:rsidR="004071CA" w:rsidRPr="00FB3D74" w14:paraId="788E5FF1" w14:textId="77777777" w:rsidTr="00942E95">
        <w:trPr>
          <w:trHeight w:val="20"/>
        </w:trPr>
        <w:tc>
          <w:tcPr>
            <w:tcW w:w="3823" w:type="dxa"/>
            <w:shd w:val="clear" w:color="auto" w:fill="F2F2F2" w:themeFill="background1" w:themeFillShade="F2"/>
            <w:vAlign w:val="center"/>
          </w:tcPr>
          <w:p w14:paraId="3EF61E5E" w14:textId="22D8736B" w:rsidR="004071CA" w:rsidRPr="00FB3D74" w:rsidRDefault="004071CA" w:rsidP="00942E95">
            <w:pPr>
              <w:rPr>
                <w:rFonts w:cs="Arial"/>
                <w:b/>
                <w:bCs/>
                <w:sz w:val="16"/>
                <w:szCs w:val="16"/>
              </w:rPr>
            </w:pPr>
            <w:r w:rsidRPr="00FB3D74">
              <w:rPr>
                <w:rFonts w:cs="Arial"/>
                <w:b/>
                <w:bCs/>
                <w:sz w:val="16"/>
                <w:szCs w:val="16"/>
              </w:rPr>
              <w:lastRenderedPageBreak/>
              <w:t>Objetivo Anual</w:t>
            </w:r>
            <w:r w:rsidR="00C86BC1" w:rsidRPr="00FB3D74">
              <w:rPr>
                <w:rFonts w:cs="Arial"/>
                <w:b/>
                <w:bCs/>
                <w:sz w:val="16"/>
                <w:szCs w:val="16"/>
              </w:rPr>
              <w:t>.</w:t>
            </w:r>
          </w:p>
        </w:tc>
        <w:tc>
          <w:tcPr>
            <w:tcW w:w="4992" w:type="dxa"/>
            <w:shd w:val="clear" w:color="auto" w:fill="F2F2F2" w:themeFill="background1" w:themeFillShade="F2"/>
            <w:vAlign w:val="center"/>
          </w:tcPr>
          <w:p w14:paraId="02F7D40B" w14:textId="3552A01C" w:rsidR="004071CA" w:rsidRPr="00FB3D74" w:rsidRDefault="004071CA" w:rsidP="00942E95">
            <w:pPr>
              <w:rPr>
                <w:rFonts w:cs="Arial"/>
                <w:sz w:val="16"/>
                <w:szCs w:val="16"/>
              </w:rPr>
            </w:pPr>
            <w:r w:rsidRPr="00FB3D74">
              <w:rPr>
                <w:rFonts w:cs="Arial"/>
                <w:sz w:val="16"/>
                <w:szCs w:val="16"/>
              </w:rPr>
              <w:t xml:space="preserve">Los usuarios de los servicios registrales, catastrales y territoriales del </w:t>
            </w:r>
            <w:r w:rsidR="000D4F42" w:rsidRPr="00FB3D74">
              <w:rPr>
                <w:rFonts w:cs="Arial"/>
                <w:sz w:val="16"/>
                <w:szCs w:val="16"/>
              </w:rPr>
              <w:t xml:space="preserve">Estado  de Colima </w:t>
            </w:r>
            <w:r w:rsidRPr="00FB3D74">
              <w:rPr>
                <w:rFonts w:cs="Arial"/>
                <w:sz w:val="16"/>
                <w:szCs w:val="16"/>
              </w:rPr>
              <w:t>recib</w:t>
            </w:r>
            <w:r w:rsidR="000D4F42" w:rsidRPr="00FB3D74">
              <w:rPr>
                <w:rFonts w:cs="Arial"/>
                <w:sz w:val="16"/>
                <w:szCs w:val="16"/>
              </w:rPr>
              <w:t>e</w:t>
            </w:r>
            <w:r w:rsidRPr="00FB3D74">
              <w:rPr>
                <w:rFonts w:cs="Arial"/>
                <w:sz w:val="16"/>
                <w:szCs w:val="16"/>
              </w:rPr>
              <w:t>n de manera oportuna y eficiente la certeza y seguridad jurídica de sus propiedades.</w:t>
            </w:r>
          </w:p>
        </w:tc>
      </w:tr>
      <w:tr w:rsidR="004071CA" w:rsidRPr="00FB3D74" w14:paraId="10FF65F4" w14:textId="77777777" w:rsidTr="00942E95">
        <w:trPr>
          <w:trHeight w:val="20"/>
        </w:trPr>
        <w:tc>
          <w:tcPr>
            <w:tcW w:w="3823" w:type="dxa"/>
            <w:shd w:val="clear" w:color="auto" w:fill="F2F2F2" w:themeFill="background1" w:themeFillShade="F2"/>
            <w:vAlign w:val="center"/>
          </w:tcPr>
          <w:p w14:paraId="0903985E" w14:textId="77777777" w:rsidR="004071CA" w:rsidRPr="00FB3D74" w:rsidRDefault="004071CA" w:rsidP="00C86BC1">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69F90345" w14:textId="77777777" w:rsidR="004071CA" w:rsidRPr="00FB3D74" w:rsidRDefault="004071CA" w:rsidP="00C86BC1">
            <w:pPr>
              <w:jc w:val="center"/>
              <w:rPr>
                <w:rFonts w:cs="Arial"/>
                <w:sz w:val="16"/>
                <w:szCs w:val="16"/>
              </w:rPr>
            </w:pPr>
            <w:r w:rsidRPr="00FB3D74">
              <w:rPr>
                <w:rFonts w:cs="Arial"/>
                <w:b/>
                <w:bCs/>
                <w:sz w:val="16"/>
                <w:szCs w:val="16"/>
              </w:rPr>
              <w:t>Metas</w:t>
            </w:r>
          </w:p>
        </w:tc>
      </w:tr>
      <w:tr w:rsidR="004071CA" w:rsidRPr="00FB3D74" w14:paraId="6A188470" w14:textId="77777777" w:rsidTr="00942E95">
        <w:trPr>
          <w:trHeight w:val="20"/>
        </w:trPr>
        <w:tc>
          <w:tcPr>
            <w:tcW w:w="3823" w:type="dxa"/>
            <w:vAlign w:val="center"/>
          </w:tcPr>
          <w:p w14:paraId="30F70D18" w14:textId="77777777" w:rsidR="004071CA" w:rsidRPr="00FB3D74" w:rsidRDefault="004071CA" w:rsidP="00942E95">
            <w:pPr>
              <w:rPr>
                <w:rFonts w:cs="Arial"/>
                <w:sz w:val="16"/>
                <w:szCs w:val="16"/>
              </w:rPr>
            </w:pPr>
            <w:r w:rsidRPr="00FB3D74">
              <w:rPr>
                <w:rFonts w:cs="Arial"/>
                <w:sz w:val="16"/>
                <w:szCs w:val="16"/>
              </w:rPr>
              <w:t>Trámites registrales proporcionados a las y a los usuarios.</w:t>
            </w:r>
          </w:p>
        </w:tc>
        <w:tc>
          <w:tcPr>
            <w:tcW w:w="4992" w:type="dxa"/>
            <w:vAlign w:val="center"/>
          </w:tcPr>
          <w:p w14:paraId="10BE2830" w14:textId="77777777" w:rsidR="004071CA" w:rsidRPr="00FB3D74" w:rsidRDefault="004071CA" w:rsidP="00942E95">
            <w:pPr>
              <w:rPr>
                <w:rFonts w:cs="Arial"/>
                <w:sz w:val="16"/>
                <w:szCs w:val="16"/>
              </w:rPr>
            </w:pPr>
            <w:r w:rsidRPr="00FB3D74">
              <w:rPr>
                <w:rFonts w:cs="Arial"/>
                <w:sz w:val="16"/>
                <w:szCs w:val="16"/>
              </w:rPr>
              <w:t>Atender el 100 por ciento de los 7,0000 trámites registrales ingresados.</w:t>
            </w:r>
          </w:p>
        </w:tc>
      </w:tr>
      <w:tr w:rsidR="004071CA" w:rsidRPr="00FB3D74" w14:paraId="46368BD7" w14:textId="77777777" w:rsidTr="00942E95">
        <w:trPr>
          <w:trHeight w:val="20"/>
        </w:trPr>
        <w:tc>
          <w:tcPr>
            <w:tcW w:w="3823" w:type="dxa"/>
            <w:vAlign w:val="center"/>
          </w:tcPr>
          <w:p w14:paraId="499DB612" w14:textId="77777777" w:rsidR="004071CA" w:rsidRPr="00FB3D74" w:rsidRDefault="004071CA" w:rsidP="00942E95">
            <w:pPr>
              <w:rPr>
                <w:rFonts w:cs="Arial"/>
                <w:sz w:val="16"/>
                <w:szCs w:val="16"/>
              </w:rPr>
            </w:pPr>
            <w:r w:rsidRPr="00FB3D74">
              <w:rPr>
                <w:rFonts w:cs="Arial"/>
                <w:sz w:val="16"/>
                <w:szCs w:val="16"/>
              </w:rPr>
              <w:t>Desempeño de Funciones realizadas.</w:t>
            </w:r>
          </w:p>
        </w:tc>
        <w:tc>
          <w:tcPr>
            <w:tcW w:w="4992" w:type="dxa"/>
            <w:vAlign w:val="center"/>
          </w:tcPr>
          <w:p w14:paraId="425EB445" w14:textId="77777777" w:rsidR="004071CA" w:rsidRPr="00FB3D74" w:rsidRDefault="004071CA" w:rsidP="00942E95">
            <w:pPr>
              <w:rPr>
                <w:rFonts w:cs="Arial"/>
                <w:sz w:val="16"/>
                <w:szCs w:val="16"/>
              </w:rPr>
            </w:pPr>
            <w:r w:rsidRPr="00FB3D74">
              <w:rPr>
                <w:rFonts w:cs="Arial"/>
                <w:sz w:val="16"/>
                <w:szCs w:val="16"/>
              </w:rPr>
              <w:t>Ejercer el 100 por ciento de recursos económicos en concepto de pago de desempeño de funciones.</w:t>
            </w:r>
          </w:p>
        </w:tc>
      </w:tr>
      <w:tr w:rsidR="004071CA" w:rsidRPr="00FB3D74" w14:paraId="65B97B98" w14:textId="77777777" w:rsidTr="00942E95">
        <w:trPr>
          <w:trHeight w:val="20"/>
        </w:trPr>
        <w:tc>
          <w:tcPr>
            <w:tcW w:w="3823" w:type="dxa"/>
            <w:shd w:val="clear" w:color="auto" w:fill="F2F2F2" w:themeFill="background1" w:themeFillShade="F2"/>
            <w:vAlign w:val="center"/>
          </w:tcPr>
          <w:p w14:paraId="359F899A" w14:textId="64D08392" w:rsidR="004071CA" w:rsidRPr="00FB3D74" w:rsidRDefault="004071CA" w:rsidP="00942E95">
            <w:pPr>
              <w:rPr>
                <w:rFonts w:cs="Arial"/>
                <w:b/>
                <w:bCs/>
                <w:sz w:val="16"/>
                <w:szCs w:val="16"/>
              </w:rPr>
            </w:pPr>
            <w:r w:rsidRPr="00FB3D74">
              <w:rPr>
                <w:rFonts w:cs="Arial"/>
                <w:b/>
                <w:bCs/>
                <w:sz w:val="16"/>
                <w:szCs w:val="16"/>
              </w:rPr>
              <w:t>Número de Programa Presupuestal</w:t>
            </w:r>
            <w:r w:rsidR="00C86BC1" w:rsidRPr="00FB3D74">
              <w:rPr>
                <w:rFonts w:cs="Arial"/>
                <w:b/>
                <w:bCs/>
                <w:sz w:val="16"/>
                <w:szCs w:val="16"/>
              </w:rPr>
              <w:t>.</w:t>
            </w:r>
          </w:p>
        </w:tc>
        <w:tc>
          <w:tcPr>
            <w:tcW w:w="4992" w:type="dxa"/>
            <w:shd w:val="clear" w:color="auto" w:fill="F2F2F2" w:themeFill="background1" w:themeFillShade="F2"/>
            <w:vAlign w:val="center"/>
          </w:tcPr>
          <w:p w14:paraId="446EB243" w14:textId="2D1D44F3" w:rsidR="004071CA" w:rsidRPr="00FB3D74" w:rsidRDefault="004071CA" w:rsidP="00942E95">
            <w:pPr>
              <w:rPr>
                <w:rFonts w:cs="Arial"/>
                <w:b/>
                <w:bCs/>
                <w:sz w:val="16"/>
                <w:szCs w:val="16"/>
              </w:rPr>
            </w:pPr>
            <w:r w:rsidRPr="00FB3D74">
              <w:rPr>
                <w:rFonts w:cs="Arial"/>
                <w:b/>
                <w:bCs/>
                <w:sz w:val="16"/>
                <w:szCs w:val="16"/>
              </w:rPr>
              <w:t>38</w:t>
            </w:r>
            <w:r w:rsidR="00C86BC1" w:rsidRPr="00FB3D74">
              <w:rPr>
                <w:rFonts w:cs="Arial"/>
                <w:b/>
                <w:bCs/>
                <w:sz w:val="16"/>
                <w:szCs w:val="16"/>
              </w:rPr>
              <w:t>.</w:t>
            </w:r>
          </w:p>
        </w:tc>
      </w:tr>
      <w:tr w:rsidR="004071CA" w:rsidRPr="00FB3D74" w14:paraId="6FDD4036" w14:textId="77777777" w:rsidTr="00942E95">
        <w:trPr>
          <w:trHeight w:val="20"/>
        </w:trPr>
        <w:tc>
          <w:tcPr>
            <w:tcW w:w="3823" w:type="dxa"/>
            <w:shd w:val="clear" w:color="auto" w:fill="F2F2F2" w:themeFill="background1" w:themeFillShade="F2"/>
            <w:vAlign w:val="center"/>
          </w:tcPr>
          <w:p w14:paraId="17C76C75" w14:textId="2E545E9E" w:rsidR="004071CA" w:rsidRPr="00FB3D74" w:rsidRDefault="004071CA" w:rsidP="00942E95">
            <w:pPr>
              <w:rPr>
                <w:rFonts w:cs="Arial"/>
                <w:b/>
                <w:bCs/>
                <w:sz w:val="16"/>
                <w:szCs w:val="16"/>
              </w:rPr>
            </w:pPr>
            <w:r w:rsidRPr="00FB3D74">
              <w:rPr>
                <w:rFonts w:cs="Arial"/>
                <w:b/>
                <w:bCs/>
                <w:sz w:val="16"/>
                <w:szCs w:val="16"/>
              </w:rPr>
              <w:t>Dependencia/Organismo</w:t>
            </w:r>
            <w:r w:rsidR="00C86BC1" w:rsidRPr="00FB3D74">
              <w:rPr>
                <w:rFonts w:cs="Arial"/>
                <w:b/>
                <w:bCs/>
                <w:sz w:val="16"/>
                <w:szCs w:val="16"/>
              </w:rPr>
              <w:t>.</w:t>
            </w:r>
          </w:p>
        </w:tc>
        <w:tc>
          <w:tcPr>
            <w:tcW w:w="4992" w:type="dxa"/>
            <w:shd w:val="clear" w:color="auto" w:fill="F2F2F2" w:themeFill="background1" w:themeFillShade="F2"/>
            <w:vAlign w:val="center"/>
          </w:tcPr>
          <w:p w14:paraId="5898901B" w14:textId="77777777" w:rsidR="004071CA" w:rsidRPr="00FB3D74" w:rsidRDefault="004071CA" w:rsidP="00942E95">
            <w:pPr>
              <w:tabs>
                <w:tab w:val="left" w:pos="397"/>
              </w:tabs>
              <w:rPr>
                <w:rFonts w:cs="Arial"/>
                <w:b/>
                <w:bCs/>
                <w:sz w:val="16"/>
                <w:szCs w:val="16"/>
              </w:rPr>
            </w:pPr>
            <w:r w:rsidRPr="00FB3D74">
              <w:rPr>
                <w:rFonts w:cs="Arial"/>
                <w:b/>
                <w:bCs/>
                <w:sz w:val="16"/>
                <w:szCs w:val="16"/>
              </w:rPr>
              <w:t>Comisión Estatal del Agua de Colima.</w:t>
            </w:r>
          </w:p>
        </w:tc>
      </w:tr>
      <w:tr w:rsidR="004071CA" w:rsidRPr="00FB3D74" w14:paraId="2846044E" w14:textId="77777777" w:rsidTr="00942E95">
        <w:trPr>
          <w:trHeight w:val="20"/>
        </w:trPr>
        <w:tc>
          <w:tcPr>
            <w:tcW w:w="3823" w:type="dxa"/>
            <w:shd w:val="clear" w:color="auto" w:fill="F2F2F2" w:themeFill="background1" w:themeFillShade="F2"/>
            <w:vAlign w:val="center"/>
          </w:tcPr>
          <w:p w14:paraId="15F540BF" w14:textId="75BEA06C" w:rsidR="004071CA" w:rsidRPr="00FB3D74" w:rsidRDefault="004071CA" w:rsidP="00942E95">
            <w:pPr>
              <w:rPr>
                <w:rFonts w:cs="Arial"/>
                <w:b/>
                <w:bCs/>
                <w:sz w:val="16"/>
                <w:szCs w:val="16"/>
              </w:rPr>
            </w:pPr>
            <w:r w:rsidRPr="00FB3D74">
              <w:rPr>
                <w:rFonts w:cs="Arial"/>
                <w:b/>
                <w:bCs/>
                <w:sz w:val="16"/>
                <w:szCs w:val="16"/>
              </w:rPr>
              <w:t>Objetivo Anual</w:t>
            </w:r>
            <w:r w:rsidR="00C86BC1" w:rsidRPr="00FB3D74">
              <w:rPr>
                <w:rFonts w:cs="Arial"/>
                <w:b/>
                <w:bCs/>
                <w:sz w:val="16"/>
                <w:szCs w:val="16"/>
              </w:rPr>
              <w:t>.</w:t>
            </w:r>
          </w:p>
        </w:tc>
        <w:tc>
          <w:tcPr>
            <w:tcW w:w="4992" w:type="dxa"/>
            <w:shd w:val="clear" w:color="auto" w:fill="F2F2F2" w:themeFill="background1" w:themeFillShade="F2"/>
            <w:vAlign w:val="center"/>
          </w:tcPr>
          <w:p w14:paraId="7CC18CDD" w14:textId="77777777" w:rsidR="004071CA" w:rsidRPr="00FB3D74" w:rsidRDefault="004071CA" w:rsidP="00942E95">
            <w:pPr>
              <w:rPr>
                <w:rFonts w:cs="Arial"/>
                <w:sz w:val="16"/>
                <w:szCs w:val="16"/>
              </w:rPr>
            </w:pPr>
            <w:r w:rsidRPr="00FB3D74">
              <w:rPr>
                <w:rFonts w:cs="Arial"/>
                <w:sz w:val="16"/>
                <w:szCs w:val="16"/>
              </w:rPr>
              <w:t>La población del Estado de Colima recibe con eficiencia y calidad los servicios de agua potable, drenaje y saneamiento.</w:t>
            </w:r>
          </w:p>
        </w:tc>
      </w:tr>
      <w:tr w:rsidR="004071CA" w:rsidRPr="00FB3D74" w14:paraId="28DDA663" w14:textId="77777777" w:rsidTr="00942E95">
        <w:trPr>
          <w:trHeight w:val="20"/>
        </w:trPr>
        <w:tc>
          <w:tcPr>
            <w:tcW w:w="3823" w:type="dxa"/>
            <w:shd w:val="clear" w:color="auto" w:fill="F2F2F2" w:themeFill="background1" w:themeFillShade="F2"/>
            <w:vAlign w:val="center"/>
          </w:tcPr>
          <w:p w14:paraId="211FEE4B" w14:textId="77777777" w:rsidR="004071CA" w:rsidRPr="00FB3D74" w:rsidRDefault="004071CA" w:rsidP="00C86BC1">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6105716F" w14:textId="77777777" w:rsidR="004071CA" w:rsidRPr="00FB3D74" w:rsidRDefault="004071CA" w:rsidP="00C86BC1">
            <w:pPr>
              <w:jc w:val="center"/>
              <w:rPr>
                <w:rFonts w:cs="Arial"/>
                <w:sz w:val="16"/>
                <w:szCs w:val="16"/>
              </w:rPr>
            </w:pPr>
            <w:r w:rsidRPr="00FB3D74">
              <w:rPr>
                <w:rFonts w:cs="Arial"/>
                <w:b/>
                <w:bCs/>
                <w:sz w:val="16"/>
                <w:szCs w:val="16"/>
              </w:rPr>
              <w:t>Metas</w:t>
            </w:r>
          </w:p>
        </w:tc>
      </w:tr>
      <w:tr w:rsidR="004071CA" w:rsidRPr="00FB3D74" w14:paraId="4189E880" w14:textId="77777777" w:rsidTr="00942E95">
        <w:trPr>
          <w:trHeight w:val="20"/>
        </w:trPr>
        <w:tc>
          <w:tcPr>
            <w:tcW w:w="3823" w:type="dxa"/>
            <w:vAlign w:val="center"/>
          </w:tcPr>
          <w:p w14:paraId="5A44EF7E" w14:textId="77777777" w:rsidR="004071CA" w:rsidRPr="00FB3D74" w:rsidRDefault="004071CA" w:rsidP="00942E95">
            <w:pPr>
              <w:rPr>
                <w:rFonts w:cs="Arial"/>
                <w:sz w:val="16"/>
                <w:szCs w:val="16"/>
              </w:rPr>
            </w:pPr>
            <w:r w:rsidRPr="00FB3D74">
              <w:rPr>
                <w:rFonts w:cs="Arial"/>
                <w:sz w:val="16"/>
                <w:szCs w:val="16"/>
              </w:rPr>
              <w:t>Obras de Agua Potable en localidades rurales ejecutadas.</w:t>
            </w:r>
          </w:p>
        </w:tc>
        <w:tc>
          <w:tcPr>
            <w:tcW w:w="4992" w:type="dxa"/>
            <w:vAlign w:val="center"/>
          </w:tcPr>
          <w:p w14:paraId="21A49236" w14:textId="77777777" w:rsidR="004071CA" w:rsidRPr="00FB3D74" w:rsidRDefault="004071CA" w:rsidP="00942E95">
            <w:pPr>
              <w:rPr>
                <w:rFonts w:cs="Arial"/>
                <w:sz w:val="16"/>
                <w:szCs w:val="16"/>
              </w:rPr>
            </w:pPr>
            <w:r w:rsidRPr="00FB3D74">
              <w:rPr>
                <w:rFonts w:cs="Arial"/>
                <w:sz w:val="16"/>
                <w:szCs w:val="16"/>
              </w:rPr>
              <w:t>Ejecutar al 100 por ciento las 3 obras de agua potable.</w:t>
            </w:r>
          </w:p>
        </w:tc>
      </w:tr>
      <w:tr w:rsidR="004071CA" w:rsidRPr="00FB3D74" w14:paraId="65564995" w14:textId="77777777" w:rsidTr="00942E95">
        <w:trPr>
          <w:trHeight w:val="20"/>
        </w:trPr>
        <w:tc>
          <w:tcPr>
            <w:tcW w:w="3823" w:type="dxa"/>
            <w:vAlign w:val="center"/>
          </w:tcPr>
          <w:p w14:paraId="62A949E5" w14:textId="77777777" w:rsidR="004071CA" w:rsidRPr="00FB3D74" w:rsidRDefault="004071CA" w:rsidP="00942E95">
            <w:pPr>
              <w:rPr>
                <w:rFonts w:cs="Arial"/>
                <w:sz w:val="16"/>
                <w:szCs w:val="16"/>
              </w:rPr>
            </w:pPr>
            <w:r w:rsidRPr="00FB3D74">
              <w:rPr>
                <w:rFonts w:cs="Arial"/>
                <w:sz w:val="16"/>
                <w:szCs w:val="16"/>
              </w:rPr>
              <w:t>Obras de Agua Potable en localidades Urbanas ejecutadas.</w:t>
            </w:r>
          </w:p>
        </w:tc>
        <w:tc>
          <w:tcPr>
            <w:tcW w:w="4992" w:type="dxa"/>
            <w:vAlign w:val="center"/>
          </w:tcPr>
          <w:p w14:paraId="1384B667" w14:textId="77777777" w:rsidR="004071CA" w:rsidRPr="00FB3D74" w:rsidRDefault="004071CA" w:rsidP="00942E95">
            <w:pPr>
              <w:rPr>
                <w:rFonts w:cs="Arial"/>
                <w:sz w:val="16"/>
                <w:szCs w:val="16"/>
              </w:rPr>
            </w:pPr>
            <w:r w:rsidRPr="00FB3D74">
              <w:rPr>
                <w:rFonts w:cs="Arial"/>
                <w:sz w:val="16"/>
                <w:szCs w:val="16"/>
              </w:rPr>
              <w:t>Ejecutar al 100 por ciento las 6 obras para de agua potable autorizadas.</w:t>
            </w:r>
          </w:p>
        </w:tc>
      </w:tr>
      <w:tr w:rsidR="004071CA" w:rsidRPr="00FB3D74" w14:paraId="6AE2BF97" w14:textId="77777777" w:rsidTr="00942E95">
        <w:trPr>
          <w:trHeight w:val="20"/>
        </w:trPr>
        <w:tc>
          <w:tcPr>
            <w:tcW w:w="3823" w:type="dxa"/>
            <w:vAlign w:val="center"/>
          </w:tcPr>
          <w:p w14:paraId="3A51D3DD" w14:textId="77777777" w:rsidR="004071CA" w:rsidRPr="00FB3D74" w:rsidRDefault="004071CA" w:rsidP="00942E95">
            <w:pPr>
              <w:rPr>
                <w:rFonts w:cs="Arial"/>
                <w:sz w:val="16"/>
                <w:szCs w:val="16"/>
              </w:rPr>
            </w:pPr>
            <w:r w:rsidRPr="00FB3D74">
              <w:rPr>
                <w:rFonts w:cs="Arial"/>
                <w:sz w:val="16"/>
                <w:szCs w:val="16"/>
              </w:rPr>
              <w:t>Drenaje y saneamiento en localidades urbanas ejecutadas.</w:t>
            </w:r>
          </w:p>
        </w:tc>
        <w:tc>
          <w:tcPr>
            <w:tcW w:w="4992" w:type="dxa"/>
            <w:vAlign w:val="center"/>
          </w:tcPr>
          <w:p w14:paraId="70398CFD" w14:textId="77777777" w:rsidR="004071CA" w:rsidRPr="00FB3D74" w:rsidRDefault="004071CA" w:rsidP="00942E95">
            <w:pPr>
              <w:rPr>
                <w:rFonts w:cs="Arial"/>
                <w:sz w:val="16"/>
                <w:szCs w:val="16"/>
              </w:rPr>
            </w:pPr>
            <w:r w:rsidRPr="00FB3D74">
              <w:rPr>
                <w:rFonts w:cs="Arial"/>
                <w:sz w:val="16"/>
                <w:szCs w:val="16"/>
              </w:rPr>
              <w:t>Ejecutar al 100 por ciento las 6 obras de drenaje y saneamiento en localidades urbanas.</w:t>
            </w:r>
          </w:p>
        </w:tc>
      </w:tr>
      <w:tr w:rsidR="004071CA" w:rsidRPr="00FB3D74" w14:paraId="1E5C6066" w14:textId="77777777" w:rsidTr="00942E95">
        <w:trPr>
          <w:trHeight w:val="20"/>
        </w:trPr>
        <w:tc>
          <w:tcPr>
            <w:tcW w:w="3823" w:type="dxa"/>
            <w:vAlign w:val="center"/>
          </w:tcPr>
          <w:p w14:paraId="17DD0376" w14:textId="77777777" w:rsidR="004071CA" w:rsidRPr="00FB3D74" w:rsidRDefault="004071CA" w:rsidP="00942E95">
            <w:pPr>
              <w:rPr>
                <w:rFonts w:cs="Arial"/>
                <w:sz w:val="16"/>
                <w:szCs w:val="16"/>
              </w:rPr>
            </w:pPr>
            <w:r w:rsidRPr="00FB3D74">
              <w:rPr>
                <w:rFonts w:cs="Arial"/>
                <w:sz w:val="16"/>
                <w:szCs w:val="16"/>
              </w:rPr>
              <w:t>Acciones de desarrollo integral en apoyo de los organismos operadores de agua ejecutadas.</w:t>
            </w:r>
          </w:p>
        </w:tc>
        <w:tc>
          <w:tcPr>
            <w:tcW w:w="4992" w:type="dxa"/>
            <w:vAlign w:val="center"/>
          </w:tcPr>
          <w:p w14:paraId="14DA863C" w14:textId="77777777" w:rsidR="004071CA" w:rsidRPr="00FB3D74" w:rsidRDefault="004071CA" w:rsidP="00942E95">
            <w:pPr>
              <w:rPr>
                <w:rFonts w:cs="Arial"/>
                <w:sz w:val="16"/>
                <w:szCs w:val="16"/>
              </w:rPr>
            </w:pPr>
            <w:r w:rsidRPr="00FB3D74">
              <w:rPr>
                <w:rFonts w:cs="Arial"/>
                <w:sz w:val="16"/>
                <w:szCs w:val="16"/>
              </w:rPr>
              <w:t>Ejecutar el 100 por ciento de 1 acción de desarrollo integral.</w:t>
            </w:r>
          </w:p>
        </w:tc>
      </w:tr>
      <w:tr w:rsidR="004071CA" w:rsidRPr="00FB3D74" w14:paraId="18947B03" w14:textId="77777777" w:rsidTr="00942E95">
        <w:trPr>
          <w:trHeight w:val="20"/>
        </w:trPr>
        <w:tc>
          <w:tcPr>
            <w:tcW w:w="3823" w:type="dxa"/>
            <w:vAlign w:val="center"/>
          </w:tcPr>
          <w:p w14:paraId="58EAF029" w14:textId="77777777" w:rsidR="004071CA" w:rsidRPr="00FB3D74" w:rsidRDefault="004071CA" w:rsidP="00942E95">
            <w:pPr>
              <w:rPr>
                <w:rFonts w:cs="Arial"/>
                <w:sz w:val="16"/>
                <w:szCs w:val="16"/>
              </w:rPr>
            </w:pPr>
            <w:r w:rsidRPr="00FB3D74">
              <w:rPr>
                <w:rFonts w:cs="Arial"/>
                <w:sz w:val="16"/>
                <w:szCs w:val="16"/>
              </w:rPr>
              <w:t>Acciones para garantizar el acceso de la población al consumo de agua desinfectada bacteriológicamente ejecutadas.</w:t>
            </w:r>
          </w:p>
        </w:tc>
        <w:tc>
          <w:tcPr>
            <w:tcW w:w="4992" w:type="dxa"/>
            <w:vAlign w:val="center"/>
          </w:tcPr>
          <w:p w14:paraId="480C3D32" w14:textId="77777777" w:rsidR="004071CA" w:rsidRPr="00FB3D74" w:rsidRDefault="004071CA" w:rsidP="00942E95">
            <w:pPr>
              <w:rPr>
                <w:rFonts w:cs="Arial"/>
                <w:sz w:val="16"/>
                <w:szCs w:val="16"/>
              </w:rPr>
            </w:pPr>
            <w:r w:rsidRPr="00FB3D74">
              <w:rPr>
                <w:rFonts w:cs="Arial"/>
                <w:sz w:val="16"/>
                <w:szCs w:val="16"/>
              </w:rPr>
              <w:t>Alcanzar el 97.0 por ciento de cobertura de desinfección del agua.</w:t>
            </w:r>
          </w:p>
        </w:tc>
      </w:tr>
      <w:tr w:rsidR="004071CA" w:rsidRPr="00FB3D74" w14:paraId="2DD67866" w14:textId="77777777" w:rsidTr="00942E95">
        <w:trPr>
          <w:trHeight w:val="20"/>
        </w:trPr>
        <w:tc>
          <w:tcPr>
            <w:tcW w:w="3823" w:type="dxa"/>
            <w:vAlign w:val="center"/>
          </w:tcPr>
          <w:p w14:paraId="133FDF62" w14:textId="77777777" w:rsidR="004071CA" w:rsidRPr="00FB3D74" w:rsidRDefault="004071CA" w:rsidP="00942E95">
            <w:pPr>
              <w:rPr>
                <w:rFonts w:cs="Arial"/>
                <w:sz w:val="16"/>
                <w:szCs w:val="16"/>
              </w:rPr>
            </w:pPr>
            <w:r w:rsidRPr="00FB3D74">
              <w:rPr>
                <w:rFonts w:cs="Arial"/>
                <w:sz w:val="16"/>
                <w:szCs w:val="16"/>
              </w:rPr>
              <w:t>Actividades de sensibilización sobre el recurso hídrico realizadas.</w:t>
            </w:r>
          </w:p>
        </w:tc>
        <w:tc>
          <w:tcPr>
            <w:tcW w:w="4992" w:type="dxa"/>
            <w:vAlign w:val="center"/>
          </w:tcPr>
          <w:p w14:paraId="14697C69" w14:textId="77777777" w:rsidR="004071CA" w:rsidRPr="00FB3D74" w:rsidRDefault="004071CA" w:rsidP="00942E95">
            <w:pPr>
              <w:rPr>
                <w:rFonts w:cs="Arial"/>
                <w:sz w:val="16"/>
                <w:szCs w:val="16"/>
              </w:rPr>
            </w:pPr>
            <w:r w:rsidRPr="00FB3D74">
              <w:rPr>
                <w:rFonts w:cs="Arial"/>
                <w:sz w:val="16"/>
                <w:szCs w:val="16"/>
              </w:rPr>
              <w:t>Realizar al 100 por ciento las 3 actividades de sensibilización sobre el recurso hídrico realizadas</w:t>
            </w:r>
          </w:p>
        </w:tc>
      </w:tr>
      <w:tr w:rsidR="004071CA" w:rsidRPr="00FB3D74" w14:paraId="162D64FD" w14:textId="77777777" w:rsidTr="00942E95">
        <w:trPr>
          <w:trHeight w:val="20"/>
        </w:trPr>
        <w:tc>
          <w:tcPr>
            <w:tcW w:w="3823" w:type="dxa"/>
            <w:vAlign w:val="center"/>
          </w:tcPr>
          <w:p w14:paraId="17D5B9FF" w14:textId="77777777" w:rsidR="004071CA" w:rsidRPr="00FB3D74" w:rsidRDefault="004071CA" w:rsidP="00942E95">
            <w:pPr>
              <w:rPr>
                <w:rFonts w:cs="Arial"/>
                <w:sz w:val="16"/>
                <w:szCs w:val="16"/>
              </w:rPr>
            </w:pPr>
            <w:r w:rsidRPr="00FB3D74">
              <w:rPr>
                <w:rFonts w:cs="Arial"/>
                <w:sz w:val="16"/>
                <w:szCs w:val="16"/>
              </w:rPr>
              <w:t>Desempeño de Funciones realizadas.</w:t>
            </w:r>
          </w:p>
        </w:tc>
        <w:tc>
          <w:tcPr>
            <w:tcW w:w="4992" w:type="dxa"/>
            <w:vAlign w:val="center"/>
          </w:tcPr>
          <w:p w14:paraId="7D4D3669" w14:textId="77777777" w:rsidR="004071CA" w:rsidRPr="00FB3D74" w:rsidRDefault="004071CA" w:rsidP="00942E95">
            <w:pPr>
              <w:rPr>
                <w:rFonts w:cs="Arial"/>
                <w:sz w:val="16"/>
                <w:szCs w:val="16"/>
              </w:rPr>
            </w:pPr>
            <w:r w:rsidRPr="00FB3D74">
              <w:rPr>
                <w:rFonts w:cs="Arial"/>
                <w:sz w:val="16"/>
                <w:szCs w:val="16"/>
              </w:rPr>
              <w:t>Cumplimiento del 100 por ciento de las 12 reuniones programadas</w:t>
            </w:r>
          </w:p>
        </w:tc>
      </w:tr>
      <w:tr w:rsidR="004071CA" w:rsidRPr="00FB3D74" w14:paraId="199B6E06" w14:textId="77777777" w:rsidTr="00942E95">
        <w:trPr>
          <w:trHeight w:val="20"/>
        </w:trPr>
        <w:tc>
          <w:tcPr>
            <w:tcW w:w="3823" w:type="dxa"/>
            <w:shd w:val="clear" w:color="auto" w:fill="F2F2F2" w:themeFill="background1" w:themeFillShade="F2"/>
            <w:vAlign w:val="center"/>
          </w:tcPr>
          <w:p w14:paraId="668807B6" w14:textId="6FD84017" w:rsidR="004071CA" w:rsidRPr="00FB3D74" w:rsidRDefault="004071CA" w:rsidP="00942E95">
            <w:pPr>
              <w:rPr>
                <w:rFonts w:cs="Arial"/>
                <w:b/>
                <w:bCs/>
                <w:sz w:val="16"/>
                <w:szCs w:val="16"/>
              </w:rPr>
            </w:pPr>
            <w:r w:rsidRPr="00FB3D74">
              <w:rPr>
                <w:rFonts w:cs="Arial"/>
                <w:b/>
                <w:bCs/>
                <w:sz w:val="16"/>
                <w:szCs w:val="16"/>
              </w:rPr>
              <w:t>Número de Programa Presupuestal</w:t>
            </w:r>
            <w:r w:rsidR="009946C0" w:rsidRPr="00FB3D74">
              <w:rPr>
                <w:rFonts w:cs="Arial"/>
                <w:b/>
                <w:bCs/>
                <w:sz w:val="16"/>
                <w:szCs w:val="16"/>
              </w:rPr>
              <w:t>.</w:t>
            </w:r>
          </w:p>
        </w:tc>
        <w:tc>
          <w:tcPr>
            <w:tcW w:w="4992" w:type="dxa"/>
            <w:shd w:val="clear" w:color="auto" w:fill="F2F2F2" w:themeFill="background1" w:themeFillShade="F2"/>
            <w:vAlign w:val="center"/>
          </w:tcPr>
          <w:p w14:paraId="0B9CCE1A" w14:textId="3A61962B" w:rsidR="004071CA" w:rsidRPr="00FB3D74" w:rsidRDefault="004071CA" w:rsidP="00942E95">
            <w:pPr>
              <w:rPr>
                <w:rFonts w:cs="Arial"/>
                <w:b/>
                <w:bCs/>
                <w:sz w:val="16"/>
                <w:szCs w:val="16"/>
              </w:rPr>
            </w:pPr>
            <w:r w:rsidRPr="00FB3D74">
              <w:rPr>
                <w:rFonts w:cs="Arial"/>
                <w:b/>
                <w:bCs/>
                <w:sz w:val="16"/>
                <w:szCs w:val="16"/>
              </w:rPr>
              <w:t>40</w:t>
            </w:r>
            <w:r w:rsidR="009946C0" w:rsidRPr="00FB3D74">
              <w:rPr>
                <w:rFonts w:cs="Arial"/>
                <w:b/>
                <w:bCs/>
                <w:sz w:val="16"/>
                <w:szCs w:val="16"/>
              </w:rPr>
              <w:t>.</w:t>
            </w:r>
          </w:p>
        </w:tc>
      </w:tr>
      <w:tr w:rsidR="004071CA" w:rsidRPr="00FB3D74" w14:paraId="19CF03DB" w14:textId="77777777" w:rsidTr="00942E95">
        <w:trPr>
          <w:trHeight w:val="20"/>
        </w:trPr>
        <w:tc>
          <w:tcPr>
            <w:tcW w:w="3823" w:type="dxa"/>
            <w:shd w:val="clear" w:color="auto" w:fill="F2F2F2" w:themeFill="background1" w:themeFillShade="F2"/>
            <w:vAlign w:val="center"/>
          </w:tcPr>
          <w:p w14:paraId="7AD8A6F4" w14:textId="561F9C87" w:rsidR="004071CA" w:rsidRPr="00FB3D74" w:rsidRDefault="004071CA" w:rsidP="00942E95">
            <w:pPr>
              <w:rPr>
                <w:rFonts w:cs="Arial"/>
                <w:b/>
                <w:bCs/>
                <w:sz w:val="16"/>
                <w:szCs w:val="16"/>
              </w:rPr>
            </w:pPr>
            <w:r w:rsidRPr="00FB3D74">
              <w:rPr>
                <w:rFonts w:cs="Arial"/>
                <w:b/>
                <w:bCs/>
                <w:sz w:val="16"/>
                <w:szCs w:val="16"/>
              </w:rPr>
              <w:t>Dependencia/Organismo</w:t>
            </w:r>
            <w:r w:rsidR="009946C0" w:rsidRPr="00FB3D74">
              <w:rPr>
                <w:rFonts w:cs="Arial"/>
                <w:b/>
                <w:bCs/>
                <w:sz w:val="16"/>
                <w:szCs w:val="16"/>
              </w:rPr>
              <w:t>.</w:t>
            </w:r>
          </w:p>
        </w:tc>
        <w:tc>
          <w:tcPr>
            <w:tcW w:w="4992" w:type="dxa"/>
            <w:shd w:val="clear" w:color="auto" w:fill="F2F2F2" w:themeFill="background1" w:themeFillShade="F2"/>
            <w:vAlign w:val="center"/>
          </w:tcPr>
          <w:p w14:paraId="6489E97B" w14:textId="77777777" w:rsidR="004071CA" w:rsidRPr="00FB3D74" w:rsidRDefault="004071CA" w:rsidP="00942E95">
            <w:pPr>
              <w:tabs>
                <w:tab w:val="left" w:pos="397"/>
              </w:tabs>
              <w:rPr>
                <w:rFonts w:cs="Arial"/>
                <w:b/>
                <w:bCs/>
                <w:sz w:val="16"/>
                <w:szCs w:val="16"/>
              </w:rPr>
            </w:pPr>
            <w:r w:rsidRPr="00FB3D74">
              <w:rPr>
                <w:rFonts w:cs="Arial"/>
                <w:b/>
                <w:bCs/>
                <w:sz w:val="16"/>
                <w:szCs w:val="16"/>
              </w:rPr>
              <w:t>Instituto para el Medio Ambiente y Desarrollo Sustentable.</w:t>
            </w:r>
          </w:p>
        </w:tc>
      </w:tr>
      <w:tr w:rsidR="004071CA" w:rsidRPr="00FB3D74" w14:paraId="650FEBA4" w14:textId="77777777" w:rsidTr="00942E95">
        <w:trPr>
          <w:trHeight w:val="20"/>
        </w:trPr>
        <w:tc>
          <w:tcPr>
            <w:tcW w:w="3823" w:type="dxa"/>
            <w:shd w:val="clear" w:color="auto" w:fill="F2F2F2" w:themeFill="background1" w:themeFillShade="F2"/>
            <w:vAlign w:val="center"/>
          </w:tcPr>
          <w:p w14:paraId="35D398D0" w14:textId="15C4CFB8" w:rsidR="004071CA" w:rsidRPr="00FB3D74" w:rsidRDefault="004071CA" w:rsidP="00942E95">
            <w:pPr>
              <w:rPr>
                <w:rFonts w:cs="Arial"/>
                <w:b/>
                <w:bCs/>
                <w:sz w:val="16"/>
                <w:szCs w:val="16"/>
              </w:rPr>
            </w:pPr>
            <w:r w:rsidRPr="00FB3D74">
              <w:rPr>
                <w:rFonts w:cs="Arial"/>
                <w:b/>
                <w:bCs/>
                <w:sz w:val="16"/>
                <w:szCs w:val="16"/>
              </w:rPr>
              <w:t>Objetivo Anual</w:t>
            </w:r>
            <w:r w:rsidR="009946C0" w:rsidRPr="00FB3D74">
              <w:rPr>
                <w:rFonts w:cs="Arial"/>
                <w:b/>
                <w:bCs/>
                <w:sz w:val="16"/>
                <w:szCs w:val="16"/>
              </w:rPr>
              <w:t>.</w:t>
            </w:r>
          </w:p>
        </w:tc>
        <w:tc>
          <w:tcPr>
            <w:tcW w:w="4992" w:type="dxa"/>
            <w:shd w:val="clear" w:color="auto" w:fill="F2F2F2" w:themeFill="background1" w:themeFillShade="F2"/>
            <w:vAlign w:val="center"/>
          </w:tcPr>
          <w:p w14:paraId="119A3C81" w14:textId="77777777" w:rsidR="004071CA" w:rsidRPr="00FB3D74" w:rsidRDefault="004071CA" w:rsidP="00942E95">
            <w:pPr>
              <w:rPr>
                <w:rFonts w:cs="Arial"/>
                <w:sz w:val="16"/>
                <w:szCs w:val="16"/>
              </w:rPr>
            </w:pPr>
            <w:r w:rsidRPr="00FB3D74">
              <w:rPr>
                <w:rFonts w:cs="Arial"/>
                <w:sz w:val="16"/>
                <w:szCs w:val="16"/>
              </w:rPr>
              <w:t>La población del Estado de Colima participa de manera responsable e informada, en las políticas públicas, normatividad y acciones de conservación, restauración y aprovechamiento sustentable de los recursos naturales, protección al ambiente, y de mitigación y adaptación al cambio climático.</w:t>
            </w:r>
          </w:p>
        </w:tc>
      </w:tr>
      <w:tr w:rsidR="004071CA" w:rsidRPr="00FB3D74" w14:paraId="46CAC85C" w14:textId="77777777" w:rsidTr="00942E95">
        <w:trPr>
          <w:trHeight w:val="20"/>
        </w:trPr>
        <w:tc>
          <w:tcPr>
            <w:tcW w:w="3823" w:type="dxa"/>
            <w:shd w:val="clear" w:color="auto" w:fill="F2F2F2" w:themeFill="background1" w:themeFillShade="F2"/>
            <w:vAlign w:val="center"/>
          </w:tcPr>
          <w:p w14:paraId="2ECFD70F" w14:textId="77777777" w:rsidR="004071CA" w:rsidRPr="00FB3D74" w:rsidRDefault="004071CA" w:rsidP="009946C0">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767A242D" w14:textId="77777777" w:rsidR="004071CA" w:rsidRPr="00FB3D74" w:rsidRDefault="004071CA" w:rsidP="009946C0">
            <w:pPr>
              <w:jc w:val="center"/>
              <w:rPr>
                <w:rFonts w:cs="Arial"/>
                <w:sz w:val="16"/>
                <w:szCs w:val="16"/>
              </w:rPr>
            </w:pPr>
            <w:r w:rsidRPr="00FB3D74">
              <w:rPr>
                <w:rFonts w:cs="Arial"/>
                <w:b/>
                <w:bCs/>
                <w:sz w:val="16"/>
                <w:szCs w:val="16"/>
              </w:rPr>
              <w:t>Metas</w:t>
            </w:r>
          </w:p>
        </w:tc>
      </w:tr>
      <w:tr w:rsidR="004071CA" w:rsidRPr="00FB3D74" w14:paraId="00944ED3" w14:textId="77777777" w:rsidTr="00942E95">
        <w:trPr>
          <w:trHeight w:val="20"/>
        </w:trPr>
        <w:tc>
          <w:tcPr>
            <w:tcW w:w="3823" w:type="dxa"/>
            <w:vAlign w:val="center"/>
          </w:tcPr>
          <w:p w14:paraId="6C754E8E" w14:textId="77777777" w:rsidR="004071CA" w:rsidRPr="00FB3D74" w:rsidRDefault="004071CA" w:rsidP="00942E95">
            <w:pPr>
              <w:rPr>
                <w:rFonts w:cs="Arial"/>
                <w:sz w:val="16"/>
                <w:szCs w:val="16"/>
              </w:rPr>
            </w:pPr>
            <w:r w:rsidRPr="00FB3D74">
              <w:rPr>
                <w:rFonts w:cs="Arial"/>
                <w:sz w:val="16"/>
                <w:szCs w:val="16"/>
              </w:rPr>
              <w:t>Programas, proyectos, acciones y política pública estatal ambiental realizados.</w:t>
            </w:r>
          </w:p>
        </w:tc>
        <w:tc>
          <w:tcPr>
            <w:tcW w:w="4992" w:type="dxa"/>
            <w:vAlign w:val="center"/>
          </w:tcPr>
          <w:p w14:paraId="6B539552" w14:textId="77777777" w:rsidR="004071CA" w:rsidRPr="00FB3D74" w:rsidRDefault="004071CA" w:rsidP="00942E95">
            <w:pPr>
              <w:rPr>
                <w:rFonts w:cs="Arial"/>
                <w:sz w:val="16"/>
                <w:szCs w:val="16"/>
              </w:rPr>
            </w:pPr>
            <w:r w:rsidRPr="00FB3D74">
              <w:rPr>
                <w:rFonts w:cs="Arial"/>
                <w:sz w:val="16"/>
                <w:szCs w:val="16"/>
              </w:rPr>
              <w:t>Lograr el 100 por ciento de las 4 acciones previstas para la implementación y/o generación de los instrumentos de política pública previstos para este año.</w:t>
            </w:r>
          </w:p>
        </w:tc>
      </w:tr>
      <w:tr w:rsidR="004071CA" w:rsidRPr="00FB3D74" w14:paraId="7A346BAC" w14:textId="77777777" w:rsidTr="00942E95">
        <w:trPr>
          <w:trHeight w:val="20"/>
        </w:trPr>
        <w:tc>
          <w:tcPr>
            <w:tcW w:w="3823" w:type="dxa"/>
            <w:vAlign w:val="center"/>
          </w:tcPr>
          <w:p w14:paraId="54A094A5" w14:textId="77777777" w:rsidR="004071CA" w:rsidRPr="00FB3D74" w:rsidRDefault="004071CA" w:rsidP="00942E95">
            <w:pPr>
              <w:rPr>
                <w:rFonts w:cs="Arial"/>
                <w:sz w:val="16"/>
                <w:szCs w:val="16"/>
              </w:rPr>
            </w:pPr>
            <w:r w:rsidRPr="00FB3D74">
              <w:rPr>
                <w:rFonts w:cs="Arial"/>
                <w:sz w:val="16"/>
                <w:szCs w:val="16"/>
              </w:rPr>
              <w:t>Legislación ambiental estatal aplicable generada y actualizada.</w:t>
            </w:r>
          </w:p>
        </w:tc>
        <w:tc>
          <w:tcPr>
            <w:tcW w:w="4992" w:type="dxa"/>
            <w:vAlign w:val="center"/>
          </w:tcPr>
          <w:p w14:paraId="2F736D4A" w14:textId="77777777" w:rsidR="004071CA" w:rsidRPr="00FB3D74" w:rsidRDefault="004071CA" w:rsidP="00942E95">
            <w:pPr>
              <w:rPr>
                <w:rFonts w:cs="Arial"/>
                <w:sz w:val="16"/>
                <w:szCs w:val="16"/>
              </w:rPr>
            </w:pPr>
            <w:r w:rsidRPr="00FB3D74">
              <w:rPr>
                <w:rFonts w:cs="Arial"/>
                <w:sz w:val="16"/>
                <w:szCs w:val="16"/>
              </w:rPr>
              <w:t>Elaborar el 100 por ciento de las acciones de fortalecimiento de la legislación aplicable.</w:t>
            </w:r>
          </w:p>
        </w:tc>
      </w:tr>
      <w:tr w:rsidR="004071CA" w:rsidRPr="00FB3D74" w14:paraId="49C0B2C6" w14:textId="77777777" w:rsidTr="00942E95">
        <w:trPr>
          <w:trHeight w:val="20"/>
        </w:trPr>
        <w:tc>
          <w:tcPr>
            <w:tcW w:w="3823" w:type="dxa"/>
            <w:vAlign w:val="center"/>
          </w:tcPr>
          <w:p w14:paraId="4813A3BD" w14:textId="175645BD" w:rsidR="004071CA" w:rsidRPr="00FB3D74" w:rsidRDefault="004071CA" w:rsidP="00942E95">
            <w:pPr>
              <w:rPr>
                <w:rFonts w:cs="Arial"/>
                <w:sz w:val="16"/>
                <w:szCs w:val="16"/>
              </w:rPr>
            </w:pPr>
            <w:r w:rsidRPr="00FB3D74">
              <w:rPr>
                <w:rFonts w:cs="Arial"/>
                <w:sz w:val="16"/>
                <w:szCs w:val="16"/>
              </w:rPr>
              <w:t xml:space="preserve">Trámites ambientales de competencia estatal atendidos con su respectivo resolutivo emitido por el </w:t>
            </w:r>
            <w:r w:rsidR="00D25F61" w:rsidRPr="00FB3D74">
              <w:rPr>
                <w:rFonts w:cs="Arial"/>
                <w:sz w:val="16"/>
                <w:szCs w:val="16"/>
              </w:rPr>
              <w:t>Instituto para el Medio Ambiente y Desarrollo Sustentable (IMADES)</w:t>
            </w:r>
            <w:r w:rsidRPr="00FB3D74">
              <w:rPr>
                <w:rFonts w:cs="Arial"/>
                <w:sz w:val="16"/>
                <w:szCs w:val="16"/>
              </w:rPr>
              <w:t>.</w:t>
            </w:r>
          </w:p>
        </w:tc>
        <w:tc>
          <w:tcPr>
            <w:tcW w:w="4992" w:type="dxa"/>
            <w:vAlign w:val="center"/>
          </w:tcPr>
          <w:p w14:paraId="347D660C" w14:textId="77777777" w:rsidR="004071CA" w:rsidRPr="00FB3D74" w:rsidRDefault="004071CA" w:rsidP="00942E95">
            <w:pPr>
              <w:rPr>
                <w:rFonts w:cs="Arial"/>
                <w:sz w:val="16"/>
                <w:szCs w:val="16"/>
              </w:rPr>
            </w:pPr>
            <w:r w:rsidRPr="00FB3D74">
              <w:rPr>
                <w:rFonts w:cs="Arial"/>
                <w:sz w:val="16"/>
                <w:szCs w:val="16"/>
              </w:rPr>
              <w:t>Atender el 100 por ciento de los 601 trámites que promueven una armonización en la regulación integral del territorio.</w:t>
            </w:r>
          </w:p>
        </w:tc>
      </w:tr>
      <w:tr w:rsidR="004071CA" w:rsidRPr="00FB3D74" w14:paraId="7F17A4BE" w14:textId="77777777" w:rsidTr="00942E95">
        <w:trPr>
          <w:trHeight w:val="20"/>
        </w:trPr>
        <w:tc>
          <w:tcPr>
            <w:tcW w:w="3823" w:type="dxa"/>
            <w:vAlign w:val="center"/>
          </w:tcPr>
          <w:p w14:paraId="00973CA9" w14:textId="77777777" w:rsidR="004071CA" w:rsidRPr="00FB3D74" w:rsidRDefault="004071CA" w:rsidP="00942E95">
            <w:pPr>
              <w:rPr>
                <w:rFonts w:cs="Arial"/>
                <w:sz w:val="16"/>
                <w:szCs w:val="16"/>
              </w:rPr>
            </w:pPr>
            <w:r w:rsidRPr="00FB3D74">
              <w:rPr>
                <w:rFonts w:cs="Arial"/>
                <w:sz w:val="16"/>
                <w:szCs w:val="16"/>
              </w:rPr>
              <w:t>Ciudadanía participativa en actividades de educación ambiental promovidas.</w:t>
            </w:r>
          </w:p>
        </w:tc>
        <w:tc>
          <w:tcPr>
            <w:tcW w:w="4992" w:type="dxa"/>
            <w:vAlign w:val="center"/>
          </w:tcPr>
          <w:p w14:paraId="44FED3FF" w14:textId="77777777" w:rsidR="004071CA" w:rsidRPr="00FB3D74" w:rsidRDefault="004071CA" w:rsidP="00942E95">
            <w:pPr>
              <w:rPr>
                <w:rFonts w:cs="Arial"/>
                <w:sz w:val="16"/>
                <w:szCs w:val="16"/>
              </w:rPr>
            </w:pPr>
            <w:r w:rsidRPr="00FB3D74">
              <w:rPr>
                <w:rFonts w:cs="Arial"/>
                <w:sz w:val="16"/>
                <w:szCs w:val="16"/>
              </w:rPr>
              <w:t>Promover el 100 por ciento de las 48 actividades de educación ambiental formal y no formal.</w:t>
            </w:r>
          </w:p>
        </w:tc>
      </w:tr>
      <w:tr w:rsidR="004071CA" w:rsidRPr="00FB3D74" w14:paraId="7A1AF76E" w14:textId="77777777" w:rsidTr="00942E95">
        <w:trPr>
          <w:trHeight w:val="20"/>
        </w:trPr>
        <w:tc>
          <w:tcPr>
            <w:tcW w:w="3823" w:type="dxa"/>
            <w:vAlign w:val="center"/>
          </w:tcPr>
          <w:p w14:paraId="491800CA" w14:textId="63BE34BB" w:rsidR="004071CA" w:rsidRPr="00FB3D74" w:rsidRDefault="004071CA" w:rsidP="00942E95">
            <w:pPr>
              <w:rPr>
                <w:rFonts w:cs="Arial"/>
                <w:sz w:val="16"/>
                <w:szCs w:val="16"/>
              </w:rPr>
            </w:pPr>
            <w:r w:rsidRPr="00FB3D74">
              <w:rPr>
                <w:rFonts w:cs="Arial"/>
                <w:sz w:val="16"/>
                <w:szCs w:val="16"/>
              </w:rPr>
              <w:t xml:space="preserve">Desempeño de funciones administrativas para la operación del </w:t>
            </w:r>
            <w:r w:rsidR="00D25F61" w:rsidRPr="00FB3D74">
              <w:rPr>
                <w:rFonts w:cs="Arial"/>
                <w:sz w:val="16"/>
                <w:szCs w:val="16"/>
              </w:rPr>
              <w:t xml:space="preserve">Instituto para el Medio Ambiente y Desarrollo Sustentable (IMADES) </w:t>
            </w:r>
            <w:r w:rsidRPr="00FB3D74">
              <w:rPr>
                <w:rFonts w:cs="Arial"/>
                <w:sz w:val="16"/>
                <w:szCs w:val="16"/>
              </w:rPr>
              <w:t>realizado.</w:t>
            </w:r>
          </w:p>
        </w:tc>
        <w:tc>
          <w:tcPr>
            <w:tcW w:w="4992" w:type="dxa"/>
            <w:vAlign w:val="center"/>
          </w:tcPr>
          <w:p w14:paraId="38E31149" w14:textId="0BCBB897" w:rsidR="004071CA" w:rsidRPr="00FB3D74" w:rsidRDefault="004071CA" w:rsidP="00942E95">
            <w:pPr>
              <w:rPr>
                <w:rFonts w:cs="Arial"/>
                <w:sz w:val="16"/>
                <w:szCs w:val="16"/>
              </w:rPr>
            </w:pPr>
            <w:r w:rsidRPr="00FB3D74">
              <w:rPr>
                <w:rFonts w:cs="Arial"/>
                <w:sz w:val="16"/>
                <w:szCs w:val="16"/>
              </w:rPr>
              <w:t>Ejecutar el 100 por ciento de las 192 actividades para el correcto desempeño administrativo del</w:t>
            </w:r>
            <w:r w:rsidR="00D25F61" w:rsidRPr="00FB3D74">
              <w:rPr>
                <w:rFonts w:cs="Arial"/>
                <w:sz w:val="16"/>
                <w:szCs w:val="16"/>
              </w:rPr>
              <w:t xml:space="preserve"> Instituto para el Medio Ambiente y Desarrollo Sustentable</w:t>
            </w:r>
            <w:r w:rsidRPr="00FB3D74">
              <w:rPr>
                <w:rFonts w:cs="Arial"/>
                <w:sz w:val="16"/>
                <w:szCs w:val="16"/>
              </w:rPr>
              <w:t xml:space="preserve"> </w:t>
            </w:r>
            <w:r w:rsidR="00D25F61" w:rsidRPr="00FB3D74">
              <w:rPr>
                <w:rFonts w:cs="Arial"/>
                <w:sz w:val="16"/>
                <w:szCs w:val="16"/>
              </w:rPr>
              <w:t>(</w:t>
            </w:r>
            <w:r w:rsidRPr="00FB3D74">
              <w:rPr>
                <w:rFonts w:cs="Arial"/>
                <w:sz w:val="16"/>
                <w:szCs w:val="16"/>
              </w:rPr>
              <w:t>IMADES</w:t>
            </w:r>
            <w:r w:rsidR="00D25F61" w:rsidRPr="00FB3D74">
              <w:rPr>
                <w:rFonts w:cs="Arial"/>
                <w:sz w:val="16"/>
                <w:szCs w:val="16"/>
              </w:rPr>
              <w:t>)</w:t>
            </w:r>
            <w:r w:rsidRPr="00FB3D74">
              <w:rPr>
                <w:rFonts w:cs="Arial"/>
                <w:sz w:val="16"/>
                <w:szCs w:val="16"/>
              </w:rPr>
              <w:t>.</w:t>
            </w:r>
          </w:p>
        </w:tc>
      </w:tr>
      <w:tr w:rsidR="004071CA" w:rsidRPr="00FB3D74" w14:paraId="7E17208B" w14:textId="77777777" w:rsidTr="00942E95">
        <w:trPr>
          <w:trHeight w:val="20"/>
        </w:trPr>
        <w:tc>
          <w:tcPr>
            <w:tcW w:w="3823" w:type="dxa"/>
            <w:shd w:val="clear" w:color="auto" w:fill="F2F2F2" w:themeFill="background1" w:themeFillShade="F2"/>
            <w:vAlign w:val="center"/>
          </w:tcPr>
          <w:p w14:paraId="779335F6" w14:textId="4CCABEAC" w:rsidR="004071CA" w:rsidRPr="00FB3D74" w:rsidRDefault="004071CA" w:rsidP="00942E95">
            <w:pPr>
              <w:rPr>
                <w:rFonts w:cs="Arial"/>
                <w:b/>
                <w:bCs/>
                <w:sz w:val="16"/>
                <w:szCs w:val="16"/>
              </w:rPr>
            </w:pPr>
            <w:r w:rsidRPr="00FB3D74">
              <w:rPr>
                <w:rFonts w:cs="Arial"/>
                <w:b/>
                <w:bCs/>
                <w:sz w:val="16"/>
                <w:szCs w:val="16"/>
              </w:rPr>
              <w:t>Número de Programa Presupuestal</w:t>
            </w:r>
            <w:r w:rsidR="009946C0" w:rsidRPr="00FB3D74">
              <w:rPr>
                <w:rFonts w:cs="Arial"/>
                <w:b/>
                <w:bCs/>
                <w:sz w:val="16"/>
                <w:szCs w:val="16"/>
              </w:rPr>
              <w:t>.</w:t>
            </w:r>
          </w:p>
        </w:tc>
        <w:tc>
          <w:tcPr>
            <w:tcW w:w="4992" w:type="dxa"/>
            <w:shd w:val="clear" w:color="auto" w:fill="F2F2F2" w:themeFill="background1" w:themeFillShade="F2"/>
            <w:vAlign w:val="center"/>
          </w:tcPr>
          <w:p w14:paraId="658A1A12" w14:textId="7CDC3DB4" w:rsidR="004071CA" w:rsidRPr="00FB3D74" w:rsidRDefault="004071CA" w:rsidP="00942E95">
            <w:pPr>
              <w:rPr>
                <w:rFonts w:cs="Arial"/>
                <w:b/>
                <w:bCs/>
                <w:sz w:val="16"/>
                <w:szCs w:val="16"/>
              </w:rPr>
            </w:pPr>
            <w:r w:rsidRPr="00FB3D74">
              <w:rPr>
                <w:rFonts w:cs="Arial"/>
                <w:b/>
                <w:bCs/>
                <w:sz w:val="16"/>
                <w:szCs w:val="16"/>
              </w:rPr>
              <w:t>41</w:t>
            </w:r>
            <w:r w:rsidR="009946C0" w:rsidRPr="00FB3D74">
              <w:rPr>
                <w:rFonts w:cs="Arial"/>
                <w:b/>
                <w:bCs/>
                <w:sz w:val="16"/>
                <w:szCs w:val="16"/>
              </w:rPr>
              <w:t>.</w:t>
            </w:r>
          </w:p>
        </w:tc>
      </w:tr>
      <w:tr w:rsidR="004071CA" w:rsidRPr="00FB3D74" w14:paraId="594397B2" w14:textId="77777777" w:rsidTr="00942E95">
        <w:trPr>
          <w:trHeight w:val="20"/>
        </w:trPr>
        <w:tc>
          <w:tcPr>
            <w:tcW w:w="3823" w:type="dxa"/>
            <w:shd w:val="clear" w:color="auto" w:fill="F2F2F2" w:themeFill="background1" w:themeFillShade="F2"/>
            <w:vAlign w:val="center"/>
          </w:tcPr>
          <w:p w14:paraId="584865F0" w14:textId="1901982A" w:rsidR="004071CA" w:rsidRPr="00FB3D74" w:rsidRDefault="004071CA" w:rsidP="00942E95">
            <w:pPr>
              <w:rPr>
                <w:rFonts w:cs="Arial"/>
                <w:b/>
                <w:bCs/>
                <w:sz w:val="16"/>
                <w:szCs w:val="16"/>
              </w:rPr>
            </w:pPr>
            <w:r w:rsidRPr="00FB3D74">
              <w:rPr>
                <w:rFonts w:cs="Arial"/>
                <w:b/>
                <w:bCs/>
                <w:sz w:val="16"/>
                <w:szCs w:val="16"/>
              </w:rPr>
              <w:t>Dependencia/Organismo</w:t>
            </w:r>
            <w:r w:rsidR="009946C0" w:rsidRPr="00FB3D74">
              <w:rPr>
                <w:rFonts w:cs="Arial"/>
                <w:b/>
                <w:bCs/>
                <w:sz w:val="16"/>
                <w:szCs w:val="16"/>
              </w:rPr>
              <w:t>.</w:t>
            </w:r>
          </w:p>
        </w:tc>
        <w:tc>
          <w:tcPr>
            <w:tcW w:w="4992" w:type="dxa"/>
            <w:shd w:val="clear" w:color="auto" w:fill="F2F2F2" w:themeFill="background1" w:themeFillShade="F2"/>
            <w:vAlign w:val="center"/>
          </w:tcPr>
          <w:p w14:paraId="6C7B8253" w14:textId="77777777" w:rsidR="004071CA" w:rsidRPr="00FB3D74" w:rsidRDefault="004071CA" w:rsidP="00942E95">
            <w:pPr>
              <w:tabs>
                <w:tab w:val="left" w:pos="397"/>
              </w:tabs>
              <w:rPr>
                <w:rFonts w:cs="Arial"/>
                <w:b/>
                <w:bCs/>
                <w:sz w:val="16"/>
                <w:szCs w:val="16"/>
              </w:rPr>
            </w:pPr>
            <w:r w:rsidRPr="00FB3D74">
              <w:rPr>
                <w:rFonts w:cs="Arial"/>
                <w:b/>
                <w:bCs/>
                <w:sz w:val="16"/>
                <w:szCs w:val="16"/>
              </w:rPr>
              <w:t>Secretaría de Planeación, Finanzas y Administración.</w:t>
            </w:r>
          </w:p>
        </w:tc>
      </w:tr>
      <w:tr w:rsidR="004071CA" w:rsidRPr="00FB3D74" w14:paraId="45EA78AC" w14:textId="77777777" w:rsidTr="00942E95">
        <w:trPr>
          <w:trHeight w:val="20"/>
        </w:trPr>
        <w:tc>
          <w:tcPr>
            <w:tcW w:w="3823" w:type="dxa"/>
            <w:shd w:val="clear" w:color="auto" w:fill="F2F2F2" w:themeFill="background1" w:themeFillShade="F2"/>
            <w:vAlign w:val="center"/>
          </w:tcPr>
          <w:p w14:paraId="111F7716" w14:textId="6D374844" w:rsidR="004071CA" w:rsidRPr="00FB3D74" w:rsidRDefault="004071CA" w:rsidP="00942E95">
            <w:pPr>
              <w:rPr>
                <w:rFonts w:cs="Arial"/>
                <w:b/>
                <w:bCs/>
                <w:sz w:val="16"/>
                <w:szCs w:val="16"/>
              </w:rPr>
            </w:pPr>
            <w:r w:rsidRPr="00FB3D74">
              <w:rPr>
                <w:rFonts w:cs="Arial"/>
                <w:b/>
                <w:bCs/>
                <w:sz w:val="16"/>
                <w:szCs w:val="16"/>
              </w:rPr>
              <w:t>Objetivo Anual</w:t>
            </w:r>
            <w:r w:rsidR="009946C0" w:rsidRPr="00FB3D74">
              <w:rPr>
                <w:rFonts w:cs="Arial"/>
                <w:b/>
                <w:bCs/>
                <w:sz w:val="16"/>
                <w:szCs w:val="16"/>
              </w:rPr>
              <w:t>.</w:t>
            </w:r>
          </w:p>
        </w:tc>
        <w:tc>
          <w:tcPr>
            <w:tcW w:w="4992" w:type="dxa"/>
            <w:shd w:val="clear" w:color="auto" w:fill="F2F2F2" w:themeFill="background1" w:themeFillShade="F2"/>
            <w:vAlign w:val="center"/>
          </w:tcPr>
          <w:p w14:paraId="7F283E49" w14:textId="77777777" w:rsidR="004071CA" w:rsidRPr="00FB3D74" w:rsidRDefault="004071CA" w:rsidP="00942E95">
            <w:pPr>
              <w:rPr>
                <w:rFonts w:cs="Arial"/>
                <w:sz w:val="16"/>
                <w:szCs w:val="16"/>
              </w:rPr>
            </w:pPr>
            <w:r w:rsidRPr="00FB3D74">
              <w:rPr>
                <w:rFonts w:cs="Arial"/>
                <w:sz w:val="16"/>
                <w:szCs w:val="16"/>
              </w:rPr>
              <w:t>La población del Estado de Colima cuenta con una administración pública atendida con oportunidad, eficiencia y eficacia, que permite una adecuada recaudación y distribución de los recursos públicos.</w:t>
            </w:r>
          </w:p>
        </w:tc>
      </w:tr>
      <w:tr w:rsidR="004071CA" w:rsidRPr="00FB3D74" w14:paraId="2B03A461" w14:textId="77777777" w:rsidTr="00942E95">
        <w:trPr>
          <w:trHeight w:val="20"/>
        </w:trPr>
        <w:tc>
          <w:tcPr>
            <w:tcW w:w="3823" w:type="dxa"/>
            <w:shd w:val="clear" w:color="auto" w:fill="F2F2F2" w:themeFill="background1" w:themeFillShade="F2"/>
            <w:vAlign w:val="center"/>
          </w:tcPr>
          <w:p w14:paraId="4F242597" w14:textId="77777777" w:rsidR="004071CA" w:rsidRPr="00FB3D74" w:rsidRDefault="004071CA" w:rsidP="009946C0">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38C2FA28" w14:textId="77777777" w:rsidR="004071CA" w:rsidRPr="00FB3D74" w:rsidRDefault="004071CA" w:rsidP="009946C0">
            <w:pPr>
              <w:jc w:val="center"/>
              <w:rPr>
                <w:rFonts w:cs="Arial"/>
                <w:sz w:val="16"/>
                <w:szCs w:val="16"/>
              </w:rPr>
            </w:pPr>
            <w:r w:rsidRPr="00FB3D74">
              <w:rPr>
                <w:rFonts w:cs="Arial"/>
                <w:b/>
                <w:bCs/>
                <w:sz w:val="16"/>
                <w:szCs w:val="16"/>
              </w:rPr>
              <w:t>Metas</w:t>
            </w:r>
          </w:p>
        </w:tc>
      </w:tr>
      <w:tr w:rsidR="004071CA" w:rsidRPr="00FB3D74" w14:paraId="62CDB73C" w14:textId="77777777" w:rsidTr="00942E95">
        <w:trPr>
          <w:trHeight w:val="20"/>
        </w:trPr>
        <w:tc>
          <w:tcPr>
            <w:tcW w:w="3823" w:type="dxa"/>
            <w:vAlign w:val="center"/>
          </w:tcPr>
          <w:p w14:paraId="45C5DA88" w14:textId="61423277" w:rsidR="004071CA" w:rsidRPr="00FB3D74" w:rsidRDefault="004071CA" w:rsidP="00942E95">
            <w:pPr>
              <w:rPr>
                <w:rFonts w:cs="Arial"/>
                <w:sz w:val="16"/>
                <w:szCs w:val="16"/>
              </w:rPr>
            </w:pPr>
            <w:r w:rsidRPr="00FB3D74">
              <w:rPr>
                <w:rFonts w:cs="Arial"/>
                <w:sz w:val="16"/>
                <w:szCs w:val="16"/>
              </w:rPr>
              <w:t xml:space="preserve">Asuntos jurídicos de la </w:t>
            </w:r>
            <w:r w:rsidR="00D25F61" w:rsidRPr="00FB3D74">
              <w:rPr>
                <w:rFonts w:cs="Arial"/>
                <w:sz w:val="16"/>
                <w:szCs w:val="16"/>
              </w:rPr>
              <w:t xml:space="preserve">Secretaría de Planeación, Finanzas y Administración </w:t>
            </w:r>
            <w:r w:rsidRPr="00FB3D74">
              <w:rPr>
                <w:rFonts w:cs="Arial"/>
                <w:sz w:val="16"/>
                <w:szCs w:val="16"/>
              </w:rPr>
              <w:t>atendidos.</w:t>
            </w:r>
          </w:p>
        </w:tc>
        <w:tc>
          <w:tcPr>
            <w:tcW w:w="4992" w:type="dxa"/>
            <w:vAlign w:val="center"/>
          </w:tcPr>
          <w:p w14:paraId="525D5D36" w14:textId="77777777" w:rsidR="004071CA" w:rsidRPr="00FB3D74" w:rsidRDefault="004071CA" w:rsidP="00942E95">
            <w:pPr>
              <w:rPr>
                <w:rFonts w:cs="Arial"/>
                <w:sz w:val="16"/>
                <w:szCs w:val="16"/>
              </w:rPr>
            </w:pPr>
            <w:r w:rsidRPr="00FB3D74">
              <w:rPr>
                <w:rFonts w:cs="Arial"/>
                <w:sz w:val="16"/>
                <w:szCs w:val="16"/>
              </w:rPr>
              <w:t>Lograr 100 por ciento de procedimientos jurídicos atendidos mediante respuesta oficial.</w:t>
            </w:r>
          </w:p>
        </w:tc>
      </w:tr>
      <w:tr w:rsidR="004071CA" w:rsidRPr="00FB3D74" w14:paraId="1A7ACF2B" w14:textId="77777777" w:rsidTr="00942E95">
        <w:trPr>
          <w:trHeight w:val="20"/>
        </w:trPr>
        <w:tc>
          <w:tcPr>
            <w:tcW w:w="3823" w:type="dxa"/>
            <w:vAlign w:val="center"/>
          </w:tcPr>
          <w:p w14:paraId="08FB51BE" w14:textId="77777777" w:rsidR="004071CA" w:rsidRPr="00FB3D74" w:rsidRDefault="004071CA" w:rsidP="00942E95">
            <w:pPr>
              <w:rPr>
                <w:rFonts w:cs="Arial"/>
                <w:sz w:val="16"/>
                <w:szCs w:val="16"/>
              </w:rPr>
            </w:pPr>
            <w:r w:rsidRPr="00FB3D74">
              <w:rPr>
                <w:rFonts w:cs="Arial"/>
                <w:sz w:val="16"/>
                <w:szCs w:val="16"/>
              </w:rPr>
              <w:lastRenderedPageBreak/>
              <w:t>Establecimiento de medidas y procedimientos para prevenir y detectar actos y operaciones que involucren recursos de procedencia ilícita para una economía estatal protegida.</w:t>
            </w:r>
          </w:p>
        </w:tc>
        <w:tc>
          <w:tcPr>
            <w:tcW w:w="4992" w:type="dxa"/>
            <w:vAlign w:val="center"/>
          </w:tcPr>
          <w:p w14:paraId="2C7B8A71" w14:textId="77777777" w:rsidR="004071CA" w:rsidRPr="00FB3D74" w:rsidRDefault="004071CA" w:rsidP="00942E95">
            <w:pPr>
              <w:rPr>
                <w:rFonts w:cs="Arial"/>
                <w:sz w:val="16"/>
                <w:szCs w:val="16"/>
              </w:rPr>
            </w:pPr>
            <w:r w:rsidRPr="00FB3D74">
              <w:rPr>
                <w:rFonts w:cs="Arial"/>
                <w:sz w:val="16"/>
                <w:szCs w:val="16"/>
              </w:rPr>
              <w:t>Concluir 6 productos de inteligencia que representan el 75 por ciento de cumplimiento.</w:t>
            </w:r>
          </w:p>
        </w:tc>
      </w:tr>
      <w:tr w:rsidR="004071CA" w:rsidRPr="00FB3D74" w14:paraId="67B6071A" w14:textId="77777777" w:rsidTr="00942E95">
        <w:trPr>
          <w:trHeight w:val="20"/>
        </w:trPr>
        <w:tc>
          <w:tcPr>
            <w:tcW w:w="3823" w:type="dxa"/>
            <w:vAlign w:val="center"/>
          </w:tcPr>
          <w:p w14:paraId="746A6E59" w14:textId="77777777" w:rsidR="004071CA" w:rsidRPr="00FB3D74" w:rsidRDefault="004071CA" w:rsidP="00942E95">
            <w:pPr>
              <w:rPr>
                <w:rFonts w:cs="Arial"/>
                <w:sz w:val="16"/>
                <w:szCs w:val="16"/>
              </w:rPr>
            </w:pPr>
            <w:r w:rsidRPr="00FB3D74">
              <w:rPr>
                <w:rFonts w:cs="Arial"/>
                <w:sz w:val="16"/>
                <w:szCs w:val="16"/>
              </w:rPr>
              <w:t>Ingresos propios ordinarios recaudados (impuestos y derechos).</w:t>
            </w:r>
          </w:p>
        </w:tc>
        <w:tc>
          <w:tcPr>
            <w:tcW w:w="4992" w:type="dxa"/>
            <w:vAlign w:val="center"/>
          </w:tcPr>
          <w:p w14:paraId="32184258" w14:textId="77777777" w:rsidR="004071CA" w:rsidRPr="00FB3D74" w:rsidRDefault="004071CA" w:rsidP="00942E95">
            <w:pPr>
              <w:rPr>
                <w:rFonts w:cs="Arial"/>
                <w:sz w:val="16"/>
                <w:szCs w:val="16"/>
              </w:rPr>
            </w:pPr>
            <w:r w:rsidRPr="00FB3D74">
              <w:rPr>
                <w:rFonts w:cs="Arial"/>
                <w:sz w:val="16"/>
                <w:szCs w:val="16"/>
              </w:rPr>
              <w:t>Incrementar 10 por ciento los ingresos por impuestos y derechos.</w:t>
            </w:r>
          </w:p>
        </w:tc>
      </w:tr>
      <w:tr w:rsidR="004071CA" w:rsidRPr="00FB3D74" w14:paraId="786FCF90" w14:textId="77777777" w:rsidTr="00942E95">
        <w:trPr>
          <w:trHeight w:val="20"/>
        </w:trPr>
        <w:tc>
          <w:tcPr>
            <w:tcW w:w="3823" w:type="dxa"/>
            <w:vAlign w:val="center"/>
          </w:tcPr>
          <w:p w14:paraId="4D3B682E" w14:textId="77777777" w:rsidR="004071CA" w:rsidRPr="00FB3D74" w:rsidRDefault="004071CA" w:rsidP="00942E95">
            <w:pPr>
              <w:rPr>
                <w:rFonts w:cs="Arial"/>
                <w:sz w:val="16"/>
                <w:szCs w:val="16"/>
              </w:rPr>
            </w:pPr>
            <w:r w:rsidRPr="00FB3D74">
              <w:rPr>
                <w:rFonts w:cs="Arial"/>
                <w:sz w:val="16"/>
                <w:szCs w:val="16"/>
              </w:rPr>
              <w:t>Homologación, interoperabilidad y optimización de los recursos de tecnologías de información y comunicación del Gobierno del Estado realizada.</w:t>
            </w:r>
          </w:p>
        </w:tc>
        <w:tc>
          <w:tcPr>
            <w:tcW w:w="4992" w:type="dxa"/>
            <w:vAlign w:val="center"/>
          </w:tcPr>
          <w:p w14:paraId="7B189096" w14:textId="77777777" w:rsidR="004071CA" w:rsidRPr="00FB3D74" w:rsidRDefault="004071CA" w:rsidP="00942E95">
            <w:pPr>
              <w:rPr>
                <w:rFonts w:cs="Arial"/>
                <w:sz w:val="16"/>
                <w:szCs w:val="16"/>
              </w:rPr>
            </w:pPr>
            <w:r w:rsidRPr="00FB3D74">
              <w:rPr>
                <w:rFonts w:cs="Arial"/>
                <w:sz w:val="16"/>
                <w:szCs w:val="16"/>
              </w:rPr>
              <w:t>Alcanzar el 100 por ciento de actividades generales realizadas en los aspectos tecnológicos.</w:t>
            </w:r>
          </w:p>
        </w:tc>
      </w:tr>
      <w:tr w:rsidR="004071CA" w:rsidRPr="00FB3D74" w14:paraId="45D07E34" w14:textId="77777777" w:rsidTr="00942E95">
        <w:trPr>
          <w:trHeight w:val="20"/>
        </w:trPr>
        <w:tc>
          <w:tcPr>
            <w:tcW w:w="3823" w:type="dxa"/>
            <w:vAlign w:val="center"/>
          </w:tcPr>
          <w:p w14:paraId="747AB7ED" w14:textId="77777777" w:rsidR="004071CA" w:rsidRPr="00FB3D74" w:rsidRDefault="004071CA" w:rsidP="00942E95">
            <w:pPr>
              <w:rPr>
                <w:rFonts w:cs="Arial"/>
                <w:sz w:val="16"/>
                <w:szCs w:val="16"/>
              </w:rPr>
            </w:pPr>
            <w:r w:rsidRPr="00FB3D74">
              <w:rPr>
                <w:rFonts w:cs="Arial"/>
                <w:sz w:val="16"/>
                <w:szCs w:val="16"/>
              </w:rPr>
              <w:t>Proyectos Estratégicos de la Secretaría de Planeación, Finanzas y Administración ejecutados.</w:t>
            </w:r>
          </w:p>
        </w:tc>
        <w:tc>
          <w:tcPr>
            <w:tcW w:w="4992" w:type="dxa"/>
            <w:vAlign w:val="center"/>
          </w:tcPr>
          <w:p w14:paraId="22EEFF9A" w14:textId="77777777" w:rsidR="004071CA" w:rsidRPr="00FB3D74" w:rsidRDefault="004071CA" w:rsidP="00942E95">
            <w:pPr>
              <w:rPr>
                <w:rFonts w:cs="Arial"/>
                <w:sz w:val="16"/>
                <w:szCs w:val="16"/>
              </w:rPr>
            </w:pPr>
            <w:r w:rsidRPr="00FB3D74">
              <w:rPr>
                <w:rFonts w:cs="Arial"/>
                <w:sz w:val="16"/>
                <w:szCs w:val="16"/>
              </w:rPr>
              <w:t>Alcanzar el 100 por ciento de avance físico en 1 proyecto estratégico a ejecutar.</w:t>
            </w:r>
          </w:p>
        </w:tc>
      </w:tr>
      <w:tr w:rsidR="004071CA" w:rsidRPr="00FB3D74" w14:paraId="341A653E" w14:textId="77777777" w:rsidTr="00942E95">
        <w:trPr>
          <w:trHeight w:val="20"/>
        </w:trPr>
        <w:tc>
          <w:tcPr>
            <w:tcW w:w="3823" w:type="dxa"/>
            <w:vAlign w:val="center"/>
          </w:tcPr>
          <w:p w14:paraId="6A8660C3" w14:textId="77777777" w:rsidR="004071CA" w:rsidRPr="00FB3D74" w:rsidRDefault="004071CA" w:rsidP="00942E95">
            <w:pPr>
              <w:rPr>
                <w:rFonts w:cs="Arial"/>
                <w:sz w:val="16"/>
                <w:szCs w:val="16"/>
              </w:rPr>
            </w:pPr>
            <w:r w:rsidRPr="00FB3D74">
              <w:rPr>
                <w:rFonts w:cs="Arial"/>
                <w:sz w:val="16"/>
                <w:szCs w:val="16"/>
              </w:rPr>
              <w:t>Cumplimiento de los lineamientos para cubrir las erogaciones del gasto público, y emisión de la información: contable, presupuestal, programática y de diciplina financiera del Poder Ejecutivo realizada.</w:t>
            </w:r>
          </w:p>
        </w:tc>
        <w:tc>
          <w:tcPr>
            <w:tcW w:w="4992" w:type="dxa"/>
            <w:vAlign w:val="center"/>
          </w:tcPr>
          <w:p w14:paraId="403B0ACE" w14:textId="77777777" w:rsidR="004071CA" w:rsidRPr="00FB3D74" w:rsidRDefault="004071CA" w:rsidP="00942E95">
            <w:pPr>
              <w:rPr>
                <w:rFonts w:cs="Arial"/>
                <w:sz w:val="16"/>
                <w:szCs w:val="16"/>
              </w:rPr>
            </w:pPr>
            <w:r w:rsidRPr="00FB3D74">
              <w:rPr>
                <w:rFonts w:cs="Arial"/>
                <w:sz w:val="16"/>
                <w:szCs w:val="16"/>
              </w:rPr>
              <w:t>Lograr el 100 por ciento de 1 Informe Estatal del Ejercicio del Gasto.</w:t>
            </w:r>
          </w:p>
        </w:tc>
      </w:tr>
      <w:tr w:rsidR="004071CA" w:rsidRPr="00FB3D74" w14:paraId="1B2755B9" w14:textId="77777777" w:rsidTr="00942E95">
        <w:trPr>
          <w:trHeight w:val="20"/>
        </w:trPr>
        <w:tc>
          <w:tcPr>
            <w:tcW w:w="3823" w:type="dxa"/>
            <w:shd w:val="clear" w:color="auto" w:fill="F2F2F2" w:themeFill="background1" w:themeFillShade="F2"/>
            <w:vAlign w:val="center"/>
          </w:tcPr>
          <w:p w14:paraId="73AABE48" w14:textId="28381CE6" w:rsidR="004071CA" w:rsidRPr="00FB3D74" w:rsidRDefault="004071CA" w:rsidP="00942E95">
            <w:pPr>
              <w:rPr>
                <w:rFonts w:cs="Arial"/>
                <w:b/>
                <w:bCs/>
                <w:sz w:val="16"/>
                <w:szCs w:val="16"/>
              </w:rPr>
            </w:pPr>
            <w:r w:rsidRPr="00FB3D74">
              <w:rPr>
                <w:rFonts w:cs="Arial"/>
                <w:b/>
                <w:bCs/>
                <w:sz w:val="16"/>
                <w:szCs w:val="16"/>
              </w:rPr>
              <w:t>Número de Programa Presupuestal</w:t>
            </w:r>
            <w:r w:rsidR="009946C0" w:rsidRPr="00FB3D74">
              <w:rPr>
                <w:rFonts w:cs="Arial"/>
                <w:b/>
                <w:bCs/>
                <w:sz w:val="16"/>
                <w:szCs w:val="16"/>
              </w:rPr>
              <w:t>.</w:t>
            </w:r>
          </w:p>
        </w:tc>
        <w:tc>
          <w:tcPr>
            <w:tcW w:w="4992" w:type="dxa"/>
            <w:shd w:val="clear" w:color="auto" w:fill="F2F2F2" w:themeFill="background1" w:themeFillShade="F2"/>
            <w:vAlign w:val="center"/>
          </w:tcPr>
          <w:p w14:paraId="7852CA49" w14:textId="1133430D" w:rsidR="004071CA" w:rsidRPr="00FB3D74" w:rsidRDefault="004071CA" w:rsidP="00942E95">
            <w:pPr>
              <w:rPr>
                <w:rFonts w:cs="Arial"/>
                <w:b/>
                <w:bCs/>
                <w:sz w:val="16"/>
                <w:szCs w:val="16"/>
              </w:rPr>
            </w:pPr>
            <w:r w:rsidRPr="00FB3D74">
              <w:rPr>
                <w:rFonts w:cs="Arial"/>
                <w:b/>
                <w:bCs/>
                <w:sz w:val="16"/>
                <w:szCs w:val="16"/>
              </w:rPr>
              <w:t>42</w:t>
            </w:r>
            <w:r w:rsidR="009946C0" w:rsidRPr="00FB3D74">
              <w:rPr>
                <w:rFonts w:cs="Arial"/>
                <w:b/>
                <w:bCs/>
                <w:sz w:val="16"/>
                <w:szCs w:val="16"/>
              </w:rPr>
              <w:t>.</w:t>
            </w:r>
          </w:p>
        </w:tc>
      </w:tr>
      <w:tr w:rsidR="004071CA" w:rsidRPr="00FB3D74" w14:paraId="63405337" w14:textId="77777777" w:rsidTr="00942E95">
        <w:trPr>
          <w:trHeight w:val="20"/>
        </w:trPr>
        <w:tc>
          <w:tcPr>
            <w:tcW w:w="3823" w:type="dxa"/>
            <w:shd w:val="clear" w:color="auto" w:fill="F2F2F2" w:themeFill="background1" w:themeFillShade="F2"/>
            <w:vAlign w:val="center"/>
          </w:tcPr>
          <w:p w14:paraId="4F104FC8" w14:textId="0BB97CCC" w:rsidR="004071CA" w:rsidRPr="00FB3D74" w:rsidRDefault="004071CA" w:rsidP="00942E95">
            <w:pPr>
              <w:rPr>
                <w:rFonts w:cs="Arial"/>
                <w:b/>
                <w:bCs/>
                <w:sz w:val="16"/>
                <w:szCs w:val="16"/>
              </w:rPr>
            </w:pPr>
            <w:r w:rsidRPr="00FB3D74">
              <w:rPr>
                <w:rFonts w:cs="Arial"/>
                <w:b/>
                <w:bCs/>
                <w:sz w:val="16"/>
                <w:szCs w:val="16"/>
              </w:rPr>
              <w:t>Dependencia/Organismo</w:t>
            </w:r>
            <w:r w:rsidR="009946C0" w:rsidRPr="00FB3D74">
              <w:rPr>
                <w:rFonts w:cs="Arial"/>
                <w:b/>
                <w:bCs/>
                <w:sz w:val="16"/>
                <w:szCs w:val="16"/>
              </w:rPr>
              <w:t>.</w:t>
            </w:r>
          </w:p>
        </w:tc>
        <w:tc>
          <w:tcPr>
            <w:tcW w:w="4992" w:type="dxa"/>
            <w:shd w:val="clear" w:color="auto" w:fill="F2F2F2" w:themeFill="background1" w:themeFillShade="F2"/>
            <w:vAlign w:val="center"/>
          </w:tcPr>
          <w:p w14:paraId="3FD180A0" w14:textId="77777777" w:rsidR="004071CA" w:rsidRPr="00FB3D74" w:rsidRDefault="004071CA" w:rsidP="00942E95">
            <w:pPr>
              <w:tabs>
                <w:tab w:val="left" w:pos="397"/>
              </w:tabs>
              <w:rPr>
                <w:rFonts w:cs="Arial"/>
                <w:b/>
                <w:bCs/>
                <w:sz w:val="16"/>
                <w:szCs w:val="16"/>
              </w:rPr>
            </w:pPr>
            <w:r w:rsidRPr="00FB3D74">
              <w:rPr>
                <w:rFonts w:cs="Arial"/>
                <w:b/>
                <w:bCs/>
                <w:sz w:val="16"/>
                <w:szCs w:val="16"/>
              </w:rPr>
              <w:t>Subsecretaría de Administración.</w:t>
            </w:r>
          </w:p>
        </w:tc>
      </w:tr>
      <w:tr w:rsidR="004071CA" w:rsidRPr="00FB3D74" w14:paraId="2FA1B566" w14:textId="77777777" w:rsidTr="00942E95">
        <w:trPr>
          <w:trHeight w:val="20"/>
        </w:trPr>
        <w:tc>
          <w:tcPr>
            <w:tcW w:w="3823" w:type="dxa"/>
            <w:shd w:val="clear" w:color="auto" w:fill="F2F2F2" w:themeFill="background1" w:themeFillShade="F2"/>
            <w:vAlign w:val="center"/>
          </w:tcPr>
          <w:p w14:paraId="35C53DB2" w14:textId="65F55E65" w:rsidR="004071CA" w:rsidRPr="00FB3D74" w:rsidRDefault="004071CA" w:rsidP="00942E95">
            <w:pPr>
              <w:rPr>
                <w:rFonts w:cs="Arial"/>
                <w:b/>
                <w:bCs/>
                <w:sz w:val="16"/>
                <w:szCs w:val="16"/>
              </w:rPr>
            </w:pPr>
            <w:r w:rsidRPr="00FB3D74">
              <w:rPr>
                <w:rFonts w:cs="Arial"/>
                <w:b/>
                <w:bCs/>
                <w:sz w:val="16"/>
                <w:szCs w:val="16"/>
              </w:rPr>
              <w:t>Objetivo Anual</w:t>
            </w:r>
            <w:r w:rsidR="009946C0" w:rsidRPr="00FB3D74">
              <w:rPr>
                <w:rFonts w:cs="Arial"/>
                <w:b/>
                <w:bCs/>
                <w:sz w:val="16"/>
                <w:szCs w:val="16"/>
              </w:rPr>
              <w:t>.</w:t>
            </w:r>
          </w:p>
        </w:tc>
        <w:tc>
          <w:tcPr>
            <w:tcW w:w="4992" w:type="dxa"/>
            <w:shd w:val="clear" w:color="auto" w:fill="F2F2F2" w:themeFill="background1" w:themeFillShade="F2"/>
            <w:vAlign w:val="center"/>
          </w:tcPr>
          <w:p w14:paraId="6ADCB1E6" w14:textId="77777777" w:rsidR="004071CA" w:rsidRPr="00FB3D74" w:rsidRDefault="004071CA" w:rsidP="00942E95">
            <w:pPr>
              <w:rPr>
                <w:rFonts w:cs="Arial"/>
                <w:sz w:val="16"/>
                <w:szCs w:val="16"/>
              </w:rPr>
            </w:pPr>
            <w:r w:rsidRPr="00FB3D74">
              <w:rPr>
                <w:rFonts w:cs="Arial"/>
                <w:sz w:val="16"/>
                <w:szCs w:val="16"/>
              </w:rPr>
              <w:t>Las dependencias del Poder Ejecutivo disponen de los recursos humanos materiales, técnicos y de servicios necesarios, para cumplir de manera oportuna con sus atribuciones y funciones.</w:t>
            </w:r>
          </w:p>
        </w:tc>
      </w:tr>
      <w:tr w:rsidR="004071CA" w:rsidRPr="00FB3D74" w14:paraId="22643D9B" w14:textId="77777777" w:rsidTr="00942E95">
        <w:trPr>
          <w:trHeight w:val="20"/>
        </w:trPr>
        <w:tc>
          <w:tcPr>
            <w:tcW w:w="3823" w:type="dxa"/>
            <w:shd w:val="clear" w:color="auto" w:fill="F2F2F2" w:themeFill="background1" w:themeFillShade="F2"/>
            <w:vAlign w:val="center"/>
          </w:tcPr>
          <w:p w14:paraId="69B8D2CF" w14:textId="77777777" w:rsidR="004071CA" w:rsidRPr="00FB3D74" w:rsidRDefault="004071CA" w:rsidP="009946C0">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727C3759" w14:textId="77777777" w:rsidR="004071CA" w:rsidRPr="00FB3D74" w:rsidRDefault="004071CA" w:rsidP="009946C0">
            <w:pPr>
              <w:jc w:val="center"/>
              <w:rPr>
                <w:rFonts w:cs="Arial"/>
                <w:sz w:val="16"/>
                <w:szCs w:val="16"/>
              </w:rPr>
            </w:pPr>
            <w:r w:rsidRPr="00FB3D74">
              <w:rPr>
                <w:rFonts w:cs="Arial"/>
                <w:b/>
                <w:bCs/>
                <w:sz w:val="16"/>
                <w:szCs w:val="16"/>
              </w:rPr>
              <w:t>Metas</w:t>
            </w:r>
          </w:p>
        </w:tc>
      </w:tr>
      <w:tr w:rsidR="004071CA" w:rsidRPr="00FB3D74" w14:paraId="02BBEF3C" w14:textId="77777777" w:rsidTr="00942E95">
        <w:trPr>
          <w:trHeight w:val="20"/>
        </w:trPr>
        <w:tc>
          <w:tcPr>
            <w:tcW w:w="3823" w:type="dxa"/>
            <w:vAlign w:val="center"/>
          </w:tcPr>
          <w:p w14:paraId="7A9C28EA" w14:textId="77777777" w:rsidR="004071CA" w:rsidRPr="00FB3D74" w:rsidRDefault="004071CA" w:rsidP="00942E95">
            <w:pPr>
              <w:rPr>
                <w:rFonts w:cs="Arial"/>
                <w:sz w:val="16"/>
                <w:szCs w:val="16"/>
              </w:rPr>
            </w:pPr>
            <w:r w:rsidRPr="00FB3D74">
              <w:rPr>
                <w:rFonts w:cs="Arial"/>
                <w:sz w:val="16"/>
                <w:szCs w:val="16"/>
              </w:rPr>
              <w:t>Acciones determinantes para la adecuada Gestión Administrativa y optimización del uso de los recursos realizadas.</w:t>
            </w:r>
          </w:p>
        </w:tc>
        <w:tc>
          <w:tcPr>
            <w:tcW w:w="4992" w:type="dxa"/>
            <w:vAlign w:val="center"/>
          </w:tcPr>
          <w:p w14:paraId="53DA8F65" w14:textId="77777777" w:rsidR="004071CA" w:rsidRPr="00FB3D74" w:rsidRDefault="004071CA" w:rsidP="00942E95">
            <w:pPr>
              <w:rPr>
                <w:rFonts w:cs="Arial"/>
                <w:sz w:val="16"/>
                <w:szCs w:val="16"/>
              </w:rPr>
            </w:pPr>
            <w:r w:rsidRPr="00FB3D74">
              <w:rPr>
                <w:rFonts w:cs="Arial"/>
                <w:sz w:val="16"/>
                <w:szCs w:val="16"/>
              </w:rPr>
              <w:t>Alcanzar el 100 por ciento de las 3 acciones sustantivas para la adecuada administración pública, realizadas.</w:t>
            </w:r>
          </w:p>
        </w:tc>
      </w:tr>
      <w:tr w:rsidR="004071CA" w:rsidRPr="00FB3D74" w14:paraId="76E1FF72" w14:textId="77777777" w:rsidTr="00942E95">
        <w:trPr>
          <w:trHeight w:val="20"/>
        </w:trPr>
        <w:tc>
          <w:tcPr>
            <w:tcW w:w="3823" w:type="dxa"/>
            <w:vAlign w:val="center"/>
          </w:tcPr>
          <w:p w14:paraId="7ED58698" w14:textId="77777777" w:rsidR="004071CA" w:rsidRPr="00FB3D74" w:rsidRDefault="004071CA" w:rsidP="00942E95">
            <w:pPr>
              <w:rPr>
                <w:rFonts w:cs="Arial"/>
                <w:sz w:val="16"/>
                <w:szCs w:val="16"/>
              </w:rPr>
            </w:pPr>
            <w:r w:rsidRPr="00FB3D74">
              <w:rPr>
                <w:rFonts w:cs="Arial"/>
                <w:sz w:val="16"/>
                <w:szCs w:val="16"/>
              </w:rPr>
              <w:t>Acciones de Agenda, Logística y Eventos Especiales ejecutadas de manera adecuada para el desempeño de funciones de la titular del Ejecutivo.</w:t>
            </w:r>
          </w:p>
        </w:tc>
        <w:tc>
          <w:tcPr>
            <w:tcW w:w="4992" w:type="dxa"/>
            <w:vAlign w:val="center"/>
          </w:tcPr>
          <w:p w14:paraId="60995F18" w14:textId="77777777" w:rsidR="004071CA" w:rsidRPr="00FB3D74" w:rsidRDefault="004071CA" w:rsidP="00942E95">
            <w:pPr>
              <w:rPr>
                <w:rFonts w:cs="Arial"/>
                <w:sz w:val="16"/>
                <w:szCs w:val="16"/>
              </w:rPr>
            </w:pPr>
            <w:r w:rsidRPr="00FB3D74">
              <w:rPr>
                <w:rFonts w:cs="Arial"/>
                <w:sz w:val="16"/>
                <w:szCs w:val="16"/>
              </w:rPr>
              <w:t>Alcanzar el 100 por ciento de las 200 acciones sustantivas para la adecuada administración pública, realizadas.</w:t>
            </w:r>
          </w:p>
        </w:tc>
      </w:tr>
      <w:tr w:rsidR="004071CA" w:rsidRPr="00FB3D74" w14:paraId="7CAAD9E5" w14:textId="77777777" w:rsidTr="00942E95">
        <w:trPr>
          <w:trHeight w:val="20"/>
        </w:trPr>
        <w:tc>
          <w:tcPr>
            <w:tcW w:w="3823" w:type="dxa"/>
            <w:vAlign w:val="center"/>
          </w:tcPr>
          <w:p w14:paraId="5711AF8D" w14:textId="107C31E6" w:rsidR="004071CA" w:rsidRPr="00FB3D74" w:rsidRDefault="004071CA" w:rsidP="00942E95">
            <w:pPr>
              <w:rPr>
                <w:rFonts w:cs="Arial"/>
                <w:sz w:val="16"/>
                <w:szCs w:val="16"/>
              </w:rPr>
            </w:pPr>
            <w:r w:rsidRPr="00FB3D74">
              <w:rPr>
                <w:rFonts w:cs="Arial"/>
                <w:sz w:val="16"/>
                <w:szCs w:val="16"/>
              </w:rPr>
              <w:t xml:space="preserve">Servicios generales de las </w:t>
            </w:r>
            <w:r w:rsidR="00D25F61" w:rsidRPr="00FB3D74">
              <w:rPr>
                <w:rFonts w:cs="Arial"/>
                <w:sz w:val="16"/>
                <w:szCs w:val="16"/>
              </w:rPr>
              <w:t xml:space="preserve">Dependencias </w:t>
            </w:r>
            <w:r w:rsidRPr="00FB3D74">
              <w:rPr>
                <w:rFonts w:cs="Arial"/>
                <w:sz w:val="16"/>
                <w:szCs w:val="16"/>
              </w:rPr>
              <w:t>del Poder Ejecutivo atendidos</w:t>
            </w:r>
          </w:p>
        </w:tc>
        <w:tc>
          <w:tcPr>
            <w:tcW w:w="4992" w:type="dxa"/>
            <w:vAlign w:val="center"/>
          </w:tcPr>
          <w:p w14:paraId="5C8886DE" w14:textId="143101E3" w:rsidR="004071CA" w:rsidRPr="00FB3D74" w:rsidRDefault="004071CA" w:rsidP="00942E95">
            <w:pPr>
              <w:rPr>
                <w:rFonts w:cs="Arial"/>
                <w:sz w:val="16"/>
                <w:szCs w:val="16"/>
              </w:rPr>
            </w:pPr>
            <w:r w:rsidRPr="00FB3D74">
              <w:rPr>
                <w:rFonts w:cs="Arial"/>
                <w:sz w:val="16"/>
                <w:szCs w:val="16"/>
              </w:rPr>
              <w:t>Lograr el 100</w:t>
            </w:r>
            <w:r w:rsidR="000C5E29">
              <w:rPr>
                <w:rFonts w:cs="Arial"/>
                <w:sz w:val="16"/>
                <w:szCs w:val="16"/>
              </w:rPr>
              <w:t xml:space="preserve"> por ciento</w:t>
            </w:r>
            <w:r w:rsidRPr="00FB3D74">
              <w:rPr>
                <w:rFonts w:cs="Arial"/>
                <w:sz w:val="16"/>
                <w:szCs w:val="16"/>
              </w:rPr>
              <w:t xml:space="preserve"> de las 18 </w:t>
            </w:r>
            <w:r w:rsidR="00D25F61" w:rsidRPr="00FB3D74">
              <w:rPr>
                <w:rFonts w:cs="Arial"/>
                <w:sz w:val="16"/>
                <w:szCs w:val="16"/>
              </w:rPr>
              <w:t xml:space="preserve">Dependencias Centralizadas </w:t>
            </w:r>
            <w:r w:rsidRPr="00FB3D74">
              <w:rPr>
                <w:rFonts w:cs="Arial"/>
                <w:sz w:val="16"/>
                <w:szCs w:val="16"/>
              </w:rPr>
              <w:t>que obtienen suministro de pago de servicios generales.</w:t>
            </w:r>
          </w:p>
        </w:tc>
      </w:tr>
      <w:tr w:rsidR="004071CA" w:rsidRPr="00FB3D74" w14:paraId="6AAAD635" w14:textId="77777777" w:rsidTr="00942E95">
        <w:trPr>
          <w:trHeight w:val="20"/>
        </w:trPr>
        <w:tc>
          <w:tcPr>
            <w:tcW w:w="3823" w:type="dxa"/>
            <w:vAlign w:val="center"/>
          </w:tcPr>
          <w:p w14:paraId="417631EF" w14:textId="4D17963A" w:rsidR="004071CA" w:rsidRPr="00FB3D74" w:rsidRDefault="004071CA" w:rsidP="00942E95">
            <w:pPr>
              <w:rPr>
                <w:rFonts w:cs="Arial"/>
                <w:sz w:val="16"/>
                <w:szCs w:val="16"/>
              </w:rPr>
            </w:pPr>
            <w:r w:rsidRPr="00FB3D74">
              <w:rPr>
                <w:rFonts w:cs="Arial"/>
                <w:sz w:val="16"/>
                <w:szCs w:val="16"/>
              </w:rPr>
              <w:t xml:space="preserve">Adquisiciones de bienes y servicios de las </w:t>
            </w:r>
            <w:r w:rsidR="00D25F61" w:rsidRPr="00FB3D74">
              <w:rPr>
                <w:rFonts w:cs="Arial"/>
                <w:sz w:val="16"/>
                <w:szCs w:val="16"/>
              </w:rPr>
              <w:t xml:space="preserve">Dependencias </w:t>
            </w:r>
            <w:r w:rsidRPr="00FB3D74">
              <w:rPr>
                <w:rFonts w:cs="Arial"/>
                <w:sz w:val="16"/>
                <w:szCs w:val="16"/>
              </w:rPr>
              <w:t>del Poder Ejecutivo, mejoradas a través la realización de licitaciones públicas, invitaciones restringidas y tres cotizaciones</w:t>
            </w:r>
          </w:p>
        </w:tc>
        <w:tc>
          <w:tcPr>
            <w:tcW w:w="4992" w:type="dxa"/>
            <w:vAlign w:val="center"/>
          </w:tcPr>
          <w:p w14:paraId="6E666E85" w14:textId="15FF9B5A" w:rsidR="004071CA" w:rsidRPr="00FB3D74" w:rsidRDefault="004071CA" w:rsidP="00942E95">
            <w:pPr>
              <w:rPr>
                <w:rFonts w:cs="Arial"/>
                <w:sz w:val="16"/>
                <w:szCs w:val="16"/>
              </w:rPr>
            </w:pPr>
            <w:r w:rsidRPr="00FB3D74">
              <w:rPr>
                <w:rFonts w:cs="Arial"/>
                <w:sz w:val="16"/>
                <w:szCs w:val="16"/>
              </w:rPr>
              <w:t>Desahogar el 100</w:t>
            </w:r>
            <w:r w:rsidR="000C5E29">
              <w:rPr>
                <w:rFonts w:cs="Arial"/>
                <w:sz w:val="16"/>
                <w:szCs w:val="16"/>
              </w:rPr>
              <w:t xml:space="preserve"> por ciento</w:t>
            </w:r>
            <w:r w:rsidRPr="00FB3D74">
              <w:rPr>
                <w:rFonts w:cs="Arial"/>
                <w:sz w:val="16"/>
                <w:szCs w:val="16"/>
              </w:rPr>
              <w:t xml:space="preserve"> de los 195 procesos de adquisiciones solicitados por las </w:t>
            </w:r>
            <w:r w:rsidR="00D25F61" w:rsidRPr="00FB3D74">
              <w:rPr>
                <w:rFonts w:cs="Arial"/>
                <w:sz w:val="16"/>
                <w:szCs w:val="16"/>
              </w:rPr>
              <w:t>Dependencias</w:t>
            </w:r>
            <w:r w:rsidRPr="00FB3D74">
              <w:rPr>
                <w:rFonts w:cs="Arial"/>
                <w:sz w:val="16"/>
                <w:szCs w:val="16"/>
              </w:rPr>
              <w:t>, sean invitaciones restringidas y tres cotizaciones.</w:t>
            </w:r>
          </w:p>
        </w:tc>
      </w:tr>
      <w:tr w:rsidR="004071CA" w:rsidRPr="00FB3D74" w14:paraId="0DBAC379" w14:textId="77777777" w:rsidTr="00942E95">
        <w:trPr>
          <w:trHeight w:val="20"/>
        </w:trPr>
        <w:tc>
          <w:tcPr>
            <w:tcW w:w="3823" w:type="dxa"/>
            <w:vAlign w:val="center"/>
          </w:tcPr>
          <w:p w14:paraId="36E88CB1" w14:textId="77777777" w:rsidR="004071CA" w:rsidRPr="00FB3D74" w:rsidRDefault="004071CA" w:rsidP="00942E95">
            <w:pPr>
              <w:rPr>
                <w:rFonts w:cs="Arial"/>
                <w:sz w:val="16"/>
                <w:szCs w:val="16"/>
              </w:rPr>
            </w:pPr>
            <w:r w:rsidRPr="00FB3D74">
              <w:rPr>
                <w:rFonts w:cs="Arial"/>
                <w:sz w:val="16"/>
                <w:szCs w:val="16"/>
              </w:rPr>
              <w:t>Enfoque de calidad en la Administración Pública Estatal implementado.</w:t>
            </w:r>
          </w:p>
        </w:tc>
        <w:tc>
          <w:tcPr>
            <w:tcW w:w="4992" w:type="dxa"/>
            <w:vAlign w:val="center"/>
          </w:tcPr>
          <w:p w14:paraId="126A2930" w14:textId="58BA6371" w:rsidR="004071CA" w:rsidRPr="00FB3D74" w:rsidRDefault="004071CA" w:rsidP="00942E95">
            <w:pPr>
              <w:rPr>
                <w:rFonts w:cs="Arial"/>
                <w:sz w:val="16"/>
                <w:szCs w:val="16"/>
              </w:rPr>
            </w:pPr>
            <w:r w:rsidRPr="00FB3D74">
              <w:rPr>
                <w:rFonts w:cs="Arial"/>
                <w:sz w:val="16"/>
                <w:szCs w:val="16"/>
              </w:rPr>
              <w:t xml:space="preserve">Lograr que las 18 </w:t>
            </w:r>
            <w:r w:rsidR="00D25F61" w:rsidRPr="00FB3D74">
              <w:rPr>
                <w:rFonts w:cs="Arial"/>
                <w:sz w:val="16"/>
                <w:szCs w:val="16"/>
              </w:rPr>
              <w:t xml:space="preserve">Dependencias </w:t>
            </w:r>
            <w:r w:rsidRPr="00FB3D74">
              <w:rPr>
                <w:rFonts w:cs="Arial"/>
                <w:sz w:val="16"/>
                <w:szCs w:val="16"/>
              </w:rPr>
              <w:t xml:space="preserve">de la </w:t>
            </w:r>
            <w:r w:rsidR="00D25F61" w:rsidRPr="00FB3D74">
              <w:rPr>
                <w:rFonts w:cs="Arial"/>
                <w:sz w:val="16"/>
                <w:szCs w:val="16"/>
              </w:rPr>
              <w:t xml:space="preserve">Administración Pública Centralizada </w:t>
            </w:r>
            <w:r w:rsidRPr="00FB3D74">
              <w:rPr>
                <w:rFonts w:cs="Arial"/>
                <w:sz w:val="16"/>
                <w:szCs w:val="16"/>
              </w:rPr>
              <w:t>reactiven el sistema de calidad de procesos.</w:t>
            </w:r>
          </w:p>
        </w:tc>
      </w:tr>
      <w:tr w:rsidR="004071CA" w:rsidRPr="00FB3D74" w14:paraId="50CD0BBB" w14:textId="77777777" w:rsidTr="00942E95">
        <w:trPr>
          <w:trHeight w:val="20"/>
        </w:trPr>
        <w:tc>
          <w:tcPr>
            <w:tcW w:w="3823" w:type="dxa"/>
            <w:vAlign w:val="center"/>
          </w:tcPr>
          <w:p w14:paraId="50E9B2CD" w14:textId="77777777" w:rsidR="004071CA" w:rsidRPr="00FB3D74" w:rsidRDefault="004071CA" w:rsidP="00942E95">
            <w:pPr>
              <w:rPr>
                <w:rFonts w:cs="Arial"/>
                <w:sz w:val="16"/>
                <w:szCs w:val="16"/>
              </w:rPr>
            </w:pPr>
            <w:r w:rsidRPr="00FB3D74">
              <w:rPr>
                <w:rFonts w:cs="Arial"/>
                <w:sz w:val="16"/>
                <w:szCs w:val="16"/>
              </w:rPr>
              <w:t>Documentos normativos organizacionales elaborados y actualizados.</w:t>
            </w:r>
          </w:p>
        </w:tc>
        <w:tc>
          <w:tcPr>
            <w:tcW w:w="4992" w:type="dxa"/>
            <w:vAlign w:val="center"/>
          </w:tcPr>
          <w:p w14:paraId="307D4501" w14:textId="77777777" w:rsidR="004071CA" w:rsidRPr="00FB3D74" w:rsidRDefault="004071CA" w:rsidP="00942E95">
            <w:pPr>
              <w:rPr>
                <w:rFonts w:cs="Arial"/>
                <w:sz w:val="16"/>
                <w:szCs w:val="16"/>
              </w:rPr>
            </w:pPr>
            <w:r w:rsidRPr="00FB3D74">
              <w:rPr>
                <w:rFonts w:cs="Arial"/>
                <w:sz w:val="16"/>
                <w:szCs w:val="16"/>
              </w:rPr>
              <w:t>Lograr el 100 por ciento de los 18 documentos normativos organizacionales actualizados.</w:t>
            </w:r>
          </w:p>
        </w:tc>
      </w:tr>
      <w:tr w:rsidR="004071CA" w:rsidRPr="00FB3D74" w14:paraId="4CB852D0" w14:textId="77777777" w:rsidTr="00942E95">
        <w:trPr>
          <w:trHeight w:val="20"/>
        </w:trPr>
        <w:tc>
          <w:tcPr>
            <w:tcW w:w="3823" w:type="dxa"/>
            <w:vAlign w:val="center"/>
          </w:tcPr>
          <w:p w14:paraId="6547F300" w14:textId="77777777" w:rsidR="004071CA" w:rsidRPr="00FB3D74" w:rsidRDefault="004071CA" w:rsidP="00942E95">
            <w:pPr>
              <w:rPr>
                <w:rFonts w:cs="Arial"/>
                <w:sz w:val="16"/>
                <w:szCs w:val="16"/>
              </w:rPr>
            </w:pPr>
            <w:r w:rsidRPr="00FB3D74">
              <w:rPr>
                <w:rFonts w:cs="Arial"/>
                <w:sz w:val="16"/>
                <w:szCs w:val="16"/>
              </w:rPr>
              <w:t>Herramientas para la mejora de la calidad de procesos implementadas.</w:t>
            </w:r>
          </w:p>
        </w:tc>
        <w:tc>
          <w:tcPr>
            <w:tcW w:w="4992" w:type="dxa"/>
            <w:vAlign w:val="center"/>
          </w:tcPr>
          <w:p w14:paraId="144240B0" w14:textId="77777777" w:rsidR="004071CA" w:rsidRPr="00FB3D74" w:rsidRDefault="004071CA" w:rsidP="00942E95">
            <w:pPr>
              <w:rPr>
                <w:rFonts w:cs="Arial"/>
                <w:sz w:val="16"/>
                <w:szCs w:val="16"/>
              </w:rPr>
            </w:pPr>
            <w:r w:rsidRPr="00FB3D74">
              <w:rPr>
                <w:rFonts w:cs="Arial"/>
                <w:sz w:val="16"/>
                <w:szCs w:val="16"/>
              </w:rPr>
              <w:t>Lograr que las 18 dependencias de la administración pública centralizada mejoren sus procesos desde un enfoque de calidad.</w:t>
            </w:r>
          </w:p>
        </w:tc>
      </w:tr>
      <w:tr w:rsidR="004071CA" w:rsidRPr="00FB3D74" w14:paraId="74ED2B0C" w14:textId="77777777" w:rsidTr="00942E95">
        <w:trPr>
          <w:trHeight w:val="20"/>
        </w:trPr>
        <w:tc>
          <w:tcPr>
            <w:tcW w:w="3823" w:type="dxa"/>
            <w:vAlign w:val="center"/>
          </w:tcPr>
          <w:p w14:paraId="564DDC37" w14:textId="0480EF99" w:rsidR="004071CA" w:rsidRPr="00FB3D74" w:rsidRDefault="004071CA" w:rsidP="00942E95">
            <w:pPr>
              <w:rPr>
                <w:rFonts w:cs="Arial"/>
                <w:sz w:val="16"/>
                <w:szCs w:val="16"/>
              </w:rPr>
            </w:pPr>
            <w:r w:rsidRPr="00FB3D74">
              <w:rPr>
                <w:rFonts w:cs="Arial"/>
                <w:sz w:val="16"/>
                <w:szCs w:val="16"/>
              </w:rPr>
              <w:t xml:space="preserve">Actividades y herramientas para favorecer el desarrollo personal y familiar, seguridad laboral, sentido de pertenencia institucional y trabajo en equipo, de las y los trabajadores de la administración pública, que se traduzca en una mejor </w:t>
            </w:r>
            <w:r w:rsidR="00D25F61" w:rsidRPr="00FB3D74">
              <w:rPr>
                <w:rFonts w:cs="Arial"/>
                <w:sz w:val="16"/>
                <w:szCs w:val="16"/>
              </w:rPr>
              <w:t xml:space="preserve">calidad de vida </w:t>
            </w:r>
            <w:r w:rsidRPr="00FB3D74">
              <w:rPr>
                <w:rFonts w:cs="Arial"/>
                <w:sz w:val="16"/>
                <w:szCs w:val="16"/>
              </w:rPr>
              <w:t>para los servidores públicos implementadas.</w:t>
            </w:r>
          </w:p>
        </w:tc>
        <w:tc>
          <w:tcPr>
            <w:tcW w:w="4992" w:type="dxa"/>
            <w:vAlign w:val="center"/>
          </w:tcPr>
          <w:p w14:paraId="0405FDFB" w14:textId="77777777" w:rsidR="004071CA" w:rsidRPr="00FB3D74" w:rsidRDefault="004071CA" w:rsidP="00942E95">
            <w:pPr>
              <w:rPr>
                <w:rFonts w:cs="Arial"/>
                <w:sz w:val="16"/>
                <w:szCs w:val="16"/>
              </w:rPr>
            </w:pPr>
            <w:r w:rsidRPr="00FB3D74">
              <w:rPr>
                <w:rFonts w:cs="Arial"/>
                <w:sz w:val="16"/>
                <w:szCs w:val="16"/>
              </w:rPr>
              <w:t>Atender el 100 por ciento de las 6 actividades y herramientas para favorecer su desarrollo personal y familiar, seguridad laboral, sentido de pertenencia institucional y trabajo en equipo.</w:t>
            </w:r>
          </w:p>
        </w:tc>
      </w:tr>
      <w:tr w:rsidR="004071CA" w:rsidRPr="00FB3D74" w14:paraId="63082C3B" w14:textId="77777777" w:rsidTr="00942E95">
        <w:trPr>
          <w:trHeight w:val="20"/>
        </w:trPr>
        <w:tc>
          <w:tcPr>
            <w:tcW w:w="3823" w:type="dxa"/>
            <w:vAlign w:val="center"/>
          </w:tcPr>
          <w:p w14:paraId="49995349" w14:textId="77777777" w:rsidR="004071CA" w:rsidRPr="00FB3D74" w:rsidRDefault="004071CA" w:rsidP="00942E95">
            <w:pPr>
              <w:rPr>
                <w:rFonts w:cs="Arial"/>
                <w:sz w:val="16"/>
                <w:szCs w:val="16"/>
              </w:rPr>
            </w:pPr>
            <w:r w:rsidRPr="00FB3D74">
              <w:rPr>
                <w:rFonts w:cs="Arial"/>
                <w:sz w:val="16"/>
                <w:szCs w:val="16"/>
              </w:rPr>
              <w:t>Bienes patrimoniales actualizados e incorporados al inventario actualizado del Gobierno del Estado.</w:t>
            </w:r>
          </w:p>
        </w:tc>
        <w:tc>
          <w:tcPr>
            <w:tcW w:w="4992" w:type="dxa"/>
            <w:vAlign w:val="center"/>
          </w:tcPr>
          <w:p w14:paraId="1A1CEEF7" w14:textId="2E3B3C68" w:rsidR="004071CA" w:rsidRPr="00FB3D74" w:rsidRDefault="004071CA" w:rsidP="00942E95">
            <w:pPr>
              <w:rPr>
                <w:rFonts w:cs="Arial"/>
                <w:sz w:val="16"/>
                <w:szCs w:val="16"/>
              </w:rPr>
            </w:pPr>
            <w:r w:rsidRPr="00FB3D74">
              <w:rPr>
                <w:rFonts w:cs="Arial"/>
                <w:sz w:val="16"/>
                <w:szCs w:val="16"/>
              </w:rPr>
              <w:t>Mantener actualizado durante el sexenio el 100 por ciento de los resguardos de los 59,460 bienes propiedad de Gobierno del Estado (651 inmuebles, 57</w:t>
            </w:r>
            <w:r w:rsidR="00D25F61" w:rsidRPr="00FB3D74">
              <w:rPr>
                <w:rFonts w:cs="Arial"/>
                <w:sz w:val="16"/>
                <w:szCs w:val="16"/>
              </w:rPr>
              <w:t>,</w:t>
            </w:r>
            <w:r w:rsidRPr="00FB3D74">
              <w:rPr>
                <w:rFonts w:cs="Arial"/>
                <w:sz w:val="16"/>
                <w:szCs w:val="16"/>
              </w:rPr>
              <w:t>582 muebles y 1</w:t>
            </w:r>
            <w:r w:rsidR="00D25F61" w:rsidRPr="00FB3D74">
              <w:rPr>
                <w:rFonts w:cs="Arial"/>
                <w:sz w:val="16"/>
                <w:szCs w:val="16"/>
              </w:rPr>
              <w:t>,</w:t>
            </w:r>
            <w:r w:rsidRPr="00FB3D74">
              <w:rPr>
                <w:rFonts w:cs="Arial"/>
                <w:sz w:val="16"/>
                <w:szCs w:val="16"/>
              </w:rPr>
              <w:t>227 vehículos</w:t>
            </w:r>
            <w:r w:rsidR="00D25F61" w:rsidRPr="00FB3D74">
              <w:rPr>
                <w:rFonts w:cs="Arial"/>
                <w:sz w:val="16"/>
                <w:szCs w:val="16"/>
              </w:rPr>
              <w:t>)</w:t>
            </w:r>
            <w:r w:rsidRPr="00FB3D74">
              <w:rPr>
                <w:rFonts w:cs="Arial"/>
                <w:sz w:val="16"/>
                <w:szCs w:val="16"/>
              </w:rPr>
              <w:t>.</w:t>
            </w:r>
          </w:p>
        </w:tc>
      </w:tr>
      <w:tr w:rsidR="004071CA" w:rsidRPr="00FB3D74" w14:paraId="3C767300" w14:textId="77777777" w:rsidTr="00942E95">
        <w:trPr>
          <w:trHeight w:val="20"/>
        </w:trPr>
        <w:tc>
          <w:tcPr>
            <w:tcW w:w="3823" w:type="dxa"/>
            <w:vAlign w:val="center"/>
          </w:tcPr>
          <w:p w14:paraId="4B95BD9B" w14:textId="77777777" w:rsidR="004071CA" w:rsidRPr="00FB3D74" w:rsidRDefault="004071CA" w:rsidP="00942E95">
            <w:pPr>
              <w:rPr>
                <w:rFonts w:cs="Arial"/>
                <w:sz w:val="16"/>
                <w:szCs w:val="16"/>
              </w:rPr>
            </w:pPr>
            <w:r w:rsidRPr="00FB3D74">
              <w:rPr>
                <w:rFonts w:cs="Arial"/>
                <w:sz w:val="16"/>
                <w:szCs w:val="16"/>
              </w:rPr>
              <w:t>Uso de herramientas de control y administración de Recursos Humanos optimizado.</w:t>
            </w:r>
          </w:p>
        </w:tc>
        <w:tc>
          <w:tcPr>
            <w:tcW w:w="4992" w:type="dxa"/>
            <w:vAlign w:val="center"/>
          </w:tcPr>
          <w:p w14:paraId="4A97CBE8" w14:textId="77777777" w:rsidR="004071CA" w:rsidRPr="00FB3D74" w:rsidRDefault="004071CA" w:rsidP="00942E95">
            <w:pPr>
              <w:rPr>
                <w:rFonts w:cs="Arial"/>
                <w:sz w:val="16"/>
                <w:szCs w:val="16"/>
              </w:rPr>
            </w:pPr>
            <w:r w:rsidRPr="00FB3D74">
              <w:rPr>
                <w:rFonts w:cs="Arial"/>
                <w:sz w:val="16"/>
                <w:szCs w:val="16"/>
              </w:rPr>
              <w:t>Alcanzar el 100 por ciento de las 3 acciones programadas para la optimización de las herramientas de control y administración del recurso humano.</w:t>
            </w:r>
          </w:p>
        </w:tc>
      </w:tr>
      <w:tr w:rsidR="004071CA" w:rsidRPr="00FB3D74" w14:paraId="74D5C069" w14:textId="77777777" w:rsidTr="00942E95">
        <w:trPr>
          <w:trHeight w:val="20"/>
        </w:trPr>
        <w:tc>
          <w:tcPr>
            <w:tcW w:w="3823" w:type="dxa"/>
            <w:shd w:val="clear" w:color="auto" w:fill="F2F2F2" w:themeFill="background1" w:themeFillShade="F2"/>
            <w:vAlign w:val="center"/>
          </w:tcPr>
          <w:p w14:paraId="27269A2C" w14:textId="76A014F3" w:rsidR="004071CA" w:rsidRPr="00FB3D74" w:rsidRDefault="004071CA" w:rsidP="00942E95">
            <w:pPr>
              <w:rPr>
                <w:rFonts w:cs="Arial"/>
                <w:b/>
                <w:bCs/>
                <w:sz w:val="16"/>
                <w:szCs w:val="16"/>
              </w:rPr>
            </w:pPr>
            <w:r w:rsidRPr="00FB3D74">
              <w:rPr>
                <w:rFonts w:cs="Arial"/>
                <w:b/>
                <w:bCs/>
                <w:sz w:val="16"/>
                <w:szCs w:val="16"/>
              </w:rPr>
              <w:t>Número de Programa Presupuestal</w:t>
            </w:r>
            <w:r w:rsidR="009946C0" w:rsidRPr="00FB3D74">
              <w:rPr>
                <w:rFonts w:cs="Arial"/>
                <w:b/>
                <w:bCs/>
                <w:sz w:val="16"/>
                <w:szCs w:val="16"/>
              </w:rPr>
              <w:t>.</w:t>
            </w:r>
          </w:p>
        </w:tc>
        <w:tc>
          <w:tcPr>
            <w:tcW w:w="4992" w:type="dxa"/>
            <w:shd w:val="clear" w:color="auto" w:fill="F2F2F2" w:themeFill="background1" w:themeFillShade="F2"/>
            <w:vAlign w:val="center"/>
          </w:tcPr>
          <w:p w14:paraId="0EF5554A" w14:textId="4FA835D1" w:rsidR="004071CA" w:rsidRPr="00FB3D74" w:rsidRDefault="004071CA" w:rsidP="00942E95">
            <w:pPr>
              <w:rPr>
                <w:rFonts w:cs="Arial"/>
                <w:b/>
                <w:bCs/>
                <w:sz w:val="16"/>
                <w:szCs w:val="16"/>
              </w:rPr>
            </w:pPr>
            <w:r w:rsidRPr="00FB3D74">
              <w:rPr>
                <w:rFonts w:cs="Arial"/>
                <w:b/>
                <w:bCs/>
                <w:sz w:val="16"/>
                <w:szCs w:val="16"/>
              </w:rPr>
              <w:t>45</w:t>
            </w:r>
            <w:r w:rsidR="009946C0" w:rsidRPr="00FB3D74">
              <w:rPr>
                <w:rFonts w:cs="Arial"/>
                <w:b/>
                <w:bCs/>
                <w:sz w:val="16"/>
                <w:szCs w:val="16"/>
              </w:rPr>
              <w:t>.</w:t>
            </w:r>
          </w:p>
        </w:tc>
      </w:tr>
      <w:tr w:rsidR="004071CA" w:rsidRPr="00FB3D74" w14:paraId="37D45D3F" w14:textId="77777777" w:rsidTr="00942E95">
        <w:trPr>
          <w:trHeight w:val="20"/>
        </w:trPr>
        <w:tc>
          <w:tcPr>
            <w:tcW w:w="3823" w:type="dxa"/>
            <w:shd w:val="clear" w:color="auto" w:fill="F2F2F2" w:themeFill="background1" w:themeFillShade="F2"/>
            <w:vAlign w:val="center"/>
          </w:tcPr>
          <w:p w14:paraId="474375C1" w14:textId="76509633" w:rsidR="004071CA" w:rsidRPr="00FB3D74" w:rsidRDefault="004071CA" w:rsidP="00942E95">
            <w:pPr>
              <w:rPr>
                <w:rFonts w:cs="Arial"/>
                <w:b/>
                <w:bCs/>
                <w:sz w:val="16"/>
                <w:szCs w:val="16"/>
              </w:rPr>
            </w:pPr>
            <w:r w:rsidRPr="00FB3D74">
              <w:rPr>
                <w:rFonts w:cs="Arial"/>
                <w:b/>
                <w:bCs/>
                <w:sz w:val="16"/>
                <w:szCs w:val="16"/>
              </w:rPr>
              <w:t>Dependencia/Organismo</w:t>
            </w:r>
            <w:r w:rsidR="009946C0" w:rsidRPr="00FB3D74">
              <w:rPr>
                <w:rFonts w:cs="Arial"/>
                <w:b/>
                <w:bCs/>
                <w:sz w:val="16"/>
                <w:szCs w:val="16"/>
              </w:rPr>
              <w:t>.</w:t>
            </w:r>
          </w:p>
        </w:tc>
        <w:tc>
          <w:tcPr>
            <w:tcW w:w="4992" w:type="dxa"/>
            <w:shd w:val="clear" w:color="auto" w:fill="F2F2F2" w:themeFill="background1" w:themeFillShade="F2"/>
            <w:vAlign w:val="center"/>
          </w:tcPr>
          <w:p w14:paraId="02093F77" w14:textId="77777777" w:rsidR="004071CA" w:rsidRPr="00FB3D74" w:rsidRDefault="004071CA" w:rsidP="00942E95">
            <w:pPr>
              <w:tabs>
                <w:tab w:val="left" w:pos="397"/>
              </w:tabs>
              <w:rPr>
                <w:rFonts w:cs="Arial"/>
                <w:b/>
                <w:bCs/>
                <w:sz w:val="16"/>
                <w:szCs w:val="16"/>
              </w:rPr>
            </w:pPr>
            <w:r w:rsidRPr="00FB3D74">
              <w:rPr>
                <w:rFonts w:cs="Arial"/>
                <w:b/>
                <w:bCs/>
                <w:sz w:val="16"/>
                <w:szCs w:val="16"/>
              </w:rPr>
              <w:t>Instituto Colimense para la Sociedad de la Información y el Conocimiento.</w:t>
            </w:r>
          </w:p>
        </w:tc>
      </w:tr>
      <w:tr w:rsidR="004071CA" w:rsidRPr="00FB3D74" w14:paraId="2A91BF4D" w14:textId="77777777" w:rsidTr="00942E95">
        <w:trPr>
          <w:trHeight w:val="20"/>
        </w:trPr>
        <w:tc>
          <w:tcPr>
            <w:tcW w:w="3823" w:type="dxa"/>
            <w:shd w:val="clear" w:color="auto" w:fill="F2F2F2" w:themeFill="background1" w:themeFillShade="F2"/>
            <w:vAlign w:val="center"/>
          </w:tcPr>
          <w:p w14:paraId="690A0963" w14:textId="0C9F2056" w:rsidR="004071CA" w:rsidRPr="00FB3D74" w:rsidRDefault="004071CA" w:rsidP="00942E95">
            <w:pPr>
              <w:rPr>
                <w:rFonts w:cs="Arial"/>
                <w:b/>
                <w:bCs/>
                <w:sz w:val="16"/>
                <w:szCs w:val="16"/>
              </w:rPr>
            </w:pPr>
            <w:r w:rsidRPr="00FB3D74">
              <w:rPr>
                <w:rFonts w:cs="Arial"/>
                <w:b/>
                <w:bCs/>
                <w:sz w:val="16"/>
                <w:szCs w:val="16"/>
              </w:rPr>
              <w:lastRenderedPageBreak/>
              <w:t>Objetivo Anual</w:t>
            </w:r>
            <w:r w:rsidR="009946C0" w:rsidRPr="00FB3D74">
              <w:rPr>
                <w:rFonts w:cs="Arial"/>
                <w:b/>
                <w:bCs/>
                <w:sz w:val="16"/>
                <w:szCs w:val="16"/>
              </w:rPr>
              <w:t>.</w:t>
            </w:r>
          </w:p>
        </w:tc>
        <w:tc>
          <w:tcPr>
            <w:tcW w:w="4992" w:type="dxa"/>
            <w:shd w:val="clear" w:color="auto" w:fill="F2F2F2" w:themeFill="background1" w:themeFillShade="F2"/>
            <w:vAlign w:val="center"/>
          </w:tcPr>
          <w:p w14:paraId="41170118" w14:textId="77777777" w:rsidR="004071CA" w:rsidRPr="00FB3D74" w:rsidRDefault="004071CA" w:rsidP="00942E95">
            <w:pPr>
              <w:rPr>
                <w:rFonts w:cs="Arial"/>
                <w:sz w:val="16"/>
                <w:szCs w:val="16"/>
              </w:rPr>
            </w:pPr>
            <w:r w:rsidRPr="00FB3D74">
              <w:rPr>
                <w:rFonts w:cs="Arial"/>
                <w:sz w:val="16"/>
                <w:szCs w:val="16"/>
              </w:rPr>
              <w:t>Los Colimenses tienen acceso a la Sociedad de la Información y el Conocimiento Inclusiva y Sostenible mediante la Agenda Digital dentro de una comunidad integrada y totalmente intercomunicada logrando un entorno de igualdad de oportunidades, respeto a la diversidad, identidad cultural, que permite el impacto en todos los sectores de la sociedad.</w:t>
            </w:r>
          </w:p>
        </w:tc>
      </w:tr>
      <w:tr w:rsidR="004071CA" w:rsidRPr="00FB3D74" w14:paraId="105B0565" w14:textId="77777777" w:rsidTr="00942E95">
        <w:trPr>
          <w:trHeight w:val="20"/>
        </w:trPr>
        <w:tc>
          <w:tcPr>
            <w:tcW w:w="3823" w:type="dxa"/>
            <w:shd w:val="clear" w:color="auto" w:fill="F2F2F2" w:themeFill="background1" w:themeFillShade="F2"/>
            <w:vAlign w:val="center"/>
          </w:tcPr>
          <w:p w14:paraId="3464AEB0" w14:textId="77777777" w:rsidR="004071CA" w:rsidRPr="00FB3D74" w:rsidRDefault="004071CA" w:rsidP="009946C0">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158E54E1" w14:textId="77777777" w:rsidR="004071CA" w:rsidRPr="00FB3D74" w:rsidRDefault="004071CA" w:rsidP="009946C0">
            <w:pPr>
              <w:jc w:val="center"/>
              <w:rPr>
                <w:rFonts w:cs="Arial"/>
                <w:sz w:val="16"/>
                <w:szCs w:val="16"/>
              </w:rPr>
            </w:pPr>
            <w:r w:rsidRPr="00FB3D74">
              <w:rPr>
                <w:rFonts w:cs="Arial"/>
                <w:b/>
                <w:bCs/>
                <w:sz w:val="16"/>
                <w:szCs w:val="16"/>
              </w:rPr>
              <w:t>Metas</w:t>
            </w:r>
          </w:p>
        </w:tc>
      </w:tr>
      <w:tr w:rsidR="004071CA" w:rsidRPr="00FB3D74" w14:paraId="41689BB2" w14:textId="77777777" w:rsidTr="00942E95">
        <w:trPr>
          <w:trHeight w:val="20"/>
        </w:trPr>
        <w:tc>
          <w:tcPr>
            <w:tcW w:w="3823" w:type="dxa"/>
            <w:vAlign w:val="center"/>
          </w:tcPr>
          <w:p w14:paraId="0EEABC60" w14:textId="77777777" w:rsidR="004071CA" w:rsidRPr="00FB3D74" w:rsidRDefault="004071CA" w:rsidP="00942E95">
            <w:pPr>
              <w:rPr>
                <w:rFonts w:cs="Arial"/>
                <w:sz w:val="16"/>
                <w:szCs w:val="16"/>
              </w:rPr>
            </w:pPr>
            <w:r w:rsidRPr="00FB3D74">
              <w:rPr>
                <w:rFonts w:cs="Arial"/>
                <w:sz w:val="16"/>
                <w:szCs w:val="16"/>
              </w:rPr>
              <w:t>Desempeño de funciones realizado.</w:t>
            </w:r>
          </w:p>
        </w:tc>
        <w:tc>
          <w:tcPr>
            <w:tcW w:w="4992" w:type="dxa"/>
            <w:vAlign w:val="center"/>
          </w:tcPr>
          <w:p w14:paraId="5E4969B1" w14:textId="3D035344" w:rsidR="004071CA" w:rsidRPr="00FB3D74" w:rsidRDefault="004071CA" w:rsidP="00942E95">
            <w:pPr>
              <w:rPr>
                <w:rFonts w:cs="Arial"/>
                <w:sz w:val="16"/>
                <w:szCs w:val="16"/>
              </w:rPr>
            </w:pPr>
            <w:r w:rsidRPr="00FB3D74">
              <w:rPr>
                <w:rFonts w:cs="Arial"/>
                <w:sz w:val="16"/>
                <w:szCs w:val="16"/>
              </w:rPr>
              <w:t xml:space="preserve">Atender el 100 por ciento de 5 líneas de acción de la </w:t>
            </w:r>
            <w:r w:rsidR="00870A19" w:rsidRPr="00FB3D74">
              <w:rPr>
                <w:rFonts w:cs="Arial"/>
                <w:sz w:val="16"/>
                <w:szCs w:val="16"/>
              </w:rPr>
              <w:t>Agenda Digital</w:t>
            </w:r>
            <w:r w:rsidRPr="00FB3D74">
              <w:rPr>
                <w:rFonts w:cs="Arial"/>
                <w:sz w:val="16"/>
                <w:szCs w:val="16"/>
              </w:rPr>
              <w:t>.</w:t>
            </w:r>
          </w:p>
        </w:tc>
      </w:tr>
      <w:tr w:rsidR="004071CA" w:rsidRPr="00FB3D74" w14:paraId="12A24257" w14:textId="77777777" w:rsidTr="00942E95">
        <w:trPr>
          <w:trHeight w:val="20"/>
        </w:trPr>
        <w:tc>
          <w:tcPr>
            <w:tcW w:w="3823" w:type="dxa"/>
            <w:vAlign w:val="center"/>
          </w:tcPr>
          <w:p w14:paraId="6529C0D2" w14:textId="2666B89A" w:rsidR="004071CA" w:rsidRPr="00FB3D74" w:rsidRDefault="004071CA" w:rsidP="00942E95">
            <w:pPr>
              <w:rPr>
                <w:rFonts w:cs="Arial"/>
                <w:sz w:val="16"/>
                <w:szCs w:val="16"/>
              </w:rPr>
            </w:pPr>
            <w:r w:rsidRPr="00FB3D74">
              <w:rPr>
                <w:rFonts w:cs="Arial"/>
                <w:sz w:val="16"/>
                <w:szCs w:val="16"/>
              </w:rPr>
              <w:t xml:space="preserve">Vinculación e Inclusión Digital fortalecida, Actividades de promoción y divulgación para el desarrollo tecnológico que permita fortalecer la inclusión digital en el </w:t>
            </w:r>
            <w:r w:rsidR="00870A19" w:rsidRPr="00FB3D74">
              <w:rPr>
                <w:rFonts w:cs="Arial"/>
                <w:sz w:val="16"/>
                <w:szCs w:val="16"/>
              </w:rPr>
              <w:t xml:space="preserve">Estado </w:t>
            </w:r>
            <w:r w:rsidRPr="00FB3D74">
              <w:rPr>
                <w:rFonts w:cs="Arial"/>
                <w:sz w:val="16"/>
                <w:szCs w:val="16"/>
              </w:rPr>
              <w:t>de Colima.</w:t>
            </w:r>
          </w:p>
        </w:tc>
        <w:tc>
          <w:tcPr>
            <w:tcW w:w="4992" w:type="dxa"/>
            <w:vAlign w:val="center"/>
          </w:tcPr>
          <w:p w14:paraId="0DD72B3C" w14:textId="41A104A5" w:rsidR="004071CA" w:rsidRPr="00FB3D74" w:rsidRDefault="004071CA" w:rsidP="00942E95">
            <w:pPr>
              <w:rPr>
                <w:rFonts w:cs="Arial"/>
                <w:sz w:val="16"/>
                <w:szCs w:val="16"/>
              </w:rPr>
            </w:pPr>
            <w:r w:rsidRPr="00FB3D74">
              <w:rPr>
                <w:rFonts w:cs="Arial"/>
                <w:sz w:val="16"/>
                <w:szCs w:val="16"/>
              </w:rPr>
              <w:t xml:space="preserve">Realizar el 100 por ciento de un programa permanente en las redes sociales para promover y divulgar el desarrollo tecnológico que permita fortalecer la inclusión digital en el </w:t>
            </w:r>
            <w:r w:rsidR="00870A19" w:rsidRPr="00FB3D74">
              <w:rPr>
                <w:rFonts w:cs="Arial"/>
                <w:sz w:val="16"/>
                <w:szCs w:val="16"/>
              </w:rPr>
              <w:t>Estado de Colima</w:t>
            </w:r>
            <w:r w:rsidRPr="00FB3D74">
              <w:rPr>
                <w:rFonts w:cs="Arial"/>
                <w:sz w:val="16"/>
                <w:szCs w:val="16"/>
              </w:rPr>
              <w:t>.</w:t>
            </w:r>
          </w:p>
        </w:tc>
      </w:tr>
      <w:tr w:rsidR="004071CA" w:rsidRPr="00FB3D74" w14:paraId="0E4F3755" w14:textId="77777777" w:rsidTr="00942E95">
        <w:trPr>
          <w:trHeight w:val="20"/>
        </w:trPr>
        <w:tc>
          <w:tcPr>
            <w:tcW w:w="3823" w:type="dxa"/>
            <w:vAlign w:val="center"/>
          </w:tcPr>
          <w:p w14:paraId="75D7B727" w14:textId="77777777" w:rsidR="004071CA" w:rsidRPr="00FB3D74" w:rsidRDefault="004071CA" w:rsidP="00942E95">
            <w:pPr>
              <w:rPr>
                <w:rFonts w:cs="Arial"/>
                <w:sz w:val="16"/>
                <w:szCs w:val="16"/>
              </w:rPr>
            </w:pPr>
            <w:r w:rsidRPr="00FB3D74">
              <w:rPr>
                <w:rFonts w:cs="Arial"/>
                <w:sz w:val="16"/>
                <w:szCs w:val="16"/>
              </w:rPr>
              <w:t>Gobierno Electrónico proporcionado a la población que requiera soporte o asistencia en los trámites en línea.</w:t>
            </w:r>
          </w:p>
        </w:tc>
        <w:tc>
          <w:tcPr>
            <w:tcW w:w="4992" w:type="dxa"/>
            <w:vAlign w:val="center"/>
          </w:tcPr>
          <w:p w14:paraId="6F9A522B" w14:textId="14F9CD35" w:rsidR="004071CA" w:rsidRPr="00FB3D74" w:rsidRDefault="004071CA" w:rsidP="00942E95">
            <w:pPr>
              <w:rPr>
                <w:rFonts w:cs="Arial"/>
                <w:sz w:val="16"/>
                <w:szCs w:val="16"/>
              </w:rPr>
            </w:pPr>
            <w:r w:rsidRPr="00FB3D74">
              <w:rPr>
                <w:rFonts w:cs="Arial"/>
                <w:sz w:val="16"/>
                <w:szCs w:val="16"/>
              </w:rPr>
              <w:t xml:space="preserve">Lograr que 1 </w:t>
            </w:r>
            <w:r w:rsidR="00870A19" w:rsidRPr="00FB3D74">
              <w:rPr>
                <w:rFonts w:cs="Arial"/>
                <w:sz w:val="16"/>
                <w:szCs w:val="16"/>
              </w:rPr>
              <w:t xml:space="preserve">Gobierno Municipal </w:t>
            </w:r>
            <w:r w:rsidRPr="00FB3D74">
              <w:rPr>
                <w:rFonts w:cs="Arial"/>
                <w:sz w:val="16"/>
                <w:szCs w:val="16"/>
              </w:rPr>
              <w:t xml:space="preserve">ofrezca los trámites en línea del </w:t>
            </w:r>
            <w:r w:rsidR="00870A19" w:rsidRPr="00FB3D74">
              <w:rPr>
                <w:rFonts w:cs="Arial"/>
                <w:sz w:val="16"/>
                <w:szCs w:val="16"/>
              </w:rPr>
              <w:t xml:space="preserve">Gobierno </w:t>
            </w:r>
            <w:r w:rsidRPr="00FB3D74">
              <w:rPr>
                <w:rFonts w:cs="Arial"/>
                <w:sz w:val="16"/>
                <w:szCs w:val="16"/>
              </w:rPr>
              <w:t xml:space="preserve">del </w:t>
            </w:r>
            <w:r w:rsidR="00870A19" w:rsidRPr="00FB3D74">
              <w:rPr>
                <w:rFonts w:cs="Arial"/>
                <w:sz w:val="16"/>
                <w:szCs w:val="16"/>
              </w:rPr>
              <w:t xml:space="preserve">Estado </w:t>
            </w:r>
            <w:r w:rsidRPr="00FB3D74">
              <w:rPr>
                <w:rFonts w:cs="Arial"/>
                <w:sz w:val="16"/>
                <w:szCs w:val="16"/>
              </w:rPr>
              <w:t>en la infraestructura de TIC existente en su municipio.</w:t>
            </w:r>
          </w:p>
        </w:tc>
      </w:tr>
      <w:tr w:rsidR="004071CA" w:rsidRPr="00FB3D74" w14:paraId="5FC2DC72" w14:textId="77777777" w:rsidTr="00942E95">
        <w:trPr>
          <w:trHeight w:val="20"/>
        </w:trPr>
        <w:tc>
          <w:tcPr>
            <w:tcW w:w="3823" w:type="dxa"/>
            <w:shd w:val="clear" w:color="auto" w:fill="F2F2F2" w:themeFill="background1" w:themeFillShade="F2"/>
            <w:vAlign w:val="center"/>
          </w:tcPr>
          <w:p w14:paraId="100A6729" w14:textId="03258412" w:rsidR="004071CA" w:rsidRPr="00FB3D74" w:rsidRDefault="004071CA" w:rsidP="00942E95">
            <w:pPr>
              <w:rPr>
                <w:rFonts w:cs="Arial"/>
                <w:b/>
                <w:bCs/>
                <w:sz w:val="16"/>
                <w:szCs w:val="16"/>
              </w:rPr>
            </w:pPr>
            <w:r w:rsidRPr="00FB3D74">
              <w:rPr>
                <w:rFonts w:cs="Arial"/>
                <w:b/>
                <w:bCs/>
                <w:sz w:val="16"/>
                <w:szCs w:val="16"/>
              </w:rPr>
              <w:t>Número de Programa Presupuestal</w:t>
            </w:r>
            <w:r w:rsidR="009946C0" w:rsidRPr="00FB3D74">
              <w:rPr>
                <w:rFonts w:cs="Arial"/>
                <w:b/>
                <w:bCs/>
                <w:sz w:val="16"/>
                <w:szCs w:val="16"/>
              </w:rPr>
              <w:t>.</w:t>
            </w:r>
          </w:p>
        </w:tc>
        <w:tc>
          <w:tcPr>
            <w:tcW w:w="4992" w:type="dxa"/>
            <w:shd w:val="clear" w:color="auto" w:fill="F2F2F2" w:themeFill="background1" w:themeFillShade="F2"/>
            <w:vAlign w:val="center"/>
          </w:tcPr>
          <w:p w14:paraId="7A245AF8" w14:textId="7A23017D" w:rsidR="004071CA" w:rsidRPr="00FB3D74" w:rsidRDefault="004071CA" w:rsidP="00942E95">
            <w:pPr>
              <w:rPr>
                <w:rFonts w:cs="Arial"/>
                <w:b/>
                <w:bCs/>
                <w:sz w:val="16"/>
                <w:szCs w:val="16"/>
              </w:rPr>
            </w:pPr>
            <w:r w:rsidRPr="00FB3D74">
              <w:rPr>
                <w:rFonts w:cs="Arial"/>
                <w:b/>
                <w:bCs/>
                <w:sz w:val="16"/>
                <w:szCs w:val="16"/>
              </w:rPr>
              <w:t>46</w:t>
            </w:r>
            <w:r w:rsidR="009946C0" w:rsidRPr="00FB3D74">
              <w:rPr>
                <w:rFonts w:cs="Arial"/>
                <w:b/>
                <w:bCs/>
                <w:sz w:val="16"/>
                <w:szCs w:val="16"/>
              </w:rPr>
              <w:t>.</w:t>
            </w:r>
          </w:p>
        </w:tc>
      </w:tr>
      <w:tr w:rsidR="004071CA" w:rsidRPr="00FB3D74" w14:paraId="0899F362" w14:textId="77777777" w:rsidTr="00942E95">
        <w:trPr>
          <w:trHeight w:val="20"/>
        </w:trPr>
        <w:tc>
          <w:tcPr>
            <w:tcW w:w="3823" w:type="dxa"/>
            <w:shd w:val="clear" w:color="auto" w:fill="F2F2F2" w:themeFill="background1" w:themeFillShade="F2"/>
            <w:vAlign w:val="center"/>
          </w:tcPr>
          <w:p w14:paraId="518FE119" w14:textId="514864A7" w:rsidR="004071CA" w:rsidRPr="00FB3D74" w:rsidRDefault="004071CA" w:rsidP="00942E95">
            <w:pPr>
              <w:rPr>
                <w:rFonts w:cs="Arial"/>
                <w:b/>
                <w:bCs/>
                <w:sz w:val="16"/>
                <w:szCs w:val="16"/>
              </w:rPr>
            </w:pPr>
            <w:r w:rsidRPr="00FB3D74">
              <w:rPr>
                <w:rFonts w:cs="Arial"/>
                <w:b/>
                <w:bCs/>
                <w:sz w:val="16"/>
                <w:szCs w:val="16"/>
              </w:rPr>
              <w:t>Dependencia/Organismo</w:t>
            </w:r>
            <w:r w:rsidR="009946C0" w:rsidRPr="00FB3D74">
              <w:rPr>
                <w:rFonts w:cs="Arial"/>
                <w:b/>
                <w:bCs/>
                <w:sz w:val="16"/>
                <w:szCs w:val="16"/>
              </w:rPr>
              <w:t>.</w:t>
            </w:r>
          </w:p>
        </w:tc>
        <w:tc>
          <w:tcPr>
            <w:tcW w:w="4992" w:type="dxa"/>
            <w:shd w:val="clear" w:color="auto" w:fill="F2F2F2" w:themeFill="background1" w:themeFillShade="F2"/>
            <w:vAlign w:val="center"/>
          </w:tcPr>
          <w:p w14:paraId="17BB5433" w14:textId="77777777" w:rsidR="004071CA" w:rsidRPr="00FB3D74" w:rsidRDefault="004071CA" w:rsidP="00942E95">
            <w:pPr>
              <w:tabs>
                <w:tab w:val="left" w:pos="397"/>
              </w:tabs>
              <w:rPr>
                <w:rFonts w:cs="Arial"/>
                <w:b/>
                <w:bCs/>
                <w:sz w:val="16"/>
                <w:szCs w:val="16"/>
              </w:rPr>
            </w:pPr>
            <w:r w:rsidRPr="00FB3D74">
              <w:rPr>
                <w:rFonts w:cs="Arial"/>
                <w:b/>
                <w:bCs/>
                <w:sz w:val="16"/>
                <w:szCs w:val="16"/>
              </w:rPr>
              <w:t>Instituto de Transparencia, Acceso a la Información Pública y Protección de Datos del Estado de Colima.</w:t>
            </w:r>
          </w:p>
        </w:tc>
      </w:tr>
      <w:tr w:rsidR="004071CA" w:rsidRPr="00FB3D74" w14:paraId="1AE40EE3" w14:textId="77777777" w:rsidTr="00942E95">
        <w:trPr>
          <w:trHeight w:val="20"/>
        </w:trPr>
        <w:tc>
          <w:tcPr>
            <w:tcW w:w="3823" w:type="dxa"/>
            <w:shd w:val="clear" w:color="auto" w:fill="F2F2F2" w:themeFill="background1" w:themeFillShade="F2"/>
            <w:vAlign w:val="center"/>
          </w:tcPr>
          <w:p w14:paraId="151ABBB0" w14:textId="614A4AC3" w:rsidR="004071CA" w:rsidRPr="00FB3D74" w:rsidRDefault="004071CA" w:rsidP="00942E95">
            <w:pPr>
              <w:rPr>
                <w:rFonts w:cs="Arial"/>
                <w:b/>
                <w:bCs/>
                <w:sz w:val="16"/>
                <w:szCs w:val="16"/>
              </w:rPr>
            </w:pPr>
            <w:r w:rsidRPr="00FB3D74">
              <w:rPr>
                <w:rFonts w:cs="Arial"/>
                <w:b/>
                <w:bCs/>
                <w:sz w:val="16"/>
                <w:szCs w:val="16"/>
              </w:rPr>
              <w:t>Objetivo Anual</w:t>
            </w:r>
            <w:r w:rsidR="009946C0" w:rsidRPr="00FB3D74">
              <w:rPr>
                <w:rFonts w:cs="Arial"/>
                <w:b/>
                <w:bCs/>
                <w:sz w:val="16"/>
                <w:szCs w:val="16"/>
              </w:rPr>
              <w:t>.</w:t>
            </w:r>
          </w:p>
        </w:tc>
        <w:tc>
          <w:tcPr>
            <w:tcW w:w="4992" w:type="dxa"/>
            <w:shd w:val="clear" w:color="auto" w:fill="F2F2F2" w:themeFill="background1" w:themeFillShade="F2"/>
            <w:vAlign w:val="center"/>
          </w:tcPr>
          <w:p w14:paraId="3D9F148C" w14:textId="77777777" w:rsidR="004071CA" w:rsidRPr="00FB3D74" w:rsidRDefault="004071CA" w:rsidP="00942E95">
            <w:pPr>
              <w:rPr>
                <w:rFonts w:cs="Arial"/>
                <w:sz w:val="16"/>
                <w:szCs w:val="16"/>
              </w:rPr>
            </w:pPr>
            <w:r w:rsidRPr="00FB3D74">
              <w:rPr>
                <w:rFonts w:cs="Arial"/>
                <w:sz w:val="16"/>
                <w:szCs w:val="16"/>
              </w:rPr>
              <w:t>La población del Estado de Colima ejerce sus derechos en materia de transparencia, acceso a la información pública y protección de datos \\npersonales.</w:t>
            </w:r>
          </w:p>
        </w:tc>
      </w:tr>
      <w:tr w:rsidR="004071CA" w:rsidRPr="00FB3D74" w14:paraId="1F698489" w14:textId="77777777" w:rsidTr="00942E95">
        <w:trPr>
          <w:trHeight w:val="20"/>
        </w:trPr>
        <w:tc>
          <w:tcPr>
            <w:tcW w:w="3823" w:type="dxa"/>
            <w:shd w:val="clear" w:color="auto" w:fill="F2F2F2" w:themeFill="background1" w:themeFillShade="F2"/>
            <w:vAlign w:val="center"/>
          </w:tcPr>
          <w:p w14:paraId="3A1BCDA4" w14:textId="77777777" w:rsidR="004071CA" w:rsidRPr="00FB3D74" w:rsidRDefault="004071CA" w:rsidP="009946C0">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57ACE8BD" w14:textId="77777777" w:rsidR="004071CA" w:rsidRPr="00FB3D74" w:rsidRDefault="004071CA" w:rsidP="009946C0">
            <w:pPr>
              <w:jc w:val="center"/>
              <w:rPr>
                <w:rFonts w:cs="Arial"/>
                <w:sz w:val="16"/>
                <w:szCs w:val="16"/>
              </w:rPr>
            </w:pPr>
            <w:r w:rsidRPr="00FB3D74">
              <w:rPr>
                <w:rFonts w:cs="Arial"/>
                <w:b/>
                <w:bCs/>
                <w:sz w:val="16"/>
                <w:szCs w:val="16"/>
              </w:rPr>
              <w:t>Metas</w:t>
            </w:r>
          </w:p>
        </w:tc>
      </w:tr>
      <w:tr w:rsidR="004071CA" w:rsidRPr="00FB3D74" w14:paraId="1D8B8D7F" w14:textId="77777777" w:rsidTr="00942E95">
        <w:trPr>
          <w:trHeight w:val="20"/>
        </w:trPr>
        <w:tc>
          <w:tcPr>
            <w:tcW w:w="3823" w:type="dxa"/>
            <w:vAlign w:val="center"/>
          </w:tcPr>
          <w:p w14:paraId="2E0E487F" w14:textId="77777777" w:rsidR="004071CA" w:rsidRPr="00FB3D74" w:rsidRDefault="004071CA" w:rsidP="00942E95">
            <w:pPr>
              <w:rPr>
                <w:rFonts w:cs="Arial"/>
                <w:sz w:val="16"/>
                <w:szCs w:val="16"/>
              </w:rPr>
            </w:pPr>
            <w:r w:rsidRPr="00FB3D74">
              <w:rPr>
                <w:rFonts w:cs="Arial"/>
                <w:sz w:val="16"/>
                <w:szCs w:val="16"/>
              </w:rPr>
              <w:t>Proyectos, acuerdos y resoluciones de los recursos de revisión ejecutados.</w:t>
            </w:r>
          </w:p>
        </w:tc>
        <w:tc>
          <w:tcPr>
            <w:tcW w:w="4992" w:type="dxa"/>
            <w:vAlign w:val="center"/>
          </w:tcPr>
          <w:p w14:paraId="750009F9" w14:textId="77777777" w:rsidR="004071CA" w:rsidRPr="00FB3D74" w:rsidRDefault="004071CA" w:rsidP="00942E95">
            <w:pPr>
              <w:rPr>
                <w:rFonts w:cs="Arial"/>
                <w:sz w:val="16"/>
                <w:szCs w:val="16"/>
              </w:rPr>
            </w:pPr>
            <w:r w:rsidRPr="00FB3D74">
              <w:rPr>
                <w:rFonts w:cs="Arial"/>
                <w:sz w:val="16"/>
                <w:szCs w:val="16"/>
              </w:rPr>
              <w:t>Lograr el 100 por ciento de los 360 proyectos.</w:t>
            </w:r>
          </w:p>
        </w:tc>
      </w:tr>
      <w:tr w:rsidR="004071CA" w:rsidRPr="00FB3D74" w14:paraId="322CDD95" w14:textId="77777777" w:rsidTr="00942E95">
        <w:trPr>
          <w:trHeight w:val="20"/>
        </w:trPr>
        <w:tc>
          <w:tcPr>
            <w:tcW w:w="3823" w:type="dxa"/>
            <w:vAlign w:val="center"/>
          </w:tcPr>
          <w:p w14:paraId="0DBFF451" w14:textId="046707E5" w:rsidR="004071CA" w:rsidRPr="00FB3D74" w:rsidRDefault="004071CA" w:rsidP="00942E95">
            <w:pPr>
              <w:rPr>
                <w:rFonts w:cs="Arial"/>
                <w:sz w:val="16"/>
                <w:szCs w:val="16"/>
              </w:rPr>
            </w:pPr>
            <w:r w:rsidRPr="00FB3D74">
              <w:rPr>
                <w:rFonts w:cs="Arial"/>
                <w:sz w:val="16"/>
                <w:szCs w:val="16"/>
              </w:rPr>
              <w:t>Realización de las verificaciones por oficio del cumplimiento al</w:t>
            </w:r>
            <w:r w:rsidR="00870A19" w:rsidRPr="00FB3D74">
              <w:rPr>
                <w:rFonts w:cs="Arial"/>
                <w:sz w:val="16"/>
                <w:szCs w:val="16"/>
              </w:rPr>
              <w:t xml:space="preserve"> artículo</w:t>
            </w:r>
            <w:r w:rsidRPr="00FB3D74">
              <w:rPr>
                <w:rFonts w:cs="Arial"/>
                <w:sz w:val="16"/>
                <w:szCs w:val="16"/>
              </w:rPr>
              <w:t xml:space="preserve"> 29 y específicos de la Ley de Transparencia a los sujetos obligados.</w:t>
            </w:r>
          </w:p>
        </w:tc>
        <w:tc>
          <w:tcPr>
            <w:tcW w:w="4992" w:type="dxa"/>
            <w:vAlign w:val="center"/>
          </w:tcPr>
          <w:p w14:paraId="180C7D3A" w14:textId="77777777" w:rsidR="004071CA" w:rsidRPr="00FB3D74" w:rsidRDefault="004071CA" w:rsidP="00942E95">
            <w:pPr>
              <w:rPr>
                <w:rFonts w:cs="Arial"/>
                <w:sz w:val="16"/>
                <w:szCs w:val="16"/>
              </w:rPr>
            </w:pPr>
            <w:r w:rsidRPr="00FB3D74">
              <w:rPr>
                <w:rFonts w:cs="Arial"/>
                <w:sz w:val="16"/>
                <w:szCs w:val="16"/>
              </w:rPr>
              <w:t>Lograr el 100 por ciento de las 122 verificaciones a sujetos obligados.</w:t>
            </w:r>
          </w:p>
        </w:tc>
      </w:tr>
      <w:tr w:rsidR="004071CA" w:rsidRPr="00FB3D74" w14:paraId="0DD1AACE" w14:textId="77777777" w:rsidTr="00942E95">
        <w:trPr>
          <w:trHeight w:val="20"/>
        </w:trPr>
        <w:tc>
          <w:tcPr>
            <w:tcW w:w="3823" w:type="dxa"/>
            <w:vAlign w:val="center"/>
          </w:tcPr>
          <w:p w14:paraId="7E3D69DA" w14:textId="77777777" w:rsidR="004071CA" w:rsidRPr="00FB3D74" w:rsidRDefault="004071CA" w:rsidP="00942E95">
            <w:pPr>
              <w:rPr>
                <w:rFonts w:cs="Arial"/>
                <w:sz w:val="16"/>
                <w:szCs w:val="16"/>
              </w:rPr>
            </w:pPr>
            <w:r w:rsidRPr="00FB3D74">
              <w:rPr>
                <w:rFonts w:cs="Arial"/>
                <w:sz w:val="16"/>
                <w:szCs w:val="16"/>
              </w:rPr>
              <w:t>Asesorías en materia archivos.</w:t>
            </w:r>
          </w:p>
        </w:tc>
        <w:tc>
          <w:tcPr>
            <w:tcW w:w="4992" w:type="dxa"/>
            <w:vAlign w:val="center"/>
          </w:tcPr>
          <w:p w14:paraId="1512D067" w14:textId="77777777" w:rsidR="004071CA" w:rsidRPr="00FB3D74" w:rsidRDefault="004071CA" w:rsidP="00942E95">
            <w:pPr>
              <w:rPr>
                <w:rFonts w:cs="Arial"/>
                <w:sz w:val="16"/>
                <w:szCs w:val="16"/>
              </w:rPr>
            </w:pPr>
            <w:r w:rsidRPr="00FB3D74">
              <w:rPr>
                <w:rFonts w:cs="Arial"/>
                <w:sz w:val="16"/>
                <w:szCs w:val="16"/>
              </w:rPr>
              <w:t>Lograr el 100 por ciento de las 32 asesorías.</w:t>
            </w:r>
          </w:p>
        </w:tc>
      </w:tr>
      <w:tr w:rsidR="004071CA" w:rsidRPr="00FB3D74" w14:paraId="3995CC2D" w14:textId="77777777" w:rsidTr="00942E95">
        <w:trPr>
          <w:trHeight w:val="20"/>
        </w:trPr>
        <w:tc>
          <w:tcPr>
            <w:tcW w:w="3823" w:type="dxa"/>
            <w:vAlign w:val="center"/>
          </w:tcPr>
          <w:p w14:paraId="3F925AD5" w14:textId="62CDF572" w:rsidR="004071CA" w:rsidRPr="00FB3D74" w:rsidRDefault="004071CA" w:rsidP="00942E95">
            <w:pPr>
              <w:rPr>
                <w:rFonts w:cs="Arial"/>
                <w:sz w:val="16"/>
                <w:szCs w:val="16"/>
              </w:rPr>
            </w:pPr>
            <w:r w:rsidRPr="00FB3D74">
              <w:rPr>
                <w:rFonts w:cs="Arial"/>
                <w:sz w:val="16"/>
                <w:szCs w:val="16"/>
              </w:rPr>
              <w:t xml:space="preserve">Realización de los procedimientos de responsabilidades administrativas dentro del </w:t>
            </w:r>
            <w:r w:rsidR="00174D62" w:rsidRPr="00FB3D74">
              <w:rPr>
                <w:rFonts w:cs="Arial"/>
                <w:sz w:val="16"/>
                <w:szCs w:val="16"/>
              </w:rPr>
              <w:t>Instituto</w:t>
            </w:r>
            <w:r w:rsidRPr="00FB3D74">
              <w:rPr>
                <w:rFonts w:cs="Arial"/>
                <w:sz w:val="16"/>
                <w:szCs w:val="16"/>
              </w:rPr>
              <w:t>.</w:t>
            </w:r>
          </w:p>
        </w:tc>
        <w:tc>
          <w:tcPr>
            <w:tcW w:w="4992" w:type="dxa"/>
            <w:vAlign w:val="center"/>
          </w:tcPr>
          <w:p w14:paraId="6CB3677B" w14:textId="77777777" w:rsidR="004071CA" w:rsidRPr="00FB3D74" w:rsidRDefault="004071CA" w:rsidP="00942E95">
            <w:pPr>
              <w:rPr>
                <w:rFonts w:cs="Arial"/>
                <w:sz w:val="16"/>
                <w:szCs w:val="16"/>
              </w:rPr>
            </w:pPr>
            <w:r w:rsidRPr="00FB3D74">
              <w:rPr>
                <w:rFonts w:cs="Arial"/>
                <w:sz w:val="16"/>
                <w:szCs w:val="16"/>
              </w:rPr>
              <w:t>32 por ciento procedimientos realizados.</w:t>
            </w:r>
          </w:p>
        </w:tc>
      </w:tr>
      <w:tr w:rsidR="004071CA" w:rsidRPr="00FB3D74" w14:paraId="66DF7FED" w14:textId="77777777" w:rsidTr="00942E95">
        <w:trPr>
          <w:trHeight w:val="20"/>
        </w:trPr>
        <w:tc>
          <w:tcPr>
            <w:tcW w:w="3823" w:type="dxa"/>
            <w:vAlign w:val="center"/>
          </w:tcPr>
          <w:p w14:paraId="42C6A2CE" w14:textId="77777777" w:rsidR="004071CA" w:rsidRPr="00FB3D74" w:rsidRDefault="004071CA" w:rsidP="00942E95">
            <w:pPr>
              <w:rPr>
                <w:rFonts w:cs="Arial"/>
                <w:sz w:val="16"/>
                <w:szCs w:val="16"/>
              </w:rPr>
            </w:pPr>
            <w:r w:rsidRPr="00FB3D74">
              <w:rPr>
                <w:rFonts w:cs="Arial"/>
                <w:sz w:val="16"/>
                <w:szCs w:val="16"/>
              </w:rPr>
              <w:t>Capacitaciones en materia de transparencia, acceso a la información pública y protección de datos personales y archivos otorgados.</w:t>
            </w:r>
          </w:p>
        </w:tc>
        <w:tc>
          <w:tcPr>
            <w:tcW w:w="4992" w:type="dxa"/>
            <w:vAlign w:val="center"/>
          </w:tcPr>
          <w:p w14:paraId="5960851D" w14:textId="77777777" w:rsidR="004071CA" w:rsidRPr="00FB3D74" w:rsidRDefault="004071CA" w:rsidP="00942E95">
            <w:pPr>
              <w:rPr>
                <w:rFonts w:cs="Arial"/>
                <w:sz w:val="16"/>
                <w:szCs w:val="16"/>
              </w:rPr>
            </w:pPr>
            <w:r w:rsidRPr="00FB3D74">
              <w:rPr>
                <w:rFonts w:cs="Arial"/>
                <w:sz w:val="16"/>
                <w:szCs w:val="16"/>
              </w:rPr>
              <w:t>Lograr el 100 por ciento de las 65 capacitaciones.</w:t>
            </w:r>
          </w:p>
        </w:tc>
      </w:tr>
      <w:tr w:rsidR="004071CA" w:rsidRPr="00FB3D74" w14:paraId="27976326" w14:textId="77777777" w:rsidTr="00942E95">
        <w:trPr>
          <w:trHeight w:val="20"/>
        </w:trPr>
        <w:tc>
          <w:tcPr>
            <w:tcW w:w="3823" w:type="dxa"/>
            <w:vAlign w:val="center"/>
          </w:tcPr>
          <w:p w14:paraId="273B917F" w14:textId="77777777" w:rsidR="004071CA" w:rsidRPr="00FB3D74" w:rsidRDefault="004071CA" w:rsidP="00942E95">
            <w:pPr>
              <w:rPr>
                <w:rFonts w:cs="Arial"/>
                <w:sz w:val="16"/>
                <w:szCs w:val="16"/>
              </w:rPr>
            </w:pPr>
            <w:r w:rsidRPr="00FB3D74">
              <w:rPr>
                <w:rFonts w:cs="Arial"/>
                <w:sz w:val="16"/>
                <w:szCs w:val="16"/>
              </w:rPr>
              <w:t>Participar en los eventos solicitados al Instituto.</w:t>
            </w:r>
          </w:p>
        </w:tc>
        <w:tc>
          <w:tcPr>
            <w:tcW w:w="4992" w:type="dxa"/>
            <w:vAlign w:val="center"/>
          </w:tcPr>
          <w:p w14:paraId="33498C48" w14:textId="77777777" w:rsidR="004071CA" w:rsidRPr="00FB3D74" w:rsidRDefault="004071CA" w:rsidP="00942E95">
            <w:pPr>
              <w:rPr>
                <w:rFonts w:cs="Arial"/>
                <w:sz w:val="16"/>
                <w:szCs w:val="16"/>
              </w:rPr>
            </w:pPr>
            <w:r w:rsidRPr="00FB3D74">
              <w:rPr>
                <w:rFonts w:cs="Arial"/>
                <w:sz w:val="16"/>
                <w:szCs w:val="16"/>
              </w:rPr>
              <w:t>Lograr el 100 por ciento de los 217 eventos.</w:t>
            </w:r>
          </w:p>
        </w:tc>
      </w:tr>
      <w:tr w:rsidR="004071CA" w:rsidRPr="00FB3D74" w14:paraId="758A5583" w14:textId="77777777" w:rsidTr="00942E95">
        <w:trPr>
          <w:trHeight w:val="20"/>
        </w:trPr>
        <w:tc>
          <w:tcPr>
            <w:tcW w:w="3823" w:type="dxa"/>
            <w:vAlign w:val="center"/>
          </w:tcPr>
          <w:p w14:paraId="75C37D19" w14:textId="26C5DADF" w:rsidR="004071CA" w:rsidRPr="00FB3D74" w:rsidRDefault="004071CA" w:rsidP="00942E95">
            <w:pPr>
              <w:rPr>
                <w:rFonts w:cs="Arial"/>
                <w:sz w:val="16"/>
                <w:szCs w:val="16"/>
              </w:rPr>
            </w:pPr>
            <w:r w:rsidRPr="00FB3D74">
              <w:rPr>
                <w:rFonts w:cs="Arial"/>
                <w:sz w:val="16"/>
                <w:szCs w:val="16"/>
              </w:rPr>
              <w:t xml:space="preserve">Protección de </w:t>
            </w:r>
            <w:r w:rsidR="009946C0" w:rsidRPr="00FB3D74">
              <w:rPr>
                <w:rFonts w:cs="Arial"/>
                <w:sz w:val="16"/>
                <w:szCs w:val="16"/>
              </w:rPr>
              <w:t xml:space="preserve">datos personales </w:t>
            </w:r>
            <w:r w:rsidRPr="00FB3D74">
              <w:rPr>
                <w:rFonts w:cs="Arial"/>
                <w:sz w:val="16"/>
                <w:szCs w:val="16"/>
              </w:rPr>
              <w:t>verificado.</w:t>
            </w:r>
          </w:p>
        </w:tc>
        <w:tc>
          <w:tcPr>
            <w:tcW w:w="4992" w:type="dxa"/>
            <w:vAlign w:val="center"/>
          </w:tcPr>
          <w:p w14:paraId="67A30F2E" w14:textId="77777777" w:rsidR="004071CA" w:rsidRPr="00FB3D74" w:rsidRDefault="004071CA" w:rsidP="00942E95">
            <w:pPr>
              <w:rPr>
                <w:rFonts w:cs="Arial"/>
                <w:sz w:val="16"/>
                <w:szCs w:val="16"/>
              </w:rPr>
            </w:pPr>
            <w:r w:rsidRPr="00FB3D74">
              <w:rPr>
                <w:rFonts w:cs="Arial"/>
                <w:sz w:val="16"/>
                <w:szCs w:val="16"/>
              </w:rPr>
              <w:t>Lograr el 100 por ciento de las 25 verificaciones programadas.</w:t>
            </w:r>
          </w:p>
        </w:tc>
      </w:tr>
      <w:tr w:rsidR="004071CA" w:rsidRPr="00FB3D74" w14:paraId="3AE97C6D" w14:textId="77777777" w:rsidTr="00942E95">
        <w:trPr>
          <w:trHeight w:val="20"/>
        </w:trPr>
        <w:tc>
          <w:tcPr>
            <w:tcW w:w="3823" w:type="dxa"/>
            <w:vAlign w:val="center"/>
          </w:tcPr>
          <w:p w14:paraId="56FF81D1" w14:textId="77777777" w:rsidR="004071CA" w:rsidRPr="00FB3D74" w:rsidRDefault="004071CA" w:rsidP="00942E95">
            <w:pPr>
              <w:rPr>
                <w:rFonts w:cs="Arial"/>
                <w:sz w:val="16"/>
                <w:szCs w:val="16"/>
              </w:rPr>
            </w:pPr>
            <w:r w:rsidRPr="00FB3D74">
              <w:rPr>
                <w:rFonts w:cs="Arial"/>
                <w:sz w:val="16"/>
                <w:szCs w:val="16"/>
              </w:rPr>
              <w:t>Desempeño de funciones realizado.</w:t>
            </w:r>
          </w:p>
        </w:tc>
        <w:tc>
          <w:tcPr>
            <w:tcW w:w="4992" w:type="dxa"/>
            <w:vAlign w:val="center"/>
          </w:tcPr>
          <w:p w14:paraId="23241940" w14:textId="77777777" w:rsidR="004071CA" w:rsidRPr="00FB3D74" w:rsidRDefault="004071CA" w:rsidP="00942E95">
            <w:pPr>
              <w:rPr>
                <w:rFonts w:cs="Arial"/>
                <w:sz w:val="16"/>
                <w:szCs w:val="16"/>
              </w:rPr>
            </w:pPr>
            <w:r w:rsidRPr="00FB3D74">
              <w:rPr>
                <w:rFonts w:cs="Arial"/>
                <w:sz w:val="16"/>
                <w:szCs w:val="16"/>
              </w:rPr>
              <w:t>Ejercer el gasto de operación aprobado.</w:t>
            </w:r>
          </w:p>
        </w:tc>
      </w:tr>
      <w:tr w:rsidR="004071CA" w:rsidRPr="00FB3D74" w14:paraId="5CFF67E4" w14:textId="77777777" w:rsidTr="00942E95">
        <w:trPr>
          <w:trHeight w:val="20"/>
        </w:trPr>
        <w:tc>
          <w:tcPr>
            <w:tcW w:w="3823" w:type="dxa"/>
            <w:shd w:val="clear" w:color="auto" w:fill="F2F2F2" w:themeFill="background1" w:themeFillShade="F2"/>
            <w:vAlign w:val="center"/>
          </w:tcPr>
          <w:p w14:paraId="2A5722B6" w14:textId="0F6A658C" w:rsidR="004071CA" w:rsidRPr="00FB3D74" w:rsidRDefault="004071CA" w:rsidP="00942E95">
            <w:pPr>
              <w:rPr>
                <w:rFonts w:cs="Arial"/>
                <w:b/>
                <w:bCs/>
                <w:sz w:val="16"/>
                <w:szCs w:val="16"/>
              </w:rPr>
            </w:pPr>
            <w:r w:rsidRPr="00FB3D74">
              <w:rPr>
                <w:rFonts w:cs="Arial"/>
                <w:b/>
                <w:bCs/>
                <w:sz w:val="16"/>
                <w:szCs w:val="16"/>
              </w:rPr>
              <w:t>Número de Programa Presupuestal</w:t>
            </w:r>
            <w:r w:rsidR="009946C0" w:rsidRPr="00FB3D74">
              <w:rPr>
                <w:rFonts w:cs="Arial"/>
                <w:b/>
                <w:bCs/>
                <w:sz w:val="16"/>
                <w:szCs w:val="16"/>
              </w:rPr>
              <w:t>.</w:t>
            </w:r>
          </w:p>
        </w:tc>
        <w:tc>
          <w:tcPr>
            <w:tcW w:w="4992" w:type="dxa"/>
            <w:shd w:val="clear" w:color="auto" w:fill="F2F2F2" w:themeFill="background1" w:themeFillShade="F2"/>
            <w:vAlign w:val="center"/>
          </w:tcPr>
          <w:p w14:paraId="6BDB7409" w14:textId="03ED7F2C" w:rsidR="004071CA" w:rsidRPr="00FB3D74" w:rsidRDefault="004071CA" w:rsidP="00942E95">
            <w:pPr>
              <w:rPr>
                <w:rFonts w:cs="Arial"/>
                <w:b/>
                <w:bCs/>
                <w:sz w:val="16"/>
                <w:szCs w:val="16"/>
              </w:rPr>
            </w:pPr>
            <w:r w:rsidRPr="00FB3D74">
              <w:rPr>
                <w:rFonts w:cs="Arial"/>
                <w:b/>
                <w:bCs/>
                <w:sz w:val="16"/>
                <w:szCs w:val="16"/>
              </w:rPr>
              <w:t>47</w:t>
            </w:r>
            <w:r w:rsidR="009946C0" w:rsidRPr="00FB3D74">
              <w:rPr>
                <w:rFonts w:cs="Arial"/>
                <w:b/>
                <w:bCs/>
                <w:sz w:val="16"/>
                <w:szCs w:val="16"/>
              </w:rPr>
              <w:t>.</w:t>
            </w:r>
          </w:p>
        </w:tc>
      </w:tr>
      <w:tr w:rsidR="004071CA" w:rsidRPr="00FB3D74" w14:paraId="10586676" w14:textId="77777777" w:rsidTr="00942E95">
        <w:trPr>
          <w:trHeight w:val="20"/>
        </w:trPr>
        <w:tc>
          <w:tcPr>
            <w:tcW w:w="3823" w:type="dxa"/>
            <w:shd w:val="clear" w:color="auto" w:fill="F2F2F2" w:themeFill="background1" w:themeFillShade="F2"/>
            <w:vAlign w:val="center"/>
          </w:tcPr>
          <w:p w14:paraId="4D4181F3" w14:textId="7FC658BD" w:rsidR="004071CA" w:rsidRPr="00FB3D74" w:rsidRDefault="004071CA" w:rsidP="00942E95">
            <w:pPr>
              <w:rPr>
                <w:rFonts w:cs="Arial"/>
                <w:b/>
                <w:bCs/>
                <w:sz w:val="16"/>
                <w:szCs w:val="16"/>
              </w:rPr>
            </w:pPr>
            <w:r w:rsidRPr="00FB3D74">
              <w:rPr>
                <w:rFonts w:cs="Arial"/>
                <w:b/>
                <w:bCs/>
                <w:sz w:val="16"/>
                <w:szCs w:val="16"/>
              </w:rPr>
              <w:t>Dependencia/Organismo</w:t>
            </w:r>
            <w:r w:rsidR="009946C0" w:rsidRPr="00FB3D74">
              <w:rPr>
                <w:rFonts w:cs="Arial"/>
                <w:b/>
                <w:bCs/>
                <w:sz w:val="16"/>
                <w:szCs w:val="16"/>
              </w:rPr>
              <w:t>.</w:t>
            </w:r>
          </w:p>
        </w:tc>
        <w:tc>
          <w:tcPr>
            <w:tcW w:w="4992" w:type="dxa"/>
            <w:shd w:val="clear" w:color="auto" w:fill="F2F2F2" w:themeFill="background1" w:themeFillShade="F2"/>
            <w:vAlign w:val="center"/>
          </w:tcPr>
          <w:p w14:paraId="6523253C" w14:textId="77777777" w:rsidR="004071CA" w:rsidRPr="00FB3D74" w:rsidRDefault="004071CA" w:rsidP="00942E95">
            <w:pPr>
              <w:tabs>
                <w:tab w:val="left" w:pos="397"/>
              </w:tabs>
              <w:rPr>
                <w:rFonts w:cs="Arial"/>
                <w:b/>
                <w:bCs/>
                <w:sz w:val="16"/>
                <w:szCs w:val="16"/>
              </w:rPr>
            </w:pPr>
            <w:r w:rsidRPr="00FB3D74">
              <w:rPr>
                <w:rFonts w:cs="Arial"/>
                <w:b/>
                <w:bCs/>
                <w:sz w:val="16"/>
                <w:szCs w:val="16"/>
              </w:rPr>
              <w:t>Secretaría Ejecutiva del Sistema Anticorrupción del Estado de Colima.</w:t>
            </w:r>
          </w:p>
        </w:tc>
      </w:tr>
      <w:tr w:rsidR="004071CA" w:rsidRPr="00FB3D74" w14:paraId="43A3AF7C" w14:textId="77777777" w:rsidTr="00942E95">
        <w:trPr>
          <w:trHeight w:val="20"/>
        </w:trPr>
        <w:tc>
          <w:tcPr>
            <w:tcW w:w="3823" w:type="dxa"/>
            <w:shd w:val="clear" w:color="auto" w:fill="F2F2F2" w:themeFill="background1" w:themeFillShade="F2"/>
            <w:vAlign w:val="center"/>
          </w:tcPr>
          <w:p w14:paraId="2A5F736B" w14:textId="7747434B" w:rsidR="004071CA" w:rsidRPr="00FB3D74" w:rsidRDefault="004071CA" w:rsidP="00942E95">
            <w:pPr>
              <w:rPr>
                <w:rFonts w:cs="Arial"/>
                <w:b/>
                <w:bCs/>
                <w:sz w:val="16"/>
                <w:szCs w:val="16"/>
              </w:rPr>
            </w:pPr>
            <w:r w:rsidRPr="00FB3D74">
              <w:rPr>
                <w:rFonts w:cs="Arial"/>
                <w:b/>
                <w:bCs/>
                <w:sz w:val="16"/>
                <w:szCs w:val="16"/>
              </w:rPr>
              <w:t>Objetivo Anual</w:t>
            </w:r>
            <w:r w:rsidR="009946C0" w:rsidRPr="00FB3D74">
              <w:rPr>
                <w:rFonts w:cs="Arial"/>
                <w:b/>
                <w:bCs/>
                <w:sz w:val="16"/>
                <w:szCs w:val="16"/>
              </w:rPr>
              <w:t>.</w:t>
            </w:r>
          </w:p>
        </w:tc>
        <w:tc>
          <w:tcPr>
            <w:tcW w:w="4992" w:type="dxa"/>
            <w:shd w:val="clear" w:color="auto" w:fill="F2F2F2" w:themeFill="background1" w:themeFillShade="F2"/>
            <w:vAlign w:val="center"/>
          </w:tcPr>
          <w:p w14:paraId="2ADB8C57" w14:textId="77777777" w:rsidR="004071CA" w:rsidRPr="00FB3D74" w:rsidRDefault="004071CA" w:rsidP="00942E95">
            <w:pPr>
              <w:rPr>
                <w:rFonts w:cs="Arial"/>
                <w:sz w:val="16"/>
                <w:szCs w:val="16"/>
              </w:rPr>
            </w:pPr>
            <w:r w:rsidRPr="00FB3D74">
              <w:rPr>
                <w:rFonts w:cs="Arial"/>
                <w:sz w:val="16"/>
                <w:szCs w:val="16"/>
              </w:rPr>
              <w:t>La población en el Estado de Colima cuenta con un Sistema Estatal Anticorrupción que garantiza la prevención, investigación y sanción de las faltas administrativas y los hechos de corrupción.</w:t>
            </w:r>
          </w:p>
        </w:tc>
      </w:tr>
      <w:tr w:rsidR="004071CA" w:rsidRPr="00FB3D74" w14:paraId="7A684DA2" w14:textId="77777777" w:rsidTr="00942E95">
        <w:trPr>
          <w:trHeight w:val="20"/>
        </w:trPr>
        <w:tc>
          <w:tcPr>
            <w:tcW w:w="3823" w:type="dxa"/>
            <w:shd w:val="clear" w:color="auto" w:fill="F2F2F2" w:themeFill="background1" w:themeFillShade="F2"/>
            <w:vAlign w:val="center"/>
          </w:tcPr>
          <w:p w14:paraId="799005A1" w14:textId="77777777" w:rsidR="004071CA" w:rsidRPr="00FB3D74" w:rsidRDefault="004071CA" w:rsidP="009946C0">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2534ECAC" w14:textId="77777777" w:rsidR="004071CA" w:rsidRPr="00FB3D74" w:rsidRDefault="004071CA" w:rsidP="009946C0">
            <w:pPr>
              <w:jc w:val="center"/>
              <w:rPr>
                <w:rFonts w:cs="Arial"/>
                <w:sz w:val="16"/>
                <w:szCs w:val="16"/>
              </w:rPr>
            </w:pPr>
            <w:r w:rsidRPr="00FB3D74">
              <w:rPr>
                <w:rFonts w:cs="Arial"/>
                <w:b/>
                <w:bCs/>
                <w:sz w:val="16"/>
                <w:szCs w:val="16"/>
              </w:rPr>
              <w:t>Metas</w:t>
            </w:r>
          </w:p>
        </w:tc>
      </w:tr>
      <w:tr w:rsidR="004071CA" w:rsidRPr="00FB3D74" w14:paraId="38593939" w14:textId="77777777" w:rsidTr="00942E95">
        <w:trPr>
          <w:trHeight w:val="20"/>
        </w:trPr>
        <w:tc>
          <w:tcPr>
            <w:tcW w:w="3823" w:type="dxa"/>
            <w:vAlign w:val="center"/>
          </w:tcPr>
          <w:p w14:paraId="0E77472D" w14:textId="77777777" w:rsidR="004071CA" w:rsidRPr="00FB3D74" w:rsidRDefault="004071CA" w:rsidP="00942E95">
            <w:pPr>
              <w:rPr>
                <w:rFonts w:cs="Arial"/>
                <w:sz w:val="16"/>
                <w:szCs w:val="16"/>
              </w:rPr>
            </w:pPr>
            <w:r w:rsidRPr="00FB3D74">
              <w:rPr>
                <w:rFonts w:cs="Arial"/>
                <w:sz w:val="16"/>
                <w:szCs w:val="16"/>
              </w:rPr>
              <w:t>Seguimiento de las actividades de los integrantes del Sistema Estatal Anticorrupción realizado.</w:t>
            </w:r>
          </w:p>
        </w:tc>
        <w:tc>
          <w:tcPr>
            <w:tcW w:w="4992" w:type="dxa"/>
            <w:vAlign w:val="center"/>
          </w:tcPr>
          <w:p w14:paraId="10F23EA0" w14:textId="77777777" w:rsidR="004071CA" w:rsidRPr="00FB3D74" w:rsidRDefault="004071CA" w:rsidP="00942E95">
            <w:pPr>
              <w:rPr>
                <w:rFonts w:cs="Arial"/>
                <w:sz w:val="16"/>
                <w:szCs w:val="16"/>
              </w:rPr>
            </w:pPr>
            <w:r w:rsidRPr="00FB3D74">
              <w:rPr>
                <w:rFonts w:cs="Arial"/>
                <w:sz w:val="16"/>
                <w:szCs w:val="16"/>
              </w:rPr>
              <w:t>100 por ciento, se realizan 6 revisiones trimestrales de las actividades encomendadas por las Prioridades de la Política Estatal Anticorrupción.</w:t>
            </w:r>
          </w:p>
        </w:tc>
      </w:tr>
      <w:tr w:rsidR="004071CA" w:rsidRPr="00FB3D74" w14:paraId="57850CD0" w14:textId="77777777" w:rsidTr="00942E95">
        <w:trPr>
          <w:trHeight w:val="20"/>
        </w:trPr>
        <w:tc>
          <w:tcPr>
            <w:tcW w:w="3823" w:type="dxa"/>
            <w:vAlign w:val="center"/>
          </w:tcPr>
          <w:p w14:paraId="51F502EB" w14:textId="77777777" w:rsidR="004071CA" w:rsidRPr="00FB3D74" w:rsidRDefault="004071CA" w:rsidP="00942E95">
            <w:pPr>
              <w:rPr>
                <w:rFonts w:cs="Arial"/>
                <w:sz w:val="16"/>
                <w:szCs w:val="16"/>
              </w:rPr>
            </w:pPr>
            <w:r w:rsidRPr="00FB3D74">
              <w:rPr>
                <w:rFonts w:cs="Arial"/>
                <w:sz w:val="16"/>
                <w:szCs w:val="16"/>
              </w:rPr>
              <w:t>Desarrollo e implementación de sistemas electrónicos de suministro, intercambio y sistematización de la información realizados, entre los integrantes del Sistema Estatal Anticorrupción realizado.</w:t>
            </w:r>
          </w:p>
        </w:tc>
        <w:tc>
          <w:tcPr>
            <w:tcW w:w="4992" w:type="dxa"/>
            <w:vAlign w:val="center"/>
          </w:tcPr>
          <w:p w14:paraId="3F7DC897" w14:textId="77777777" w:rsidR="004071CA" w:rsidRPr="00FB3D74" w:rsidRDefault="004071CA" w:rsidP="00942E95">
            <w:pPr>
              <w:rPr>
                <w:rFonts w:cs="Arial"/>
                <w:sz w:val="16"/>
                <w:szCs w:val="16"/>
              </w:rPr>
            </w:pPr>
            <w:r w:rsidRPr="00FB3D74">
              <w:rPr>
                <w:rFonts w:cs="Arial"/>
                <w:sz w:val="16"/>
                <w:szCs w:val="16"/>
              </w:rPr>
              <w:t>100 por ciento, se desarrollan e implementan 3 sistemas de intercambio y sistematización de la información.</w:t>
            </w:r>
          </w:p>
        </w:tc>
      </w:tr>
      <w:tr w:rsidR="004071CA" w:rsidRPr="00FB3D74" w14:paraId="3C8C7DDF" w14:textId="77777777" w:rsidTr="00942E95">
        <w:trPr>
          <w:trHeight w:val="20"/>
        </w:trPr>
        <w:tc>
          <w:tcPr>
            <w:tcW w:w="3823" w:type="dxa"/>
            <w:shd w:val="clear" w:color="auto" w:fill="F2F2F2" w:themeFill="background1" w:themeFillShade="F2"/>
            <w:vAlign w:val="center"/>
          </w:tcPr>
          <w:p w14:paraId="26497E1A" w14:textId="49347641" w:rsidR="004071CA" w:rsidRPr="00FB3D74" w:rsidRDefault="004071CA" w:rsidP="00942E95">
            <w:pPr>
              <w:rPr>
                <w:rFonts w:cs="Arial"/>
                <w:b/>
                <w:bCs/>
                <w:sz w:val="16"/>
                <w:szCs w:val="16"/>
              </w:rPr>
            </w:pPr>
            <w:r w:rsidRPr="00FB3D74">
              <w:rPr>
                <w:rFonts w:cs="Arial"/>
                <w:b/>
                <w:bCs/>
                <w:sz w:val="16"/>
                <w:szCs w:val="16"/>
              </w:rPr>
              <w:t>Número de Programa Presupuestal</w:t>
            </w:r>
            <w:r w:rsidR="009946C0" w:rsidRPr="00FB3D74">
              <w:rPr>
                <w:rFonts w:cs="Arial"/>
                <w:b/>
                <w:bCs/>
                <w:sz w:val="16"/>
                <w:szCs w:val="16"/>
              </w:rPr>
              <w:t>.</w:t>
            </w:r>
          </w:p>
        </w:tc>
        <w:tc>
          <w:tcPr>
            <w:tcW w:w="4992" w:type="dxa"/>
            <w:shd w:val="clear" w:color="auto" w:fill="F2F2F2" w:themeFill="background1" w:themeFillShade="F2"/>
            <w:vAlign w:val="center"/>
          </w:tcPr>
          <w:p w14:paraId="6C776C8E" w14:textId="24C22912" w:rsidR="004071CA" w:rsidRPr="00FB3D74" w:rsidRDefault="004071CA" w:rsidP="00942E95">
            <w:pPr>
              <w:rPr>
                <w:rFonts w:cs="Arial"/>
                <w:b/>
                <w:bCs/>
                <w:sz w:val="16"/>
                <w:szCs w:val="16"/>
              </w:rPr>
            </w:pPr>
            <w:r w:rsidRPr="00FB3D74">
              <w:rPr>
                <w:rFonts w:cs="Arial"/>
                <w:b/>
                <w:bCs/>
                <w:sz w:val="16"/>
                <w:szCs w:val="16"/>
              </w:rPr>
              <w:t>48</w:t>
            </w:r>
            <w:r w:rsidR="009946C0" w:rsidRPr="00FB3D74">
              <w:rPr>
                <w:rFonts w:cs="Arial"/>
                <w:b/>
                <w:bCs/>
                <w:sz w:val="16"/>
                <w:szCs w:val="16"/>
              </w:rPr>
              <w:t>.</w:t>
            </w:r>
          </w:p>
        </w:tc>
      </w:tr>
      <w:tr w:rsidR="004071CA" w:rsidRPr="00FB3D74" w14:paraId="5ED2DEAD" w14:textId="77777777" w:rsidTr="00942E95">
        <w:trPr>
          <w:trHeight w:val="20"/>
        </w:trPr>
        <w:tc>
          <w:tcPr>
            <w:tcW w:w="3823" w:type="dxa"/>
            <w:shd w:val="clear" w:color="auto" w:fill="F2F2F2" w:themeFill="background1" w:themeFillShade="F2"/>
            <w:vAlign w:val="center"/>
          </w:tcPr>
          <w:p w14:paraId="74C59845" w14:textId="7CA96916" w:rsidR="004071CA" w:rsidRPr="00FB3D74" w:rsidRDefault="004071CA" w:rsidP="00942E95">
            <w:pPr>
              <w:rPr>
                <w:rFonts w:cs="Arial"/>
                <w:b/>
                <w:bCs/>
                <w:sz w:val="16"/>
                <w:szCs w:val="16"/>
              </w:rPr>
            </w:pPr>
            <w:r w:rsidRPr="00FB3D74">
              <w:rPr>
                <w:rFonts w:cs="Arial"/>
                <w:b/>
                <w:bCs/>
                <w:sz w:val="16"/>
                <w:szCs w:val="16"/>
              </w:rPr>
              <w:t>Dependencia/Organismo</w:t>
            </w:r>
            <w:r w:rsidR="009946C0" w:rsidRPr="00FB3D74">
              <w:rPr>
                <w:rFonts w:cs="Arial"/>
                <w:b/>
                <w:bCs/>
                <w:sz w:val="16"/>
                <w:szCs w:val="16"/>
              </w:rPr>
              <w:t>.</w:t>
            </w:r>
          </w:p>
        </w:tc>
        <w:tc>
          <w:tcPr>
            <w:tcW w:w="4992" w:type="dxa"/>
            <w:shd w:val="clear" w:color="auto" w:fill="F2F2F2" w:themeFill="background1" w:themeFillShade="F2"/>
            <w:vAlign w:val="center"/>
          </w:tcPr>
          <w:p w14:paraId="5B6F7B1D" w14:textId="77777777" w:rsidR="004071CA" w:rsidRPr="00FB3D74" w:rsidRDefault="004071CA" w:rsidP="00942E95">
            <w:pPr>
              <w:tabs>
                <w:tab w:val="left" w:pos="397"/>
              </w:tabs>
              <w:rPr>
                <w:rFonts w:cs="Arial"/>
                <w:b/>
                <w:bCs/>
                <w:sz w:val="16"/>
                <w:szCs w:val="16"/>
              </w:rPr>
            </w:pPr>
            <w:r w:rsidRPr="00FB3D74">
              <w:rPr>
                <w:rFonts w:cs="Arial"/>
                <w:b/>
                <w:bCs/>
                <w:sz w:val="16"/>
                <w:szCs w:val="16"/>
              </w:rPr>
              <w:t>Oficina de la Gubernatura</w:t>
            </w:r>
          </w:p>
        </w:tc>
      </w:tr>
      <w:tr w:rsidR="004071CA" w:rsidRPr="00FB3D74" w14:paraId="3BC35B2D" w14:textId="77777777" w:rsidTr="00942E95">
        <w:trPr>
          <w:trHeight w:val="20"/>
        </w:trPr>
        <w:tc>
          <w:tcPr>
            <w:tcW w:w="3823" w:type="dxa"/>
            <w:shd w:val="clear" w:color="auto" w:fill="F2F2F2" w:themeFill="background1" w:themeFillShade="F2"/>
            <w:vAlign w:val="center"/>
          </w:tcPr>
          <w:p w14:paraId="5AB57634" w14:textId="0A316A28" w:rsidR="004071CA" w:rsidRPr="00FB3D74" w:rsidRDefault="004071CA" w:rsidP="00942E95">
            <w:pPr>
              <w:rPr>
                <w:rFonts w:cs="Arial"/>
                <w:b/>
                <w:bCs/>
                <w:sz w:val="16"/>
                <w:szCs w:val="16"/>
              </w:rPr>
            </w:pPr>
            <w:r w:rsidRPr="00FB3D74">
              <w:rPr>
                <w:rFonts w:cs="Arial"/>
                <w:b/>
                <w:bCs/>
                <w:sz w:val="16"/>
                <w:szCs w:val="16"/>
              </w:rPr>
              <w:t>Objetivo Anual</w:t>
            </w:r>
            <w:r w:rsidR="009946C0" w:rsidRPr="00FB3D74">
              <w:rPr>
                <w:rFonts w:cs="Arial"/>
                <w:b/>
                <w:bCs/>
                <w:sz w:val="16"/>
                <w:szCs w:val="16"/>
              </w:rPr>
              <w:t>.</w:t>
            </w:r>
          </w:p>
        </w:tc>
        <w:tc>
          <w:tcPr>
            <w:tcW w:w="4992" w:type="dxa"/>
            <w:shd w:val="clear" w:color="auto" w:fill="F2F2F2" w:themeFill="background1" w:themeFillShade="F2"/>
            <w:vAlign w:val="center"/>
          </w:tcPr>
          <w:p w14:paraId="7E847D2E" w14:textId="77777777" w:rsidR="004071CA" w:rsidRPr="00FB3D74" w:rsidRDefault="004071CA" w:rsidP="00942E95">
            <w:pPr>
              <w:rPr>
                <w:rFonts w:cs="Arial"/>
                <w:sz w:val="16"/>
                <w:szCs w:val="16"/>
              </w:rPr>
            </w:pPr>
            <w:r w:rsidRPr="00FB3D74">
              <w:rPr>
                <w:rFonts w:cs="Arial"/>
                <w:sz w:val="16"/>
                <w:szCs w:val="16"/>
              </w:rPr>
              <w:t xml:space="preserve">El Despacho de la C. Gobernadora cuenta con la estructura organizacional y recursos suficientes para respaldar al Ejecutivo en la gestión de la agenda oficial, la toma de decisiones, el seguimiento </w:t>
            </w:r>
            <w:r w:rsidRPr="00FB3D74">
              <w:rPr>
                <w:rFonts w:cs="Arial"/>
                <w:sz w:val="16"/>
                <w:szCs w:val="16"/>
              </w:rPr>
              <w:lastRenderedPageBreak/>
              <w:t>de los compromisos y proyectos estratégicos y para atender de manera oportuna a la ciudadanía que solicite audiencias y peticiones.</w:t>
            </w:r>
          </w:p>
        </w:tc>
      </w:tr>
      <w:tr w:rsidR="004071CA" w:rsidRPr="00FB3D74" w14:paraId="0D7E0510" w14:textId="77777777" w:rsidTr="00942E95">
        <w:trPr>
          <w:trHeight w:val="20"/>
        </w:trPr>
        <w:tc>
          <w:tcPr>
            <w:tcW w:w="3823" w:type="dxa"/>
            <w:shd w:val="clear" w:color="auto" w:fill="F2F2F2" w:themeFill="background1" w:themeFillShade="F2"/>
            <w:vAlign w:val="center"/>
          </w:tcPr>
          <w:p w14:paraId="508DA4CA" w14:textId="77777777" w:rsidR="004071CA" w:rsidRPr="00FB3D74" w:rsidRDefault="004071CA" w:rsidP="009946C0">
            <w:pPr>
              <w:jc w:val="center"/>
              <w:rPr>
                <w:rFonts w:cs="Arial"/>
                <w:sz w:val="16"/>
                <w:szCs w:val="16"/>
              </w:rPr>
            </w:pPr>
            <w:r w:rsidRPr="00FB3D74">
              <w:rPr>
                <w:rFonts w:cs="Arial"/>
                <w:b/>
                <w:bCs/>
                <w:sz w:val="16"/>
                <w:szCs w:val="16"/>
              </w:rPr>
              <w:lastRenderedPageBreak/>
              <w:t>Estrategias</w:t>
            </w:r>
          </w:p>
        </w:tc>
        <w:tc>
          <w:tcPr>
            <w:tcW w:w="4992" w:type="dxa"/>
            <w:shd w:val="clear" w:color="auto" w:fill="F2F2F2" w:themeFill="background1" w:themeFillShade="F2"/>
            <w:vAlign w:val="center"/>
          </w:tcPr>
          <w:p w14:paraId="64F7B23F" w14:textId="77777777" w:rsidR="004071CA" w:rsidRPr="00FB3D74" w:rsidRDefault="004071CA" w:rsidP="009946C0">
            <w:pPr>
              <w:jc w:val="center"/>
              <w:rPr>
                <w:rFonts w:cs="Arial"/>
                <w:sz w:val="16"/>
                <w:szCs w:val="16"/>
              </w:rPr>
            </w:pPr>
            <w:r w:rsidRPr="00FB3D74">
              <w:rPr>
                <w:rFonts w:cs="Arial"/>
                <w:b/>
                <w:bCs/>
                <w:sz w:val="16"/>
                <w:szCs w:val="16"/>
              </w:rPr>
              <w:t>Metas</w:t>
            </w:r>
          </w:p>
        </w:tc>
      </w:tr>
      <w:tr w:rsidR="004071CA" w:rsidRPr="00FB3D74" w14:paraId="3D1E9F70" w14:textId="77777777" w:rsidTr="00942E95">
        <w:trPr>
          <w:trHeight w:val="20"/>
        </w:trPr>
        <w:tc>
          <w:tcPr>
            <w:tcW w:w="3823" w:type="dxa"/>
            <w:vAlign w:val="center"/>
          </w:tcPr>
          <w:p w14:paraId="3694F90D" w14:textId="77777777" w:rsidR="004071CA" w:rsidRPr="00FB3D74" w:rsidRDefault="004071CA" w:rsidP="00942E95">
            <w:pPr>
              <w:rPr>
                <w:rFonts w:cs="Arial"/>
                <w:sz w:val="16"/>
                <w:szCs w:val="16"/>
              </w:rPr>
            </w:pPr>
            <w:r w:rsidRPr="00FB3D74">
              <w:rPr>
                <w:rFonts w:cs="Arial"/>
                <w:sz w:val="16"/>
                <w:szCs w:val="16"/>
              </w:rPr>
              <w:t>Agenda y asuntos oficiales programados, capital humano, recursos materiales, financieros y tecnológicos gestionados de la oficina de la C. Gobernadora.</w:t>
            </w:r>
          </w:p>
        </w:tc>
        <w:tc>
          <w:tcPr>
            <w:tcW w:w="4992" w:type="dxa"/>
            <w:vAlign w:val="center"/>
          </w:tcPr>
          <w:p w14:paraId="0C233115" w14:textId="77777777" w:rsidR="004071CA" w:rsidRPr="00FB3D74" w:rsidRDefault="004071CA" w:rsidP="00942E95">
            <w:pPr>
              <w:rPr>
                <w:rFonts w:cs="Arial"/>
                <w:sz w:val="16"/>
                <w:szCs w:val="16"/>
              </w:rPr>
            </w:pPr>
            <w:r w:rsidRPr="00FB3D74">
              <w:rPr>
                <w:rFonts w:cs="Arial"/>
                <w:sz w:val="16"/>
                <w:szCs w:val="16"/>
              </w:rPr>
              <w:t>Cumplir con el 100 por ciento de 200 reuniones oficiales de la Gobernadora.</w:t>
            </w:r>
          </w:p>
        </w:tc>
      </w:tr>
      <w:tr w:rsidR="004071CA" w:rsidRPr="00FB3D74" w14:paraId="0044B016" w14:textId="77777777" w:rsidTr="00942E95">
        <w:trPr>
          <w:trHeight w:val="20"/>
        </w:trPr>
        <w:tc>
          <w:tcPr>
            <w:tcW w:w="3823" w:type="dxa"/>
            <w:vAlign w:val="center"/>
          </w:tcPr>
          <w:p w14:paraId="5AD756FD" w14:textId="77777777" w:rsidR="004071CA" w:rsidRPr="00FB3D74" w:rsidRDefault="004071CA" w:rsidP="00942E95">
            <w:pPr>
              <w:rPr>
                <w:rFonts w:cs="Arial"/>
                <w:sz w:val="16"/>
                <w:szCs w:val="16"/>
              </w:rPr>
            </w:pPr>
            <w:r w:rsidRPr="00FB3D74">
              <w:rPr>
                <w:rFonts w:cs="Arial"/>
                <w:sz w:val="16"/>
                <w:szCs w:val="16"/>
              </w:rPr>
              <w:t>Solicitudes y peticiones ciudadanas realizadas a la C. Gobernadora atendidas.</w:t>
            </w:r>
          </w:p>
        </w:tc>
        <w:tc>
          <w:tcPr>
            <w:tcW w:w="4992" w:type="dxa"/>
            <w:vAlign w:val="center"/>
          </w:tcPr>
          <w:p w14:paraId="123116CF" w14:textId="47AE5548" w:rsidR="004071CA" w:rsidRPr="00FB3D74" w:rsidRDefault="004071CA" w:rsidP="00942E95">
            <w:pPr>
              <w:rPr>
                <w:rFonts w:cs="Arial"/>
                <w:sz w:val="16"/>
                <w:szCs w:val="16"/>
              </w:rPr>
            </w:pPr>
            <w:r w:rsidRPr="00FB3D74">
              <w:rPr>
                <w:rFonts w:cs="Arial"/>
                <w:sz w:val="16"/>
                <w:szCs w:val="16"/>
              </w:rPr>
              <w:t>Alcanzar el 100 por ciento de 4</w:t>
            </w:r>
            <w:r w:rsidR="009946C0" w:rsidRPr="00FB3D74">
              <w:rPr>
                <w:rFonts w:cs="Arial"/>
                <w:sz w:val="16"/>
                <w:szCs w:val="16"/>
              </w:rPr>
              <w:t>,</w:t>
            </w:r>
            <w:r w:rsidRPr="00FB3D74">
              <w:rPr>
                <w:rFonts w:cs="Arial"/>
                <w:sz w:val="16"/>
                <w:szCs w:val="16"/>
              </w:rPr>
              <w:t>000 solicitudes ciudadanas atendidas.</w:t>
            </w:r>
          </w:p>
        </w:tc>
      </w:tr>
      <w:tr w:rsidR="004071CA" w:rsidRPr="00FB3D74" w14:paraId="10977186" w14:textId="77777777" w:rsidTr="00942E95">
        <w:trPr>
          <w:trHeight w:val="20"/>
        </w:trPr>
        <w:tc>
          <w:tcPr>
            <w:tcW w:w="3823" w:type="dxa"/>
            <w:vAlign w:val="center"/>
          </w:tcPr>
          <w:p w14:paraId="6623E7E6" w14:textId="77777777" w:rsidR="004071CA" w:rsidRPr="00FB3D74" w:rsidRDefault="004071CA" w:rsidP="00942E95">
            <w:pPr>
              <w:rPr>
                <w:rFonts w:cs="Arial"/>
                <w:sz w:val="16"/>
                <w:szCs w:val="16"/>
              </w:rPr>
            </w:pPr>
            <w:r w:rsidRPr="00FB3D74">
              <w:rPr>
                <w:rFonts w:cs="Arial"/>
                <w:sz w:val="16"/>
                <w:szCs w:val="16"/>
              </w:rPr>
              <w:t>El análisis del entorno sociopolítico de la entidad Administrado, coordinado y realizado, que incida en la gobernabilidad del Estado de Colima.</w:t>
            </w:r>
          </w:p>
        </w:tc>
        <w:tc>
          <w:tcPr>
            <w:tcW w:w="4992" w:type="dxa"/>
            <w:vAlign w:val="center"/>
          </w:tcPr>
          <w:p w14:paraId="0A844D55" w14:textId="77777777" w:rsidR="004071CA" w:rsidRPr="00FB3D74" w:rsidRDefault="004071CA" w:rsidP="00942E95">
            <w:pPr>
              <w:rPr>
                <w:rFonts w:cs="Arial"/>
                <w:sz w:val="16"/>
                <w:szCs w:val="16"/>
              </w:rPr>
            </w:pPr>
            <w:r w:rsidRPr="00FB3D74">
              <w:rPr>
                <w:rFonts w:cs="Arial"/>
                <w:sz w:val="16"/>
                <w:szCs w:val="16"/>
              </w:rPr>
              <w:t>Lograr el 100 por ciento de 52 análisis de coyuntura y prospectiva social y política programados.</w:t>
            </w:r>
          </w:p>
        </w:tc>
      </w:tr>
      <w:tr w:rsidR="004071CA" w:rsidRPr="00FB3D74" w14:paraId="74F0887A" w14:textId="77777777" w:rsidTr="00942E95">
        <w:trPr>
          <w:trHeight w:val="20"/>
        </w:trPr>
        <w:tc>
          <w:tcPr>
            <w:tcW w:w="3823" w:type="dxa"/>
            <w:vAlign w:val="center"/>
          </w:tcPr>
          <w:p w14:paraId="1CEAEBA3" w14:textId="77777777" w:rsidR="004071CA" w:rsidRPr="00FB3D74" w:rsidRDefault="004071CA" w:rsidP="00942E95">
            <w:pPr>
              <w:rPr>
                <w:rFonts w:cs="Arial"/>
                <w:sz w:val="16"/>
                <w:szCs w:val="16"/>
              </w:rPr>
            </w:pPr>
            <w:r w:rsidRPr="00FB3D74">
              <w:rPr>
                <w:rFonts w:cs="Arial"/>
                <w:sz w:val="16"/>
                <w:szCs w:val="16"/>
              </w:rPr>
              <w:t>Estrategias de comunicación institucional para el acercamiento del Gobierno Estatal con la ciudadanía, implementadas.</w:t>
            </w:r>
          </w:p>
        </w:tc>
        <w:tc>
          <w:tcPr>
            <w:tcW w:w="4992" w:type="dxa"/>
            <w:vAlign w:val="center"/>
          </w:tcPr>
          <w:p w14:paraId="7B5E8A67" w14:textId="77777777" w:rsidR="004071CA" w:rsidRPr="00FB3D74" w:rsidRDefault="004071CA" w:rsidP="00942E95">
            <w:pPr>
              <w:rPr>
                <w:rFonts w:cs="Arial"/>
                <w:sz w:val="16"/>
                <w:szCs w:val="16"/>
              </w:rPr>
            </w:pPr>
            <w:r w:rsidRPr="00FB3D74">
              <w:rPr>
                <w:rFonts w:cs="Arial"/>
                <w:sz w:val="16"/>
                <w:szCs w:val="16"/>
              </w:rPr>
              <w:t>Alcanzar el 100 por ciento de cobertura de 4 acciones de Gobierno del Estado en mecanismos de comunicación.</w:t>
            </w:r>
          </w:p>
        </w:tc>
      </w:tr>
      <w:tr w:rsidR="004071CA" w:rsidRPr="00FB3D74" w14:paraId="669C5CBA" w14:textId="77777777" w:rsidTr="00942E95">
        <w:trPr>
          <w:trHeight w:val="20"/>
        </w:trPr>
        <w:tc>
          <w:tcPr>
            <w:tcW w:w="3823" w:type="dxa"/>
            <w:shd w:val="clear" w:color="auto" w:fill="F2F2F2" w:themeFill="background1" w:themeFillShade="F2"/>
            <w:vAlign w:val="center"/>
          </w:tcPr>
          <w:p w14:paraId="4AB0A249" w14:textId="060A7869" w:rsidR="004071CA" w:rsidRPr="00FB3D74" w:rsidRDefault="004071CA" w:rsidP="00942E95">
            <w:pPr>
              <w:rPr>
                <w:rFonts w:cs="Arial"/>
                <w:b/>
                <w:bCs/>
                <w:sz w:val="16"/>
                <w:szCs w:val="16"/>
              </w:rPr>
            </w:pPr>
            <w:r w:rsidRPr="00FB3D74">
              <w:rPr>
                <w:rFonts w:cs="Arial"/>
                <w:b/>
                <w:bCs/>
                <w:sz w:val="16"/>
                <w:szCs w:val="16"/>
              </w:rPr>
              <w:t>Número de Programa Presupuestal</w:t>
            </w:r>
            <w:r w:rsidR="009946C0" w:rsidRPr="00FB3D74">
              <w:rPr>
                <w:rFonts w:cs="Arial"/>
                <w:b/>
                <w:bCs/>
                <w:sz w:val="16"/>
                <w:szCs w:val="16"/>
              </w:rPr>
              <w:t>.</w:t>
            </w:r>
          </w:p>
        </w:tc>
        <w:tc>
          <w:tcPr>
            <w:tcW w:w="4992" w:type="dxa"/>
            <w:shd w:val="clear" w:color="auto" w:fill="F2F2F2" w:themeFill="background1" w:themeFillShade="F2"/>
            <w:vAlign w:val="center"/>
          </w:tcPr>
          <w:p w14:paraId="754EAEFF" w14:textId="14616A85" w:rsidR="004071CA" w:rsidRPr="00FB3D74" w:rsidRDefault="004071CA" w:rsidP="00942E95">
            <w:pPr>
              <w:rPr>
                <w:rFonts w:cs="Arial"/>
                <w:b/>
                <w:bCs/>
                <w:sz w:val="16"/>
                <w:szCs w:val="16"/>
              </w:rPr>
            </w:pPr>
            <w:r w:rsidRPr="00FB3D74">
              <w:rPr>
                <w:rFonts w:cs="Arial"/>
                <w:b/>
                <w:bCs/>
                <w:sz w:val="16"/>
                <w:szCs w:val="16"/>
              </w:rPr>
              <w:t>49</w:t>
            </w:r>
            <w:r w:rsidR="009946C0" w:rsidRPr="00FB3D74">
              <w:rPr>
                <w:rFonts w:cs="Arial"/>
                <w:b/>
                <w:bCs/>
                <w:sz w:val="16"/>
                <w:szCs w:val="16"/>
              </w:rPr>
              <w:t>.</w:t>
            </w:r>
          </w:p>
        </w:tc>
      </w:tr>
      <w:tr w:rsidR="004071CA" w:rsidRPr="00FB3D74" w14:paraId="1060F835" w14:textId="77777777" w:rsidTr="00942E95">
        <w:trPr>
          <w:trHeight w:val="20"/>
        </w:trPr>
        <w:tc>
          <w:tcPr>
            <w:tcW w:w="3823" w:type="dxa"/>
            <w:shd w:val="clear" w:color="auto" w:fill="F2F2F2" w:themeFill="background1" w:themeFillShade="F2"/>
            <w:vAlign w:val="center"/>
          </w:tcPr>
          <w:p w14:paraId="179E4196" w14:textId="5ABA1209" w:rsidR="004071CA" w:rsidRPr="00FB3D74" w:rsidRDefault="004071CA" w:rsidP="00942E95">
            <w:pPr>
              <w:rPr>
                <w:rFonts w:cs="Arial"/>
                <w:b/>
                <w:bCs/>
                <w:sz w:val="16"/>
                <w:szCs w:val="16"/>
              </w:rPr>
            </w:pPr>
            <w:r w:rsidRPr="00FB3D74">
              <w:rPr>
                <w:rFonts w:cs="Arial"/>
                <w:b/>
                <w:bCs/>
                <w:sz w:val="16"/>
                <w:szCs w:val="16"/>
              </w:rPr>
              <w:t>Dependencia/Organismo</w:t>
            </w:r>
            <w:r w:rsidR="009946C0" w:rsidRPr="00FB3D74">
              <w:rPr>
                <w:rFonts w:cs="Arial"/>
                <w:b/>
                <w:bCs/>
                <w:sz w:val="16"/>
                <w:szCs w:val="16"/>
              </w:rPr>
              <w:t>.</w:t>
            </w:r>
          </w:p>
        </w:tc>
        <w:tc>
          <w:tcPr>
            <w:tcW w:w="4992" w:type="dxa"/>
            <w:shd w:val="clear" w:color="auto" w:fill="F2F2F2" w:themeFill="background1" w:themeFillShade="F2"/>
            <w:vAlign w:val="center"/>
          </w:tcPr>
          <w:p w14:paraId="2D46CE31" w14:textId="77777777" w:rsidR="004071CA" w:rsidRPr="00FB3D74" w:rsidRDefault="004071CA" w:rsidP="00942E95">
            <w:pPr>
              <w:tabs>
                <w:tab w:val="left" w:pos="397"/>
              </w:tabs>
              <w:rPr>
                <w:rFonts w:cs="Arial"/>
                <w:b/>
                <w:bCs/>
                <w:sz w:val="16"/>
                <w:szCs w:val="16"/>
              </w:rPr>
            </w:pPr>
            <w:r w:rsidRPr="00FB3D74">
              <w:rPr>
                <w:rFonts w:cs="Arial"/>
                <w:b/>
                <w:bCs/>
                <w:sz w:val="16"/>
                <w:szCs w:val="16"/>
              </w:rPr>
              <w:t>Órgano Superior de Auditoría y Fiscalización Gubernamental del Estado.</w:t>
            </w:r>
          </w:p>
        </w:tc>
      </w:tr>
      <w:tr w:rsidR="004071CA" w:rsidRPr="00FB3D74" w14:paraId="4ACDF81C" w14:textId="77777777" w:rsidTr="00942E95">
        <w:trPr>
          <w:trHeight w:val="20"/>
        </w:trPr>
        <w:tc>
          <w:tcPr>
            <w:tcW w:w="3823" w:type="dxa"/>
            <w:shd w:val="clear" w:color="auto" w:fill="F2F2F2" w:themeFill="background1" w:themeFillShade="F2"/>
            <w:vAlign w:val="center"/>
          </w:tcPr>
          <w:p w14:paraId="731ECAE3" w14:textId="2F52BE75" w:rsidR="004071CA" w:rsidRPr="00FB3D74" w:rsidRDefault="004071CA" w:rsidP="00942E95">
            <w:pPr>
              <w:rPr>
                <w:rFonts w:cs="Arial"/>
                <w:b/>
                <w:bCs/>
                <w:sz w:val="16"/>
                <w:szCs w:val="16"/>
              </w:rPr>
            </w:pPr>
            <w:r w:rsidRPr="00FB3D74">
              <w:rPr>
                <w:rFonts w:cs="Arial"/>
                <w:b/>
                <w:bCs/>
                <w:sz w:val="16"/>
                <w:szCs w:val="16"/>
              </w:rPr>
              <w:t>Objetivo Anual</w:t>
            </w:r>
            <w:r w:rsidR="009946C0" w:rsidRPr="00FB3D74">
              <w:rPr>
                <w:rFonts w:cs="Arial"/>
                <w:b/>
                <w:bCs/>
                <w:sz w:val="16"/>
                <w:szCs w:val="16"/>
              </w:rPr>
              <w:t>.</w:t>
            </w:r>
          </w:p>
        </w:tc>
        <w:tc>
          <w:tcPr>
            <w:tcW w:w="4992" w:type="dxa"/>
            <w:shd w:val="clear" w:color="auto" w:fill="F2F2F2" w:themeFill="background1" w:themeFillShade="F2"/>
            <w:vAlign w:val="center"/>
          </w:tcPr>
          <w:p w14:paraId="7F5A6B29" w14:textId="2333D789" w:rsidR="004071CA" w:rsidRPr="00FB3D74" w:rsidRDefault="004071CA" w:rsidP="00942E95">
            <w:pPr>
              <w:rPr>
                <w:rFonts w:cs="Arial"/>
                <w:sz w:val="16"/>
                <w:szCs w:val="16"/>
              </w:rPr>
            </w:pPr>
            <w:r w:rsidRPr="00FB3D74">
              <w:rPr>
                <w:rFonts w:cs="Arial"/>
                <w:sz w:val="16"/>
                <w:szCs w:val="16"/>
              </w:rPr>
              <w:t xml:space="preserve">El H. Congreso del Estado de Colima a través del </w:t>
            </w:r>
            <w:r w:rsidR="00BD63CF" w:rsidRPr="00FB3D74">
              <w:rPr>
                <w:rFonts w:cs="Arial"/>
                <w:sz w:val="16"/>
                <w:szCs w:val="16"/>
              </w:rPr>
              <w:t xml:space="preserve">Órgano Superior de Auditoría y Fiscalización Gubernamental del Estado </w:t>
            </w:r>
            <w:r w:rsidRPr="00FB3D74">
              <w:rPr>
                <w:rFonts w:cs="Arial"/>
                <w:sz w:val="16"/>
                <w:szCs w:val="16"/>
              </w:rPr>
              <w:t>realiza la fiscalización, control y evaluación de los recursos públicos ejercidos por las entidades fiscalizables.</w:t>
            </w:r>
          </w:p>
        </w:tc>
      </w:tr>
      <w:tr w:rsidR="004071CA" w:rsidRPr="00FB3D74" w14:paraId="2A96218A" w14:textId="77777777" w:rsidTr="00942E95">
        <w:trPr>
          <w:trHeight w:val="20"/>
        </w:trPr>
        <w:tc>
          <w:tcPr>
            <w:tcW w:w="3823" w:type="dxa"/>
            <w:shd w:val="clear" w:color="auto" w:fill="F2F2F2" w:themeFill="background1" w:themeFillShade="F2"/>
            <w:vAlign w:val="center"/>
          </w:tcPr>
          <w:p w14:paraId="5AB41985" w14:textId="77777777" w:rsidR="004071CA" w:rsidRPr="00FB3D74" w:rsidRDefault="004071CA" w:rsidP="009946C0">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4A43EADE" w14:textId="77777777" w:rsidR="004071CA" w:rsidRPr="00FB3D74" w:rsidRDefault="004071CA" w:rsidP="009946C0">
            <w:pPr>
              <w:jc w:val="center"/>
              <w:rPr>
                <w:rFonts w:cs="Arial"/>
                <w:sz w:val="16"/>
                <w:szCs w:val="16"/>
              </w:rPr>
            </w:pPr>
            <w:r w:rsidRPr="00FB3D74">
              <w:rPr>
                <w:rFonts w:cs="Arial"/>
                <w:b/>
                <w:bCs/>
                <w:sz w:val="16"/>
                <w:szCs w:val="16"/>
              </w:rPr>
              <w:t>Metas</w:t>
            </w:r>
          </w:p>
        </w:tc>
      </w:tr>
      <w:tr w:rsidR="004071CA" w:rsidRPr="00FB3D74" w14:paraId="45B0E8E1" w14:textId="77777777" w:rsidTr="00942E95">
        <w:trPr>
          <w:trHeight w:val="20"/>
        </w:trPr>
        <w:tc>
          <w:tcPr>
            <w:tcW w:w="3823" w:type="dxa"/>
            <w:vAlign w:val="center"/>
          </w:tcPr>
          <w:p w14:paraId="5C916B45" w14:textId="77777777" w:rsidR="004071CA" w:rsidRPr="00FB3D74" w:rsidRDefault="004071CA" w:rsidP="00942E95">
            <w:pPr>
              <w:rPr>
                <w:rFonts w:cs="Arial"/>
                <w:sz w:val="16"/>
                <w:szCs w:val="16"/>
              </w:rPr>
            </w:pPr>
            <w:r w:rsidRPr="00FB3D74">
              <w:rPr>
                <w:rFonts w:cs="Arial"/>
                <w:sz w:val="16"/>
                <w:szCs w:val="16"/>
              </w:rPr>
              <w:t>Cuentas públicas de las entidades fiscalizadas.</w:t>
            </w:r>
          </w:p>
        </w:tc>
        <w:tc>
          <w:tcPr>
            <w:tcW w:w="4992" w:type="dxa"/>
            <w:vAlign w:val="center"/>
          </w:tcPr>
          <w:p w14:paraId="51CD227D" w14:textId="77777777" w:rsidR="004071CA" w:rsidRPr="00FB3D74" w:rsidRDefault="004071CA" w:rsidP="00942E95">
            <w:pPr>
              <w:rPr>
                <w:rFonts w:cs="Arial"/>
                <w:sz w:val="16"/>
                <w:szCs w:val="16"/>
              </w:rPr>
            </w:pPr>
            <w:r w:rsidRPr="00FB3D74">
              <w:rPr>
                <w:rFonts w:cs="Arial"/>
                <w:sz w:val="16"/>
                <w:szCs w:val="16"/>
              </w:rPr>
              <w:t>Fiscalizar el 65 por ciento del presupuesto ejercido por las entidades públicas.</w:t>
            </w:r>
          </w:p>
        </w:tc>
      </w:tr>
      <w:tr w:rsidR="004071CA" w:rsidRPr="00FB3D74" w14:paraId="06F5469E" w14:textId="77777777" w:rsidTr="00942E95">
        <w:trPr>
          <w:trHeight w:val="20"/>
        </w:trPr>
        <w:tc>
          <w:tcPr>
            <w:tcW w:w="3823" w:type="dxa"/>
            <w:vAlign w:val="center"/>
          </w:tcPr>
          <w:p w14:paraId="2EE2E6EA" w14:textId="77777777" w:rsidR="004071CA" w:rsidRPr="00FB3D74" w:rsidRDefault="004071CA" w:rsidP="00942E95">
            <w:pPr>
              <w:rPr>
                <w:rFonts w:cs="Arial"/>
                <w:sz w:val="16"/>
                <w:szCs w:val="16"/>
              </w:rPr>
            </w:pPr>
            <w:r w:rsidRPr="00FB3D74">
              <w:rPr>
                <w:rFonts w:cs="Arial"/>
                <w:sz w:val="16"/>
                <w:szCs w:val="16"/>
              </w:rPr>
              <w:t>Auditoría de la gestión financiera de las entidades fiscalizadas.</w:t>
            </w:r>
          </w:p>
        </w:tc>
        <w:tc>
          <w:tcPr>
            <w:tcW w:w="4992" w:type="dxa"/>
            <w:vAlign w:val="center"/>
          </w:tcPr>
          <w:p w14:paraId="51C17D6B" w14:textId="77777777" w:rsidR="004071CA" w:rsidRPr="00FB3D74" w:rsidRDefault="004071CA" w:rsidP="00942E95">
            <w:pPr>
              <w:rPr>
                <w:rFonts w:cs="Arial"/>
                <w:sz w:val="16"/>
                <w:szCs w:val="16"/>
              </w:rPr>
            </w:pPr>
            <w:r w:rsidRPr="00FB3D74">
              <w:rPr>
                <w:rFonts w:cs="Arial"/>
                <w:sz w:val="16"/>
                <w:szCs w:val="16"/>
              </w:rPr>
              <w:t>Realizar el 100 por ciento de la evaluación de las entidades públicas programadas.</w:t>
            </w:r>
          </w:p>
        </w:tc>
      </w:tr>
      <w:tr w:rsidR="004071CA" w:rsidRPr="00FB3D74" w14:paraId="2ADA985E" w14:textId="77777777" w:rsidTr="00942E95">
        <w:trPr>
          <w:trHeight w:val="20"/>
        </w:trPr>
        <w:tc>
          <w:tcPr>
            <w:tcW w:w="3823" w:type="dxa"/>
            <w:shd w:val="clear" w:color="auto" w:fill="F2F2F2" w:themeFill="background1" w:themeFillShade="F2"/>
            <w:vAlign w:val="center"/>
          </w:tcPr>
          <w:p w14:paraId="0AA2DF96" w14:textId="784025E3" w:rsidR="004071CA" w:rsidRPr="00FB3D74" w:rsidRDefault="004071CA" w:rsidP="00942E95">
            <w:pPr>
              <w:rPr>
                <w:rFonts w:cs="Arial"/>
                <w:b/>
                <w:bCs/>
                <w:sz w:val="16"/>
                <w:szCs w:val="16"/>
              </w:rPr>
            </w:pPr>
            <w:r w:rsidRPr="00FB3D74">
              <w:rPr>
                <w:rFonts w:cs="Arial"/>
                <w:b/>
                <w:bCs/>
                <w:sz w:val="16"/>
                <w:szCs w:val="16"/>
              </w:rPr>
              <w:t>Número de Programa Presupuestal</w:t>
            </w:r>
            <w:r w:rsidR="009946C0" w:rsidRPr="00FB3D74">
              <w:rPr>
                <w:rFonts w:cs="Arial"/>
                <w:b/>
                <w:bCs/>
                <w:sz w:val="16"/>
                <w:szCs w:val="16"/>
              </w:rPr>
              <w:t>.</w:t>
            </w:r>
          </w:p>
        </w:tc>
        <w:tc>
          <w:tcPr>
            <w:tcW w:w="4992" w:type="dxa"/>
            <w:shd w:val="clear" w:color="auto" w:fill="F2F2F2" w:themeFill="background1" w:themeFillShade="F2"/>
            <w:vAlign w:val="center"/>
          </w:tcPr>
          <w:p w14:paraId="25683C36" w14:textId="2C140BFC" w:rsidR="004071CA" w:rsidRPr="00FB3D74" w:rsidRDefault="004071CA" w:rsidP="00942E95">
            <w:pPr>
              <w:rPr>
                <w:rFonts w:cs="Arial"/>
                <w:b/>
                <w:bCs/>
                <w:sz w:val="16"/>
                <w:szCs w:val="16"/>
              </w:rPr>
            </w:pPr>
            <w:r w:rsidRPr="00FB3D74">
              <w:rPr>
                <w:rFonts w:cs="Arial"/>
                <w:b/>
                <w:bCs/>
                <w:sz w:val="16"/>
                <w:szCs w:val="16"/>
              </w:rPr>
              <w:t>50</w:t>
            </w:r>
            <w:r w:rsidR="009946C0" w:rsidRPr="00FB3D74">
              <w:rPr>
                <w:rFonts w:cs="Arial"/>
                <w:b/>
                <w:bCs/>
                <w:sz w:val="16"/>
                <w:szCs w:val="16"/>
              </w:rPr>
              <w:t>.</w:t>
            </w:r>
          </w:p>
        </w:tc>
      </w:tr>
      <w:tr w:rsidR="004071CA" w:rsidRPr="00FB3D74" w14:paraId="53564284" w14:textId="77777777" w:rsidTr="00942E95">
        <w:trPr>
          <w:trHeight w:val="20"/>
        </w:trPr>
        <w:tc>
          <w:tcPr>
            <w:tcW w:w="3823" w:type="dxa"/>
            <w:shd w:val="clear" w:color="auto" w:fill="F2F2F2" w:themeFill="background1" w:themeFillShade="F2"/>
            <w:vAlign w:val="center"/>
          </w:tcPr>
          <w:p w14:paraId="1F142332" w14:textId="4FFA70CC" w:rsidR="004071CA" w:rsidRPr="00FB3D74" w:rsidRDefault="004071CA" w:rsidP="00942E95">
            <w:pPr>
              <w:rPr>
                <w:rFonts w:cs="Arial"/>
                <w:b/>
                <w:bCs/>
                <w:sz w:val="16"/>
                <w:szCs w:val="16"/>
              </w:rPr>
            </w:pPr>
            <w:r w:rsidRPr="00FB3D74">
              <w:rPr>
                <w:rFonts w:cs="Arial"/>
                <w:b/>
                <w:bCs/>
                <w:sz w:val="16"/>
                <w:szCs w:val="16"/>
              </w:rPr>
              <w:t>Dependencia/Organismo</w:t>
            </w:r>
            <w:r w:rsidR="009946C0" w:rsidRPr="00FB3D74">
              <w:rPr>
                <w:rFonts w:cs="Arial"/>
                <w:b/>
                <w:bCs/>
                <w:sz w:val="16"/>
                <w:szCs w:val="16"/>
              </w:rPr>
              <w:t>.</w:t>
            </w:r>
          </w:p>
        </w:tc>
        <w:tc>
          <w:tcPr>
            <w:tcW w:w="4992" w:type="dxa"/>
            <w:shd w:val="clear" w:color="auto" w:fill="F2F2F2" w:themeFill="background1" w:themeFillShade="F2"/>
            <w:vAlign w:val="center"/>
          </w:tcPr>
          <w:p w14:paraId="6296EEDB" w14:textId="77777777" w:rsidR="004071CA" w:rsidRPr="00FB3D74" w:rsidRDefault="004071CA" w:rsidP="00942E95">
            <w:pPr>
              <w:tabs>
                <w:tab w:val="left" w:pos="397"/>
              </w:tabs>
              <w:rPr>
                <w:rFonts w:cs="Arial"/>
                <w:b/>
                <w:bCs/>
                <w:sz w:val="16"/>
                <w:szCs w:val="16"/>
              </w:rPr>
            </w:pPr>
            <w:r w:rsidRPr="00FB3D74">
              <w:rPr>
                <w:rFonts w:cs="Arial"/>
                <w:b/>
                <w:bCs/>
                <w:sz w:val="16"/>
                <w:szCs w:val="16"/>
              </w:rPr>
              <w:t>H. Congreso del Estado.</w:t>
            </w:r>
          </w:p>
        </w:tc>
      </w:tr>
      <w:tr w:rsidR="004071CA" w:rsidRPr="00FB3D74" w14:paraId="41C80C37" w14:textId="77777777" w:rsidTr="00942E95">
        <w:trPr>
          <w:trHeight w:val="20"/>
        </w:trPr>
        <w:tc>
          <w:tcPr>
            <w:tcW w:w="3823" w:type="dxa"/>
            <w:shd w:val="clear" w:color="auto" w:fill="F2F2F2" w:themeFill="background1" w:themeFillShade="F2"/>
            <w:vAlign w:val="center"/>
          </w:tcPr>
          <w:p w14:paraId="2F429E91" w14:textId="55C61B59" w:rsidR="004071CA" w:rsidRPr="00FB3D74" w:rsidRDefault="004071CA" w:rsidP="00942E95">
            <w:pPr>
              <w:rPr>
                <w:rFonts w:cs="Arial"/>
                <w:b/>
                <w:bCs/>
                <w:sz w:val="16"/>
                <w:szCs w:val="16"/>
              </w:rPr>
            </w:pPr>
            <w:r w:rsidRPr="00FB3D74">
              <w:rPr>
                <w:rFonts w:cs="Arial"/>
                <w:b/>
                <w:bCs/>
                <w:sz w:val="16"/>
                <w:szCs w:val="16"/>
              </w:rPr>
              <w:t>Objetivo Anual</w:t>
            </w:r>
            <w:r w:rsidR="009946C0" w:rsidRPr="00FB3D74">
              <w:rPr>
                <w:rFonts w:cs="Arial"/>
                <w:b/>
                <w:bCs/>
                <w:sz w:val="16"/>
                <w:szCs w:val="16"/>
              </w:rPr>
              <w:t>.</w:t>
            </w:r>
          </w:p>
        </w:tc>
        <w:tc>
          <w:tcPr>
            <w:tcW w:w="4992" w:type="dxa"/>
            <w:shd w:val="clear" w:color="auto" w:fill="F2F2F2" w:themeFill="background1" w:themeFillShade="F2"/>
            <w:vAlign w:val="center"/>
          </w:tcPr>
          <w:p w14:paraId="29C9E7A2" w14:textId="77777777" w:rsidR="004071CA" w:rsidRPr="00FB3D74" w:rsidRDefault="004071CA" w:rsidP="00942E95">
            <w:pPr>
              <w:rPr>
                <w:rFonts w:cs="Arial"/>
                <w:sz w:val="16"/>
                <w:szCs w:val="16"/>
              </w:rPr>
            </w:pPr>
            <w:r w:rsidRPr="00FB3D74">
              <w:rPr>
                <w:rFonts w:cs="Arial"/>
                <w:sz w:val="16"/>
                <w:szCs w:val="16"/>
              </w:rPr>
              <w:t>La Población del Estado de Colima tiene certeza legal y se beneficia con la aprobación y reforma de leyes.</w:t>
            </w:r>
          </w:p>
        </w:tc>
      </w:tr>
      <w:tr w:rsidR="004071CA" w:rsidRPr="00FB3D74" w14:paraId="6E30EF79" w14:textId="77777777" w:rsidTr="00942E95">
        <w:trPr>
          <w:trHeight w:val="20"/>
        </w:trPr>
        <w:tc>
          <w:tcPr>
            <w:tcW w:w="3823" w:type="dxa"/>
            <w:shd w:val="clear" w:color="auto" w:fill="F2F2F2" w:themeFill="background1" w:themeFillShade="F2"/>
            <w:vAlign w:val="center"/>
          </w:tcPr>
          <w:p w14:paraId="32897612" w14:textId="77777777" w:rsidR="004071CA" w:rsidRPr="00FB3D74" w:rsidRDefault="004071CA" w:rsidP="009946C0">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5E834D14" w14:textId="77777777" w:rsidR="004071CA" w:rsidRPr="00FB3D74" w:rsidRDefault="004071CA" w:rsidP="009946C0">
            <w:pPr>
              <w:jc w:val="center"/>
              <w:rPr>
                <w:rFonts w:cs="Arial"/>
                <w:sz w:val="16"/>
                <w:szCs w:val="16"/>
              </w:rPr>
            </w:pPr>
            <w:r w:rsidRPr="00FB3D74">
              <w:rPr>
                <w:rFonts w:cs="Arial"/>
                <w:b/>
                <w:bCs/>
                <w:sz w:val="16"/>
                <w:szCs w:val="16"/>
              </w:rPr>
              <w:t>Metas</w:t>
            </w:r>
          </w:p>
        </w:tc>
      </w:tr>
      <w:tr w:rsidR="004071CA" w:rsidRPr="00FB3D74" w14:paraId="1E67FD5B" w14:textId="77777777" w:rsidTr="00942E95">
        <w:trPr>
          <w:trHeight w:val="20"/>
        </w:trPr>
        <w:tc>
          <w:tcPr>
            <w:tcW w:w="3823" w:type="dxa"/>
            <w:vAlign w:val="center"/>
          </w:tcPr>
          <w:p w14:paraId="665FF4C8" w14:textId="181C968B" w:rsidR="004071CA" w:rsidRPr="00FB3D74" w:rsidRDefault="004071CA" w:rsidP="00942E95">
            <w:pPr>
              <w:rPr>
                <w:rFonts w:cs="Arial"/>
                <w:sz w:val="16"/>
                <w:szCs w:val="16"/>
              </w:rPr>
            </w:pPr>
            <w:r w:rsidRPr="00FB3D74">
              <w:rPr>
                <w:rFonts w:cs="Arial"/>
                <w:sz w:val="16"/>
                <w:szCs w:val="16"/>
              </w:rPr>
              <w:t>Operación del H. Congreso del Estado realizado</w:t>
            </w:r>
            <w:r w:rsidR="009946C0" w:rsidRPr="00FB3D74">
              <w:rPr>
                <w:rFonts w:cs="Arial"/>
                <w:sz w:val="16"/>
                <w:szCs w:val="16"/>
              </w:rPr>
              <w:t>.</w:t>
            </w:r>
          </w:p>
        </w:tc>
        <w:tc>
          <w:tcPr>
            <w:tcW w:w="4992" w:type="dxa"/>
            <w:vAlign w:val="center"/>
          </w:tcPr>
          <w:p w14:paraId="0A3E985E" w14:textId="77777777" w:rsidR="004071CA" w:rsidRPr="00FB3D74" w:rsidRDefault="004071CA" w:rsidP="00942E95">
            <w:pPr>
              <w:rPr>
                <w:rFonts w:cs="Arial"/>
                <w:sz w:val="16"/>
                <w:szCs w:val="16"/>
              </w:rPr>
            </w:pPr>
            <w:r w:rsidRPr="00FB3D74">
              <w:rPr>
                <w:rFonts w:cs="Arial"/>
                <w:sz w:val="16"/>
                <w:szCs w:val="16"/>
              </w:rPr>
              <w:t>Ejercer el 100 por ciento del presupuesto asignado para la operatividad del H Congreso del Estado.</w:t>
            </w:r>
          </w:p>
        </w:tc>
      </w:tr>
      <w:tr w:rsidR="004071CA" w:rsidRPr="00FB3D74" w14:paraId="4A5C682B" w14:textId="77777777" w:rsidTr="00942E95">
        <w:trPr>
          <w:trHeight w:val="20"/>
        </w:trPr>
        <w:tc>
          <w:tcPr>
            <w:tcW w:w="3823" w:type="dxa"/>
            <w:shd w:val="clear" w:color="auto" w:fill="F2F2F2" w:themeFill="background1" w:themeFillShade="F2"/>
            <w:vAlign w:val="center"/>
          </w:tcPr>
          <w:p w14:paraId="166F502C" w14:textId="1BC81DBA" w:rsidR="004071CA" w:rsidRPr="00FB3D74" w:rsidRDefault="004071CA" w:rsidP="00942E95">
            <w:pPr>
              <w:rPr>
                <w:rFonts w:cs="Arial"/>
                <w:b/>
                <w:bCs/>
                <w:sz w:val="16"/>
                <w:szCs w:val="16"/>
              </w:rPr>
            </w:pPr>
            <w:r w:rsidRPr="00FB3D74">
              <w:rPr>
                <w:rFonts w:cs="Arial"/>
                <w:b/>
                <w:bCs/>
                <w:sz w:val="16"/>
                <w:szCs w:val="16"/>
              </w:rPr>
              <w:t>Número de Programa Presupuestal</w:t>
            </w:r>
            <w:r w:rsidR="009946C0" w:rsidRPr="00FB3D74">
              <w:rPr>
                <w:rFonts w:cs="Arial"/>
                <w:b/>
                <w:bCs/>
                <w:sz w:val="16"/>
                <w:szCs w:val="16"/>
              </w:rPr>
              <w:t>.</w:t>
            </w:r>
          </w:p>
        </w:tc>
        <w:tc>
          <w:tcPr>
            <w:tcW w:w="4992" w:type="dxa"/>
            <w:shd w:val="clear" w:color="auto" w:fill="F2F2F2" w:themeFill="background1" w:themeFillShade="F2"/>
            <w:vAlign w:val="center"/>
          </w:tcPr>
          <w:p w14:paraId="47635FBB" w14:textId="537A31BD" w:rsidR="004071CA" w:rsidRPr="00FB3D74" w:rsidRDefault="004071CA" w:rsidP="00942E95">
            <w:pPr>
              <w:rPr>
                <w:rFonts w:cs="Arial"/>
                <w:b/>
                <w:bCs/>
                <w:sz w:val="16"/>
                <w:szCs w:val="16"/>
              </w:rPr>
            </w:pPr>
            <w:r w:rsidRPr="00FB3D74">
              <w:rPr>
                <w:rFonts w:cs="Arial"/>
                <w:b/>
                <w:bCs/>
                <w:sz w:val="16"/>
                <w:szCs w:val="16"/>
              </w:rPr>
              <w:t>51</w:t>
            </w:r>
            <w:r w:rsidR="009946C0" w:rsidRPr="00FB3D74">
              <w:rPr>
                <w:rFonts w:cs="Arial"/>
                <w:b/>
                <w:bCs/>
                <w:sz w:val="16"/>
                <w:szCs w:val="16"/>
              </w:rPr>
              <w:t>.</w:t>
            </w:r>
          </w:p>
        </w:tc>
      </w:tr>
      <w:tr w:rsidR="004071CA" w:rsidRPr="00FB3D74" w14:paraId="15CE6812" w14:textId="77777777" w:rsidTr="00942E95">
        <w:trPr>
          <w:trHeight w:val="20"/>
        </w:trPr>
        <w:tc>
          <w:tcPr>
            <w:tcW w:w="3823" w:type="dxa"/>
            <w:shd w:val="clear" w:color="auto" w:fill="F2F2F2" w:themeFill="background1" w:themeFillShade="F2"/>
            <w:vAlign w:val="center"/>
          </w:tcPr>
          <w:p w14:paraId="56150E4A" w14:textId="67292A21" w:rsidR="004071CA" w:rsidRPr="00FB3D74" w:rsidRDefault="004071CA" w:rsidP="00942E95">
            <w:pPr>
              <w:rPr>
                <w:rFonts w:cs="Arial"/>
                <w:b/>
                <w:bCs/>
                <w:sz w:val="16"/>
                <w:szCs w:val="16"/>
              </w:rPr>
            </w:pPr>
            <w:r w:rsidRPr="00FB3D74">
              <w:rPr>
                <w:rFonts w:cs="Arial"/>
                <w:b/>
                <w:bCs/>
                <w:sz w:val="16"/>
                <w:szCs w:val="16"/>
              </w:rPr>
              <w:t>Dependencia/Organismo</w:t>
            </w:r>
            <w:r w:rsidR="009946C0" w:rsidRPr="00FB3D74">
              <w:rPr>
                <w:rFonts w:cs="Arial"/>
                <w:b/>
                <w:bCs/>
                <w:sz w:val="16"/>
                <w:szCs w:val="16"/>
              </w:rPr>
              <w:t>.</w:t>
            </w:r>
          </w:p>
        </w:tc>
        <w:tc>
          <w:tcPr>
            <w:tcW w:w="4992" w:type="dxa"/>
            <w:shd w:val="clear" w:color="auto" w:fill="F2F2F2" w:themeFill="background1" w:themeFillShade="F2"/>
            <w:vAlign w:val="center"/>
          </w:tcPr>
          <w:p w14:paraId="00D21077" w14:textId="77777777" w:rsidR="004071CA" w:rsidRPr="00FB3D74" w:rsidRDefault="004071CA" w:rsidP="00942E95">
            <w:pPr>
              <w:tabs>
                <w:tab w:val="left" w:pos="397"/>
              </w:tabs>
              <w:rPr>
                <w:rFonts w:cs="Arial"/>
                <w:b/>
                <w:bCs/>
                <w:sz w:val="16"/>
                <w:szCs w:val="16"/>
              </w:rPr>
            </w:pPr>
            <w:r w:rsidRPr="00FB3D74">
              <w:rPr>
                <w:rFonts w:cs="Arial"/>
                <w:b/>
                <w:bCs/>
                <w:sz w:val="16"/>
                <w:szCs w:val="16"/>
              </w:rPr>
              <w:t>H. Supremo Tribunal de Justicia.</w:t>
            </w:r>
          </w:p>
        </w:tc>
      </w:tr>
      <w:tr w:rsidR="004071CA" w:rsidRPr="00FB3D74" w14:paraId="3786D4DA" w14:textId="77777777" w:rsidTr="00942E95">
        <w:trPr>
          <w:trHeight w:val="20"/>
        </w:trPr>
        <w:tc>
          <w:tcPr>
            <w:tcW w:w="3823" w:type="dxa"/>
            <w:shd w:val="clear" w:color="auto" w:fill="F2F2F2" w:themeFill="background1" w:themeFillShade="F2"/>
            <w:vAlign w:val="center"/>
          </w:tcPr>
          <w:p w14:paraId="2A7B2EEB" w14:textId="314231B8" w:rsidR="004071CA" w:rsidRPr="00FB3D74" w:rsidRDefault="004071CA" w:rsidP="00942E95">
            <w:pPr>
              <w:rPr>
                <w:rFonts w:cs="Arial"/>
                <w:b/>
                <w:bCs/>
                <w:sz w:val="16"/>
                <w:szCs w:val="16"/>
              </w:rPr>
            </w:pPr>
            <w:r w:rsidRPr="00FB3D74">
              <w:rPr>
                <w:rFonts w:cs="Arial"/>
                <w:b/>
                <w:bCs/>
                <w:sz w:val="16"/>
                <w:szCs w:val="16"/>
              </w:rPr>
              <w:t>Objetivo Anual</w:t>
            </w:r>
            <w:r w:rsidR="009946C0" w:rsidRPr="00FB3D74">
              <w:rPr>
                <w:rFonts w:cs="Arial"/>
                <w:b/>
                <w:bCs/>
                <w:sz w:val="16"/>
                <w:szCs w:val="16"/>
              </w:rPr>
              <w:t>.</w:t>
            </w:r>
          </w:p>
        </w:tc>
        <w:tc>
          <w:tcPr>
            <w:tcW w:w="4992" w:type="dxa"/>
            <w:shd w:val="clear" w:color="auto" w:fill="F2F2F2" w:themeFill="background1" w:themeFillShade="F2"/>
            <w:vAlign w:val="center"/>
          </w:tcPr>
          <w:p w14:paraId="52C3AB13" w14:textId="77777777" w:rsidR="004071CA" w:rsidRPr="00FB3D74" w:rsidRDefault="004071CA" w:rsidP="00942E95">
            <w:pPr>
              <w:rPr>
                <w:rFonts w:cs="Arial"/>
                <w:sz w:val="16"/>
                <w:szCs w:val="16"/>
              </w:rPr>
            </w:pPr>
            <w:r w:rsidRPr="00FB3D74">
              <w:rPr>
                <w:rFonts w:cs="Arial"/>
                <w:sz w:val="16"/>
                <w:szCs w:val="16"/>
              </w:rPr>
              <w:t>Los habitantes del Estado de Colima reciben un servicio de impartición de justicia pronta, imparcial y apegada a la normatividad convencional, constitucional y legal.</w:t>
            </w:r>
          </w:p>
        </w:tc>
      </w:tr>
      <w:tr w:rsidR="004071CA" w:rsidRPr="00FB3D74" w14:paraId="0747F9AD" w14:textId="77777777" w:rsidTr="00942E95">
        <w:trPr>
          <w:trHeight w:val="20"/>
        </w:trPr>
        <w:tc>
          <w:tcPr>
            <w:tcW w:w="3823" w:type="dxa"/>
            <w:shd w:val="clear" w:color="auto" w:fill="F2F2F2" w:themeFill="background1" w:themeFillShade="F2"/>
            <w:vAlign w:val="center"/>
          </w:tcPr>
          <w:p w14:paraId="4AA0825E" w14:textId="77777777" w:rsidR="004071CA" w:rsidRPr="00FB3D74" w:rsidRDefault="004071CA" w:rsidP="009946C0">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0AB61B74" w14:textId="77777777" w:rsidR="004071CA" w:rsidRPr="00FB3D74" w:rsidRDefault="004071CA" w:rsidP="009946C0">
            <w:pPr>
              <w:jc w:val="center"/>
              <w:rPr>
                <w:rFonts w:cs="Arial"/>
                <w:sz w:val="16"/>
                <w:szCs w:val="16"/>
              </w:rPr>
            </w:pPr>
            <w:r w:rsidRPr="00FB3D74">
              <w:rPr>
                <w:rFonts w:cs="Arial"/>
                <w:b/>
                <w:bCs/>
                <w:sz w:val="16"/>
                <w:szCs w:val="16"/>
              </w:rPr>
              <w:t>Metas</w:t>
            </w:r>
          </w:p>
        </w:tc>
      </w:tr>
      <w:tr w:rsidR="004071CA" w:rsidRPr="00FB3D74" w14:paraId="1A2E2BD1" w14:textId="77777777" w:rsidTr="00942E95">
        <w:trPr>
          <w:trHeight w:val="20"/>
        </w:trPr>
        <w:tc>
          <w:tcPr>
            <w:tcW w:w="3823" w:type="dxa"/>
            <w:vAlign w:val="center"/>
          </w:tcPr>
          <w:p w14:paraId="6F420EBA" w14:textId="77777777" w:rsidR="004071CA" w:rsidRPr="00FB3D74" w:rsidRDefault="004071CA" w:rsidP="00942E95">
            <w:pPr>
              <w:rPr>
                <w:rFonts w:cs="Arial"/>
                <w:sz w:val="16"/>
                <w:szCs w:val="16"/>
              </w:rPr>
            </w:pPr>
            <w:r w:rsidRPr="00FB3D74">
              <w:rPr>
                <w:rFonts w:cs="Arial"/>
                <w:sz w:val="16"/>
                <w:szCs w:val="16"/>
              </w:rPr>
              <w:t>Proyectos para mejorar la impartición de Justicia implementados.</w:t>
            </w:r>
          </w:p>
        </w:tc>
        <w:tc>
          <w:tcPr>
            <w:tcW w:w="4992" w:type="dxa"/>
            <w:vAlign w:val="center"/>
          </w:tcPr>
          <w:p w14:paraId="543BEE34" w14:textId="77777777" w:rsidR="004071CA" w:rsidRPr="00FB3D74" w:rsidRDefault="004071CA" w:rsidP="00942E95">
            <w:pPr>
              <w:rPr>
                <w:rFonts w:cs="Arial"/>
                <w:sz w:val="16"/>
                <w:szCs w:val="16"/>
              </w:rPr>
            </w:pPr>
            <w:r w:rsidRPr="00FB3D74">
              <w:rPr>
                <w:rFonts w:cs="Arial"/>
                <w:sz w:val="16"/>
                <w:szCs w:val="16"/>
              </w:rPr>
              <w:t>Alcanzar el 100 por ciento de los proyectos programados.</w:t>
            </w:r>
          </w:p>
        </w:tc>
      </w:tr>
      <w:tr w:rsidR="004071CA" w:rsidRPr="00FB3D74" w14:paraId="1A0E4790" w14:textId="77777777" w:rsidTr="00942E95">
        <w:trPr>
          <w:trHeight w:val="20"/>
        </w:trPr>
        <w:tc>
          <w:tcPr>
            <w:tcW w:w="3823" w:type="dxa"/>
            <w:shd w:val="clear" w:color="auto" w:fill="F2F2F2" w:themeFill="background1" w:themeFillShade="F2"/>
            <w:vAlign w:val="center"/>
          </w:tcPr>
          <w:p w14:paraId="7853AC1E" w14:textId="11D30DF5" w:rsidR="004071CA" w:rsidRPr="00FB3D74" w:rsidRDefault="004071CA" w:rsidP="00942E95">
            <w:pPr>
              <w:rPr>
                <w:rFonts w:cs="Arial"/>
                <w:b/>
                <w:bCs/>
                <w:sz w:val="16"/>
                <w:szCs w:val="16"/>
              </w:rPr>
            </w:pPr>
            <w:r w:rsidRPr="00FB3D74">
              <w:rPr>
                <w:rFonts w:cs="Arial"/>
                <w:b/>
                <w:bCs/>
                <w:sz w:val="16"/>
                <w:szCs w:val="16"/>
              </w:rPr>
              <w:t>Número de Programa Presupuestal</w:t>
            </w:r>
            <w:r w:rsidR="009946C0" w:rsidRPr="00FB3D74">
              <w:rPr>
                <w:rFonts w:cs="Arial"/>
                <w:b/>
                <w:bCs/>
                <w:sz w:val="16"/>
                <w:szCs w:val="16"/>
              </w:rPr>
              <w:t>.</w:t>
            </w:r>
          </w:p>
        </w:tc>
        <w:tc>
          <w:tcPr>
            <w:tcW w:w="4992" w:type="dxa"/>
            <w:shd w:val="clear" w:color="auto" w:fill="F2F2F2" w:themeFill="background1" w:themeFillShade="F2"/>
            <w:vAlign w:val="center"/>
          </w:tcPr>
          <w:p w14:paraId="3CFEE7C5" w14:textId="2B19A275" w:rsidR="004071CA" w:rsidRPr="00FB3D74" w:rsidRDefault="004071CA" w:rsidP="00942E95">
            <w:pPr>
              <w:rPr>
                <w:rFonts w:cs="Arial"/>
                <w:b/>
                <w:bCs/>
                <w:sz w:val="16"/>
                <w:szCs w:val="16"/>
              </w:rPr>
            </w:pPr>
            <w:r w:rsidRPr="00FB3D74">
              <w:rPr>
                <w:rFonts w:cs="Arial"/>
                <w:b/>
                <w:bCs/>
                <w:sz w:val="16"/>
                <w:szCs w:val="16"/>
              </w:rPr>
              <w:t>54</w:t>
            </w:r>
            <w:r w:rsidR="009946C0" w:rsidRPr="00FB3D74">
              <w:rPr>
                <w:rFonts w:cs="Arial"/>
                <w:b/>
                <w:bCs/>
                <w:sz w:val="16"/>
                <w:szCs w:val="16"/>
              </w:rPr>
              <w:t>.</w:t>
            </w:r>
          </w:p>
        </w:tc>
      </w:tr>
      <w:tr w:rsidR="004071CA" w:rsidRPr="00FB3D74" w14:paraId="38FA07ED" w14:textId="77777777" w:rsidTr="00942E95">
        <w:trPr>
          <w:trHeight w:val="20"/>
        </w:trPr>
        <w:tc>
          <w:tcPr>
            <w:tcW w:w="3823" w:type="dxa"/>
            <w:shd w:val="clear" w:color="auto" w:fill="F2F2F2" w:themeFill="background1" w:themeFillShade="F2"/>
            <w:vAlign w:val="center"/>
          </w:tcPr>
          <w:p w14:paraId="30DC0E5E" w14:textId="68CB31DD" w:rsidR="004071CA" w:rsidRPr="00FB3D74" w:rsidRDefault="004071CA" w:rsidP="00942E95">
            <w:pPr>
              <w:rPr>
                <w:rFonts w:cs="Arial"/>
                <w:b/>
                <w:bCs/>
                <w:sz w:val="16"/>
                <w:szCs w:val="16"/>
              </w:rPr>
            </w:pPr>
            <w:r w:rsidRPr="00FB3D74">
              <w:rPr>
                <w:rFonts w:cs="Arial"/>
                <w:b/>
                <w:bCs/>
                <w:sz w:val="16"/>
                <w:szCs w:val="16"/>
              </w:rPr>
              <w:t>Dependencia/Organismo</w:t>
            </w:r>
            <w:r w:rsidR="009946C0" w:rsidRPr="00FB3D74">
              <w:rPr>
                <w:rFonts w:cs="Arial"/>
                <w:b/>
                <w:bCs/>
                <w:sz w:val="16"/>
                <w:szCs w:val="16"/>
              </w:rPr>
              <w:t>.</w:t>
            </w:r>
          </w:p>
        </w:tc>
        <w:tc>
          <w:tcPr>
            <w:tcW w:w="4992" w:type="dxa"/>
            <w:shd w:val="clear" w:color="auto" w:fill="F2F2F2" w:themeFill="background1" w:themeFillShade="F2"/>
            <w:vAlign w:val="center"/>
          </w:tcPr>
          <w:p w14:paraId="052008B0" w14:textId="77777777" w:rsidR="004071CA" w:rsidRPr="00FB3D74" w:rsidRDefault="004071CA" w:rsidP="00942E95">
            <w:pPr>
              <w:tabs>
                <w:tab w:val="left" w:pos="397"/>
              </w:tabs>
              <w:rPr>
                <w:rFonts w:cs="Arial"/>
                <w:b/>
                <w:bCs/>
                <w:sz w:val="16"/>
                <w:szCs w:val="16"/>
              </w:rPr>
            </w:pPr>
            <w:r w:rsidRPr="00FB3D74">
              <w:rPr>
                <w:rFonts w:cs="Arial"/>
                <w:b/>
                <w:bCs/>
                <w:sz w:val="16"/>
                <w:szCs w:val="16"/>
              </w:rPr>
              <w:t>Secretaría de Planeación, Finanzas y Administración.</w:t>
            </w:r>
          </w:p>
        </w:tc>
      </w:tr>
      <w:tr w:rsidR="004071CA" w:rsidRPr="00FB3D74" w14:paraId="16A04689" w14:textId="77777777" w:rsidTr="00942E95">
        <w:trPr>
          <w:trHeight w:val="20"/>
        </w:trPr>
        <w:tc>
          <w:tcPr>
            <w:tcW w:w="3823" w:type="dxa"/>
            <w:shd w:val="clear" w:color="auto" w:fill="F2F2F2" w:themeFill="background1" w:themeFillShade="F2"/>
            <w:vAlign w:val="center"/>
          </w:tcPr>
          <w:p w14:paraId="6B0EED94" w14:textId="5644DE86" w:rsidR="004071CA" w:rsidRPr="00FB3D74" w:rsidRDefault="004071CA" w:rsidP="00942E95">
            <w:pPr>
              <w:rPr>
                <w:rFonts w:cs="Arial"/>
                <w:b/>
                <w:bCs/>
                <w:sz w:val="16"/>
                <w:szCs w:val="16"/>
              </w:rPr>
            </w:pPr>
            <w:r w:rsidRPr="00FB3D74">
              <w:rPr>
                <w:rFonts w:cs="Arial"/>
                <w:b/>
                <w:bCs/>
                <w:sz w:val="16"/>
                <w:szCs w:val="16"/>
              </w:rPr>
              <w:t>Objetivo Anual</w:t>
            </w:r>
            <w:r w:rsidR="009946C0" w:rsidRPr="00FB3D74">
              <w:rPr>
                <w:rFonts w:cs="Arial"/>
                <w:b/>
                <w:bCs/>
                <w:sz w:val="16"/>
                <w:szCs w:val="16"/>
              </w:rPr>
              <w:t>.</w:t>
            </w:r>
          </w:p>
        </w:tc>
        <w:tc>
          <w:tcPr>
            <w:tcW w:w="4992" w:type="dxa"/>
            <w:shd w:val="clear" w:color="auto" w:fill="F2F2F2" w:themeFill="background1" w:themeFillShade="F2"/>
            <w:vAlign w:val="center"/>
          </w:tcPr>
          <w:p w14:paraId="36BD48D8" w14:textId="77777777" w:rsidR="004071CA" w:rsidRPr="00FB3D74" w:rsidRDefault="004071CA" w:rsidP="00942E95">
            <w:pPr>
              <w:rPr>
                <w:rFonts w:cs="Arial"/>
                <w:sz w:val="16"/>
                <w:szCs w:val="16"/>
              </w:rPr>
            </w:pPr>
            <w:r w:rsidRPr="00FB3D74">
              <w:rPr>
                <w:rFonts w:cs="Arial"/>
                <w:sz w:val="16"/>
                <w:szCs w:val="16"/>
              </w:rPr>
              <w:t>La población de Colima cuenta con instrumentos de planeación, programación, monitoreo seguimiento y evaluación eficientes, transparentes y accesibles.</w:t>
            </w:r>
          </w:p>
        </w:tc>
      </w:tr>
      <w:tr w:rsidR="004071CA" w:rsidRPr="00FB3D74" w14:paraId="391E0F64" w14:textId="77777777" w:rsidTr="00942E95">
        <w:trPr>
          <w:trHeight w:val="20"/>
        </w:trPr>
        <w:tc>
          <w:tcPr>
            <w:tcW w:w="3823" w:type="dxa"/>
            <w:shd w:val="clear" w:color="auto" w:fill="F2F2F2" w:themeFill="background1" w:themeFillShade="F2"/>
            <w:vAlign w:val="center"/>
          </w:tcPr>
          <w:p w14:paraId="1DBEB4DD" w14:textId="77777777" w:rsidR="004071CA" w:rsidRPr="00FB3D74" w:rsidRDefault="004071CA" w:rsidP="009946C0">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382D3384" w14:textId="77777777" w:rsidR="004071CA" w:rsidRPr="00FB3D74" w:rsidRDefault="004071CA" w:rsidP="009946C0">
            <w:pPr>
              <w:jc w:val="center"/>
              <w:rPr>
                <w:rFonts w:cs="Arial"/>
                <w:sz w:val="16"/>
                <w:szCs w:val="16"/>
              </w:rPr>
            </w:pPr>
            <w:r w:rsidRPr="00FB3D74">
              <w:rPr>
                <w:rFonts w:cs="Arial"/>
                <w:b/>
                <w:bCs/>
                <w:sz w:val="16"/>
                <w:szCs w:val="16"/>
              </w:rPr>
              <w:t>Metas</w:t>
            </w:r>
          </w:p>
        </w:tc>
      </w:tr>
      <w:tr w:rsidR="004071CA" w:rsidRPr="00FB3D74" w14:paraId="48E56AD4" w14:textId="77777777" w:rsidTr="00942E95">
        <w:trPr>
          <w:trHeight w:val="20"/>
        </w:trPr>
        <w:tc>
          <w:tcPr>
            <w:tcW w:w="3823" w:type="dxa"/>
            <w:vAlign w:val="center"/>
          </w:tcPr>
          <w:p w14:paraId="51415142" w14:textId="117A2BF0" w:rsidR="004071CA" w:rsidRPr="00FB3D74" w:rsidRDefault="004071CA" w:rsidP="00942E95">
            <w:pPr>
              <w:rPr>
                <w:rFonts w:cs="Arial"/>
                <w:sz w:val="16"/>
                <w:szCs w:val="16"/>
              </w:rPr>
            </w:pPr>
            <w:r w:rsidRPr="00FB3D74">
              <w:rPr>
                <w:rFonts w:cs="Arial"/>
                <w:sz w:val="16"/>
                <w:szCs w:val="16"/>
              </w:rPr>
              <w:t>Conducción y Planeación para el desarrollo realizada</w:t>
            </w:r>
            <w:r w:rsidR="009946C0" w:rsidRPr="00FB3D74">
              <w:rPr>
                <w:rFonts w:cs="Arial"/>
                <w:sz w:val="16"/>
                <w:szCs w:val="16"/>
              </w:rPr>
              <w:t>.</w:t>
            </w:r>
          </w:p>
        </w:tc>
        <w:tc>
          <w:tcPr>
            <w:tcW w:w="4992" w:type="dxa"/>
            <w:vAlign w:val="center"/>
          </w:tcPr>
          <w:p w14:paraId="51D73A53" w14:textId="663D5F01" w:rsidR="004071CA" w:rsidRPr="00FB3D74" w:rsidRDefault="004071CA" w:rsidP="00942E95">
            <w:pPr>
              <w:rPr>
                <w:rFonts w:cs="Arial"/>
                <w:sz w:val="16"/>
                <w:szCs w:val="16"/>
              </w:rPr>
            </w:pPr>
            <w:r w:rsidRPr="00FB3D74">
              <w:rPr>
                <w:rFonts w:cs="Arial"/>
                <w:sz w:val="16"/>
                <w:szCs w:val="16"/>
              </w:rPr>
              <w:t xml:space="preserve">Mantener 86.22 por ciento de avance de cumplimiento de metas del </w:t>
            </w:r>
            <w:r w:rsidR="00567EAC" w:rsidRPr="00FB3D74">
              <w:rPr>
                <w:rFonts w:cs="Arial"/>
                <w:sz w:val="16"/>
                <w:szCs w:val="16"/>
              </w:rPr>
              <w:t>programa Operativo anual</w:t>
            </w:r>
            <w:r w:rsidRPr="00FB3D74">
              <w:rPr>
                <w:rFonts w:cs="Arial"/>
                <w:sz w:val="16"/>
                <w:szCs w:val="16"/>
              </w:rPr>
              <w:t>.</w:t>
            </w:r>
          </w:p>
        </w:tc>
      </w:tr>
      <w:tr w:rsidR="004071CA" w:rsidRPr="00FB3D74" w14:paraId="39E67FB6" w14:textId="77777777" w:rsidTr="00942E95">
        <w:trPr>
          <w:trHeight w:val="20"/>
        </w:trPr>
        <w:tc>
          <w:tcPr>
            <w:tcW w:w="3823" w:type="dxa"/>
            <w:vAlign w:val="center"/>
          </w:tcPr>
          <w:p w14:paraId="24401757" w14:textId="77777777" w:rsidR="004071CA" w:rsidRPr="00FB3D74" w:rsidRDefault="004071CA" w:rsidP="00942E95">
            <w:pPr>
              <w:rPr>
                <w:rFonts w:cs="Arial"/>
                <w:sz w:val="16"/>
                <w:szCs w:val="16"/>
              </w:rPr>
            </w:pPr>
            <w:r w:rsidRPr="00FB3D74">
              <w:rPr>
                <w:rFonts w:cs="Arial"/>
                <w:sz w:val="16"/>
                <w:szCs w:val="16"/>
              </w:rPr>
              <w:t>Gestión de proyectos realizada.</w:t>
            </w:r>
          </w:p>
        </w:tc>
        <w:tc>
          <w:tcPr>
            <w:tcW w:w="4992" w:type="dxa"/>
            <w:vAlign w:val="center"/>
          </w:tcPr>
          <w:p w14:paraId="49CC33A8" w14:textId="77777777" w:rsidR="004071CA" w:rsidRPr="00FB3D74" w:rsidRDefault="004071CA" w:rsidP="00942E95">
            <w:pPr>
              <w:rPr>
                <w:rFonts w:cs="Arial"/>
                <w:sz w:val="16"/>
                <w:szCs w:val="16"/>
              </w:rPr>
            </w:pPr>
            <w:r w:rsidRPr="00FB3D74">
              <w:rPr>
                <w:rFonts w:cs="Arial"/>
                <w:sz w:val="16"/>
                <w:szCs w:val="16"/>
              </w:rPr>
              <w:t>Integrar y publicar 1 cartera de proyectos de inversión anual.</w:t>
            </w:r>
          </w:p>
        </w:tc>
      </w:tr>
      <w:tr w:rsidR="004071CA" w:rsidRPr="00FB3D74" w14:paraId="09FA02A3" w14:textId="77777777" w:rsidTr="00942E95">
        <w:trPr>
          <w:trHeight w:val="20"/>
        </w:trPr>
        <w:tc>
          <w:tcPr>
            <w:tcW w:w="3823" w:type="dxa"/>
            <w:vAlign w:val="center"/>
          </w:tcPr>
          <w:p w14:paraId="5ABE2E20" w14:textId="77777777" w:rsidR="004071CA" w:rsidRPr="00FB3D74" w:rsidRDefault="004071CA" w:rsidP="00942E95">
            <w:pPr>
              <w:rPr>
                <w:rFonts w:cs="Arial"/>
                <w:sz w:val="16"/>
                <w:szCs w:val="16"/>
              </w:rPr>
            </w:pPr>
            <w:r w:rsidRPr="00FB3D74">
              <w:rPr>
                <w:rFonts w:cs="Arial"/>
                <w:sz w:val="16"/>
                <w:szCs w:val="16"/>
              </w:rPr>
              <w:t>Etapa de Programación, Seguimiento y evaluación de desempeño implementada.</w:t>
            </w:r>
          </w:p>
        </w:tc>
        <w:tc>
          <w:tcPr>
            <w:tcW w:w="4992" w:type="dxa"/>
            <w:vAlign w:val="center"/>
          </w:tcPr>
          <w:p w14:paraId="4CFC66A1" w14:textId="77777777" w:rsidR="004071CA" w:rsidRPr="00FB3D74" w:rsidRDefault="004071CA" w:rsidP="00942E95">
            <w:pPr>
              <w:rPr>
                <w:rFonts w:cs="Arial"/>
                <w:sz w:val="16"/>
                <w:szCs w:val="16"/>
              </w:rPr>
            </w:pPr>
            <w:r w:rsidRPr="00FB3D74">
              <w:rPr>
                <w:rFonts w:cs="Arial"/>
                <w:sz w:val="16"/>
                <w:szCs w:val="16"/>
              </w:rPr>
              <w:t xml:space="preserve">Mantener el 100 por ciento de avance en el apartado temático </w:t>
            </w:r>
            <w:proofErr w:type="spellStart"/>
            <w:r w:rsidRPr="00FB3D74">
              <w:rPr>
                <w:rFonts w:cs="Arial"/>
                <w:sz w:val="16"/>
                <w:szCs w:val="16"/>
              </w:rPr>
              <w:t>PbR</w:t>
            </w:r>
            <w:proofErr w:type="spellEnd"/>
            <w:r w:rsidRPr="00FB3D74">
              <w:rPr>
                <w:rFonts w:cs="Arial"/>
                <w:sz w:val="16"/>
                <w:szCs w:val="16"/>
              </w:rPr>
              <w:t>-SED del POA.</w:t>
            </w:r>
          </w:p>
        </w:tc>
      </w:tr>
      <w:tr w:rsidR="004071CA" w:rsidRPr="00FB3D74" w14:paraId="312535D5" w14:textId="77777777" w:rsidTr="00942E95">
        <w:trPr>
          <w:trHeight w:val="20"/>
        </w:trPr>
        <w:tc>
          <w:tcPr>
            <w:tcW w:w="3823" w:type="dxa"/>
            <w:shd w:val="clear" w:color="auto" w:fill="F2F2F2" w:themeFill="background1" w:themeFillShade="F2"/>
            <w:vAlign w:val="center"/>
          </w:tcPr>
          <w:p w14:paraId="5743DA04" w14:textId="16F449F7" w:rsidR="004071CA" w:rsidRPr="00FB3D74" w:rsidRDefault="004071CA" w:rsidP="00942E95">
            <w:pPr>
              <w:rPr>
                <w:rFonts w:cs="Arial"/>
                <w:b/>
                <w:bCs/>
                <w:sz w:val="16"/>
                <w:szCs w:val="16"/>
              </w:rPr>
            </w:pPr>
            <w:r w:rsidRPr="00FB3D74">
              <w:rPr>
                <w:rFonts w:cs="Arial"/>
                <w:b/>
                <w:bCs/>
                <w:sz w:val="16"/>
                <w:szCs w:val="16"/>
              </w:rPr>
              <w:t>Número de Programa Presupuestal</w:t>
            </w:r>
            <w:r w:rsidR="009946C0" w:rsidRPr="00FB3D74">
              <w:rPr>
                <w:rFonts w:cs="Arial"/>
                <w:b/>
                <w:bCs/>
                <w:sz w:val="16"/>
                <w:szCs w:val="16"/>
              </w:rPr>
              <w:t>.</w:t>
            </w:r>
          </w:p>
        </w:tc>
        <w:tc>
          <w:tcPr>
            <w:tcW w:w="4992" w:type="dxa"/>
            <w:shd w:val="clear" w:color="auto" w:fill="F2F2F2" w:themeFill="background1" w:themeFillShade="F2"/>
            <w:vAlign w:val="center"/>
          </w:tcPr>
          <w:p w14:paraId="610FAB23" w14:textId="5ECEBCBB" w:rsidR="004071CA" w:rsidRPr="00FB3D74" w:rsidRDefault="004071CA" w:rsidP="00942E95">
            <w:pPr>
              <w:rPr>
                <w:rFonts w:cs="Arial"/>
                <w:b/>
                <w:bCs/>
                <w:sz w:val="16"/>
                <w:szCs w:val="16"/>
              </w:rPr>
            </w:pPr>
            <w:r w:rsidRPr="00FB3D74">
              <w:rPr>
                <w:rFonts w:cs="Arial"/>
                <w:b/>
                <w:bCs/>
                <w:sz w:val="16"/>
                <w:szCs w:val="16"/>
              </w:rPr>
              <w:t>56</w:t>
            </w:r>
            <w:r w:rsidR="009946C0" w:rsidRPr="00FB3D74">
              <w:rPr>
                <w:rFonts w:cs="Arial"/>
                <w:b/>
                <w:bCs/>
                <w:sz w:val="16"/>
                <w:szCs w:val="16"/>
              </w:rPr>
              <w:t>.</w:t>
            </w:r>
          </w:p>
        </w:tc>
      </w:tr>
      <w:tr w:rsidR="004071CA" w:rsidRPr="00FB3D74" w14:paraId="057D0CDD" w14:textId="77777777" w:rsidTr="00942E95">
        <w:trPr>
          <w:trHeight w:val="20"/>
        </w:trPr>
        <w:tc>
          <w:tcPr>
            <w:tcW w:w="3823" w:type="dxa"/>
            <w:shd w:val="clear" w:color="auto" w:fill="F2F2F2" w:themeFill="background1" w:themeFillShade="F2"/>
            <w:vAlign w:val="center"/>
          </w:tcPr>
          <w:p w14:paraId="7B8EF73B" w14:textId="34C64FEA" w:rsidR="004071CA" w:rsidRPr="00FB3D74" w:rsidRDefault="004071CA" w:rsidP="00942E95">
            <w:pPr>
              <w:rPr>
                <w:rFonts w:cs="Arial"/>
                <w:b/>
                <w:bCs/>
                <w:sz w:val="16"/>
                <w:szCs w:val="16"/>
              </w:rPr>
            </w:pPr>
            <w:r w:rsidRPr="00FB3D74">
              <w:rPr>
                <w:rFonts w:cs="Arial"/>
                <w:b/>
                <w:bCs/>
                <w:sz w:val="16"/>
                <w:szCs w:val="16"/>
              </w:rPr>
              <w:t>Dependencia/Organismo</w:t>
            </w:r>
            <w:r w:rsidR="009946C0" w:rsidRPr="00FB3D74">
              <w:rPr>
                <w:rFonts w:cs="Arial"/>
                <w:b/>
                <w:bCs/>
                <w:sz w:val="16"/>
                <w:szCs w:val="16"/>
              </w:rPr>
              <w:t>.</w:t>
            </w:r>
          </w:p>
        </w:tc>
        <w:tc>
          <w:tcPr>
            <w:tcW w:w="4992" w:type="dxa"/>
            <w:shd w:val="clear" w:color="auto" w:fill="F2F2F2" w:themeFill="background1" w:themeFillShade="F2"/>
            <w:vAlign w:val="center"/>
          </w:tcPr>
          <w:p w14:paraId="36AF7DE2" w14:textId="77777777" w:rsidR="004071CA" w:rsidRPr="00FB3D74" w:rsidRDefault="004071CA" w:rsidP="00942E95">
            <w:pPr>
              <w:tabs>
                <w:tab w:val="left" w:pos="397"/>
              </w:tabs>
              <w:rPr>
                <w:rFonts w:cs="Arial"/>
                <w:b/>
                <w:bCs/>
                <w:sz w:val="16"/>
                <w:szCs w:val="16"/>
              </w:rPr>
            </w:pPr>
            <w:r w:rsidRPr="00FB3D74">
              <w:rPr>
                <w:rFonts w:cs="Arial"/>
                <w:b/>
                <w:bCs/>
                <w:sz w:val="16"/>
                <w:szCs w:val="16"/>
              </w:rPr>
              <w:t>Contraloría General del Estado.</w:t>
            </w:r>
          </w:p>
        </w:tc>
      </w:tr>
      <w:tr w:rsidR="004071CA" w:rsidRPr="00FB3D74" w14:paraId="321A31F8" w14:textId="77777777" w:rsidTr="00942E95">
        <w:trPr>
          <w:trHeight w:val="20"/>
        </w:trPr>
        <w:tc>
          <w:tcPr>
            <w:tcW w:w="3823" w:type="dxa"/>
            <w:shd w:val="clear" w:color="auto" w:fill="F2F2F2" w:themeFill="background1" w:themeFillShade="F2"/>
            <w:vAlign w:val="center"/>
          </w:tcPr>
          <w:p w14:paraId="296331E2" w14:textId="36F48CEA" w:rsidR="004071CA" w:rsidRPr="00FB3D74" w:rsidRDefault="004071CA" w:rsidP="00942E95">
            <w:pPr>
              <w:rPr>
                <w:rFonts w:cs="Arial"/>
                <w:b/>
                <w:bCs/>
                <w:sz w:val="16"/>
                <w:szCs w:val="16"/>
              </w:rPr>
            </w:pPr>
            <w:r w:rsidRPr="00FB3D74">
              <w:rPr>
                <w:rFonts w:cs="Arial"/>
                <w:b/>
                <w:bCs/>
                <w:sz w:val="16"/>
                <w:szCs w:val="16"/>
              </w:rPr>
              <w:lastRenderedPageBreak/>
              <w:t>Objetivo Anual</w:t>
            </w:r>
            <w:r w:rsidR="009946C0" w:rsidRPr="00FB3D74">
              <w:rPr>
                <w:rFonts w:cs="Arial"/>
                <w:b/>
                <w:bCs/>
                <w:sz w:val="16"/>
                <w:szCs w:val="16"/>
              </w:rPr>
              <w:t>.</w:t>
            </w:r>
          </w:p>
        </w:tc>
        <w:tc>
          <w:tcPr>
            <w:tcW w:w="4992" w:type="dxa"/>
            <w:shd w:val="clear" w:color="auto" w:fill="F2F2F2" w:themeFill="background1" w:themeFillShade="F2"/>
            <w:vAlign w:val="center"/>
          </w:tcPr>
          <w:p w14:paraId="5D7D7C66" w14:textId="53D82B49" w:rsidR="004071CA" w:rsidRPr="00FB3D74" w:rsidRDefault="004071CA" w:rsidP="00942E95">
            <w:pPr>
              <w:rPr>
                <w:rFonts w:cs="Arial"/>
                <w:sz w:val="16"/>
                <w:szCs w:val="16"/>
              </w:rPr>
            </w:pPr>
            <w:r w:rsidRPr="00FB3D74">
              <w:rPr>
                <w:rFonts w:cs="Arial"/>
                <w:sz w:val="16"/>
                <w:szCs w:val="16"/>
              </w:rPr>
              <w:t xml:space="preserve">Ser un organismo que, a través de un enfoque preventivo y garantista en derechos humanos, vigila el uso y la distribución de los recursos públicos y promueve la trasparencia y la rendición de cuentas en la </w:t>
            </w:r>
            <w:r w:rsidR="00567EAC" w:rsidRPr="00FB3D74">
              <w:rPr>
                <w:rFonts w:cs="Arial"/>
                <w:sz w:val="16"/>
                <w:szCs w:val="16"/>
              </w:rPr>
              <w:t>Administración Pública Estatal</w:t>
            </w:r>
            <w:r w:rsidRPr="00FB3D74">
              <w:rPr>
                <w:rFonts w:cs="Arial"/>
                <w:sz w:val="16"/>
                <w:szCs w:val="16"/>
              </w:rPr>
              <w:t>.</w:t>
            </w:r>
          </w:p>
        </w:tc>
      </w:tr>
      <w:tr w:rsidR="004071CA" w:rsidRPr="00FB3D74" w14:paraId="2F4AE663" w14:textId="77777777" w:rsidTr="00942E95">
        <w:trPr>
          <w:trHeight w:val="20"/>
        </w:trPr>
        <w:tc>
          <w:tcPr>
            <w:tcW w:w="3823" w:type="dxa"/>
            <w:shd w:val="clear" w:color="auto" w:fill="F2F2F2" w:themeFill="background1" w:themeFillShade="F2"/>
            <w:vAlign w:val="center"/>
          </w:tcPr>
          <w:p w14:paraId="31FBB390" w14:textId="77777777" w:rsidR="004071CA" w:rsidRPr="00FB3D74" w:rsidRDefault="004071CA" w:rsidP="009946C0">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20246532" w14:textId="77777777" w:rsidR="004071CA" w:rsidRPr="00FB3D74" w:rsidRDefault="004071CA" w:rsidP="009946C0">
            <w:pPr>
              <w:jc w:val="center"/>
              <w:rPr>
                <w:rFonts w:cs="Arial"/>
                <w:sz w:val="16"/>
                <w:szCs w:val="16"/>
              </w:rPr>
            </w:pPr>
            <w:r w:rsidRPr="00FB3D74">
              <w:rPr>
                <w:rFonts w:cs="Arial"/>
                <w:b/>
                <w:bCs/>
                <w:sz w:val="16"/>
                <w:szCs w:val="16"/>
              </w:rPr>
              <w:t>Metas</w:t>
            </w:r>
          </w:p>
        </w:tc>
      </w:tr>
      <w:tr w:rsidR="004071CA" w:rsidRPr="00FB3D74" w14:paraId="65C772F1" w14:textId="77777777" w:rsidTr="00942E95">
        <w:trPr>
          <w:trHeight w:val="20"/>
        </w:trPr>
        <w:tc>
          <w:tcPr>
            <w:tcW w:w="3823" w:type="dxa"/>
            <w:vAlign w:val="center"/>
          </w:tcPr>
          <w:p w14:paraId="677538C8" w14:textId="77777777" w:rsidR="004071CA" w:rsidRPr="00FB3D74" w:rsidRDefault="004071CA" w:rsidP="00942E95">
            <w:pPr>
              <w:rPr>
                <w:rFonts w:cs="Arial"/>
                <w:sz w:val="16"/>
                <w:szCs w:val="16"/>
              </w:rPr>
            </w:pPr>
            <w:r w:rsidRPr="00FB3D74">
              <w:rPr>
                <w:rFonts w:cs="Arial"/>
                <w:sz w:val="16"/>
                <w:szCs w:val="16"/>
              </w:rPr>
              <w:t>Ejercicio y aplicación eficiente y transparente de recursos públicos por parte de las dependencias y entidades ejecutoras.</w:t>
            </w:r>
          </w:p>
        </w:tc>
        <w:tc>
          <w:tcPr>
            <w:tcW w:w="4992" w:type="dxa"/>
            <w:vAlign w:val="center"/>
          </w:tcPr>
          <w:p w14:paraId="1710422D" w14:textId="27016DB5" w:rsidR="004071CA" w:rsidRPr="00FB3D74" w:rsidRDefault="004071CA" w:rsidP="00942E95">
            <w:pPr>
              <w:rPr>
                <w:rFonts w:cs="Arial"/>
                <w:sz w:val="16"/>
                <w:szCs w:val="16"/>
              </w:rPr>
            </w:pPr>
            <w:r w:rsidRPr="00FB3D74">
              <w:rPr>
                <w:rFonts w:cs="Arial"/>
                <w:sz w:val="16"/>
                <w:szCs w:val="16"/>
              </w:rPr>
              <w:t>Cumplir con el 100 por ciento (1</w:t>
            </w:r>
            <w:r w:rsidR="00567EAC" w:rsidRPr="00FB3D74">
              <w:rPr>
                <w:rFonts w:cs="Arial"/>
                <w:sz w:val="16"/>
                <w:szCs w:val="16"/>
              </w:rPr>
              <w:t>,</w:t>
            </w:r>
            <w:r w:rsidRPr="00FB3D74">
              <w:rPr>
                <w:rFonts w:cs="Arial"/>
                <w:sz w:val="16"/>
                <w:szCs w:val="16"/>
              </w:rPr>
              <w:t>647) de las actividades programadas para el ejercicio 2025.</w:t>
            </w:r>
          </w:p>
        </w:tc>
      </w:tr>
      <w:tr w:rsidR="004071CA" w:rsidRPr="00FB3D74" w14:paraId="1B89F1FD" w14:textId="77777777" w:rsidTr="00942E95">
        <w:trPr>
          <w:trHeight w:val="20"/>
        </w:trPr>
        <w:tc>
          <w:tcPr>
            <w:tcW w:w="3823" w:type="dxa"/>
            <w:vAlign w:val="center"/>
          </w:tcPr>
          <w:p w14:paraId="2F91630A" w14:textId="77777777" w:rsidR="004071CA" w:rsidRPr="00FB3D74" w:rsidRDefault="004071CA" w:rsidP="00942E95">
            <w:pPr>
              <w:rPr>
                <w:rFonts w:cs="Arial"/>
                <w:sz w:val="16"/>
                <w:szCs w:val="16"/>
              </w:rPr>
            </w:pPr>
            <w:r w:rsidRPr="00FB3D74">
              <w:rPr>
                <w:rFonts w:cs="Arial"/>
                <w:sz w:val="16"/>
                <w:szCs w:val="16"/>
              </w:rPr>
              <w:t>Atribuciones y normatividad interna de los servidores públicos cumplidos.</w:t>
            </w:r>
          </w:p>
        </w:tc>
        <w:tc>
          <w:tcPr>
            <w:tcW w:w="4992" w:type="dxa"/>
            <w:vAlign w:val="center"/>
          </w:tcPr>
          <w:p w14:paraId="77914827" w14:textId="77777777" w:rsidR="004071CA" w:rsidRPr="00FB3D74" w:rsidRDefault="004071CA" w:rsidP="00942E95">
            <w:pPr>
              <w:rPr>
                <w:rFonts w:cs="Arial"/>
                <w:sz w:val="16"/>
                <w:szCs w:val="16"/>
              </w:rPr>
            </w:pPr>
            <w:r w:rsidRPr="00FB3D74">
              <w:rPr>
                <w:rFonts w:cs="Arial"/>
                <w:sz w:val="16"/>
                <w:szCs w:val="16"/>
              </w:rPr>
              <w:t>Cumplir con el 100 por ciento (192) de las atribuciones programadas para el ejercicio 2025.</w:t>
            </w:r>
          </w:p>
        </w:tc>
      </w:tr>
      <w:tr w:rsidR="004071CA" w:rsidRPr="00FB3D74" w14:paraId="6780B86A" w14:textId="77777777" w:rsidTr="00942E95">
        <w:trPr>
          <w:trHeight w:val="20"/>
        </w:trPr>
        <w:tc>
          <w:tcPr>
            <w:tcW w:w="3823" w:type="dxa"/>
            <w:vAlign w:val="center"/>
          </w:tcPr>
          <w:p w14:paraId="16152718" w14:textId="33327A7A" w:rsidR="004071CA" w:rsidRPr="00FB3D74" w:rsidRDefault="004071CA" w:rsidP="00942E95">
            <w:pPr>
              <w:rPr>
                <w:rFonts w:cs="Arial"/>
                <w:sz w:val="16"/>
                <w:szCs w:val="16"/>
              </w:rPr>
            </w:pPr>
            <w:r w:rsidRPr="00FB3D74">
              <w:rPr>
                <w:rFonts w:cs="Arial"/>
                <w:sz w:val="16"/>
                <w:szCs w:val="16"/>
              </w:rPr>
              <w:t xml:space="preserve">Gestión para el cumplimiento del marco legal nacional e internacional en materia de prevención de la corrupción y control interno en </w:t>
            </w:r>
            <w:r w:rsidR="00567EAC" w:rsidRPr="00FB3D74">
              <w:rPr>
                <w:rFonts w:cs="Arial"/>
                <w:sz w:val="16"/>
                <w:szCs w:val="16"/>
              </w:rPr>
              <w:t xml:space="preserve">Dependencias </w:t>
            </w:r>
            <w:r w:rsidRPr="00FB3D74">
              <w:rPr>
                <w:rFonts w:cs="Arial"/>
                <w:sz w:val="16"/>
                <w:szCs w:val="16"/>
              </w:rPr>
              <w:t xml:space="preserve">y </w:t>
            </w:r>
            <w:r w:rsidR="00567EAC" w:rsidRPr="00FB3D74">
              <w:rPr>
                <w:rFonts w:cs="Arial"/>
                <w:sz w:val="16"/>
                <w:szCs w:val="16"/>
              </w:rPr>
              <w:t>Entidades.</w:t>
            </w:r>
          </w:p>
        </w:tc>
        <w:tc>
          <w:tcPr>
            <w:tcW w:w="4992" w:type="dxa"/>
            <w:vAlign w:val="center"/>
          </w:tcPr>
          <w:p w14:paraId="44896F54" w14:textId="77777777" w:rsidR="004071CA" w:rsidRPr="00FB3D74" w:rsidRDefault="004071CA" w:rsidP="00942E95">
            <w:pPr>
              <w:rPr>
                <w:rFonts w:cs="Arial"/>
                <w:sz w:val="16"/>
                <w:szCs w:val="16"/>
              </w:rPr>
            </w:pPr>
            <w:r w:rsidRPr="00FB3D74">
              <w:rPr>
                <w:rFonts w:cs="Arial"/>
                <w:sz w:val="16"/>
                <w:szCs w:val="16"/>
              </w:rPr>
              <w:t>Cumplir con el 100 por ciento (126) de las actividades programadas para el ejercicio 2025.</w:t>
            </w:r>
          </w:p>
        </w:tc>
      </w:tr>
      <w:tr w:rsidR="004071CA" w:rsidRPr="00FB3D74" w14:paraId="5ACB66C6" w14:textId="77777777" w:rsidTr="00942E95">
        <w:trPr>
          <w:trHeight w:val="20"/>
        </w:trPr>
        <w:tc>
          <w:tcPr>
            <w:tcW w:w="3823" w:type="dxa"/>
            <w:vAlign w:val="center"/>
          </w:tcPr>
          <w:p w14:paraId="502F9E9D" w14:textId="03D30215" w:rsidR="004071CA" w:rsidRPr="00FB3D74" w:rsidRDefault="004071CA" w:rsidP="00942E95">
            <w:pPr>
              <w:rPr>
                <w:rFonts w:cs="Arial"/>
                <w:sz w:val="16"/>
                <w:szCs w:val="16"/>
              </w:rPr>
            </w:pPr>
            <w:r w:rsidRPr="00FB3D74">
              <w:rPr>
                <w:rFonts w:cs="Arial"/>
                <w:sz w:val="16"/>
                <w:szCs w:val="16"/>
              </w:rPr>
              <w:t xml:space="preserve">Información pública accesible a la ciudadanía a través del </w:t>
            </w:r>
            <w:r w:rsidR="00567EAC" w:rsidRPr="00FB3D74">
              <w:rPr>
                <w:rFonts w:cs="Arial"/>
                <w:sz w:val="16"/>
                <w:szCs w:val="16"/>
              </w:rPr>
              <w:t xml:space="preserve">Portal </w:t>
            </w:r>
            <w:r w:rsidRPr="00FB3D74">
              <w:rPr>
                <w:rFonts w:cs="Arial"/>
                <w:sz w:val="16"/>
                <w:szCs w:val="16"/>
              </w:rPr>
              <w:t xml:space="preserve">de </w:t>
            </w:r>
            <w:r w:rsidR="00567EAC" w:rsidRPr="00FB3D74">
              <w:rPr>
                <w:rFonts w:cs="Arial"/>
                <w:sz w:val="16"/>
                <w:szCs w:val="16"/>
              </w:rPr>
              <w:t xml:space="preserve">Transparencia </w:t>
            </w:r>
            <w:r w:rsidRPr="00FB3D74">
              <w:rPr>
                <w:rFonts w:cs="Arial"/>
                <w:sz w:val="16"/>
                <w:szCs w:val="16"/>
              </w:rPr>
              <w:t>de la Contraloría General.</w:t>
            </w:r>
          </w:p>
        </w:tc>
        <w:tc>
          <w:tcPr>
            <w:tcW w:w="4992" w:type="dxa"/>
            <w:vAlign w:val="center"/>
          </w:tcPr>
          <w:p w14:paraId="4DE4BA49" w14:textId="77777777" w:rsidR="004071CA" w:rsidRPr="00FB3D74" w:rsidRDefault="004071CA" w:rsidP="00942E95">
            <w:pPr>
              <w:rPr>
                <w:rFonts w:cs="Arial"/>
                <w:sz w:val="16"/>
                <w:szCs w:val="16"/>
              </w:rPr>
            </w:pPr>
            <w:r w:rsidRPr="00FB3D74">
              <w:rPr>
                <w:rFonts w:cs="Arial"/>
                <w:sz w:val="16"/>
                <w:szCs w:val="16"/>
              </w:rPr>
              <w:t>Cumplir con el 100 por ciento (11) de las cargas programadas para el ejercicio 2025.</w:t>
            </w:r>
          </w:p>
        </w:tc>
      </w:tr>
      <w:tr w:rsidR="004071CA" w:rsidRPr="00FB3D74" w14:paraId="36917595" w14:textId="77777777" w:rsidTr="00942E95">
        <w:trPr>
          <w:trHeight w:val="20"/>
        </w:trPr>
        <w:tc>
          <w:tcPr>
            <w:tcW w:w="3823" w:type="dxa"/>
            <w:vAlign w:val="center"/>
          </w:tcPr>
          <w:p w14:paraId="4832951E" w14:textId="77777777" w:rsidR="004071CA" w:rsidRPr="00FB3D74" w:rsidRDefault="004071CA" w:rsidP="00942E95">
            <w:pPr>
              <w:rPr>
                <w:rFonts w:cs="Arial"/>
                <w:sz w:val="16"/>
                <w:szCs w:val="16"/>
              </w:rPr>
            </w:pPr>
            <w:r w:rsidRPr="00FB3D74">
              <w:rPr>
                <w:rFonts w:cs="Arial"/>
                <w:sz w:val="16"/>
                <w:szCs w:val="16"/>
              </w:rPr>
              <w:t>Sistema Nacional de Fiscalización y el Sistema Estatal Anticorrupción implementado.</w:t>
            </w:r>
          </w:p>
        </w:tc>
        <w:tc>
          <w:tcPr>
            <w:tcW w:w="4992" w:type="dxa"/>
            <w:vAlign w:val="center"/>
          </w:tcPr>
          <w:p w14:paraId="578F7BE9" w14:textId="77777777" w:rsidR="004071CA" w:rsidRPr="00FB3D74" w:rsidRDefault="004071CA" w:rsidP="00942E95">
            <w:pPr>
              <w:rPr>
                <w:rFonts w:cs="Arial"/>
                <w:sz w:val="16"/>
                <w:szCs w:val="16"/>
              </w:rPr>
            </w:pPr>
            <w:r w:rsidRPr="00FB3D74">
              <w:rPr>
                <w:rFonts w:cs="Arial"/>
                <w:sz w:val="16"/>
                <w:szCs w:val="16"/>
              </w:rPr>
              <w:t>Cumplir con el 100 por ciento (3) de las actividades programadas para el ejercicio 2025.</w:t>
            </w:r>
          </w:p>
        </w:tc>
      </w:tr>
      <w:tr w:rsidR="004071CA" w:rsidRPr="00FB3D74" w14:paraId="64CA22B3" w14:textId="77777777" w:rsidTr="00942E95">
        <w:trPr>
          <w:trHeight w:val="20"/>
        </w:trPr>
        <w:tc>
          <w:tcPr>
            <w:tcW w:w="3823" w:type="dxa"/>
            <w:shd w:val="clear" w:color="auto" w:fill="F2F2F2" w:themeFill="background1" w:themeFillShade="F2"/>
            <w:vAlign w:val="center"/>
          </w:tcPr>
          <w:p w14:paraId="0558AA1A" w14:textId="0F621F88" w:rsidR="004071CA" w:rsidRPr="00FB3D74" w:rsidRDefault="004071CA" w:rsidP="00942E95">
            <w:pPr>
              <w:rPr>
                <w:rFonts w:cs="Arial"/>
                <w:b/>
                <w:bCs/>
                <w:sz w:val="16"/>
                <w:szCs w:val="16"/>
              </w:rPr>
            </w:pPr>
            <w:r w:rsidRPr="00FB3D74">
              <w:rPr>
                <w:rFonts w:cs="Arial"/>
                <w:b/>
                <w:bCs/>
                <w:sz w:val="16"/>
                <w:szCs w:val="16"/>
              </w:rPr>
              <w:t>Número de Programa Presupuestal</w:t>
            </w:r>
            <w:r w:rsidR="002D59F3" w:rsidRPr="00FB3D74">
              <w:rPr>
                <w:rFonts w:cs="Arial"/>
                <w:b/>
                <w:bCs/>
                <w:sz w:val="16"/>
                <w:szCs w:val="16"/>
              </w:rPr>
              <w:t>.</w:t>
            </w:r>
          </w:p>
        </w:tc>
        <w:tc>
          <w:tcPr>
            <w:tcW w:w="4992" w:type="dxa"/>
            <w:shd w:val="clear" w:color="auto" w:fill="F2F2F2" w:themeFill="background1" w:themeFillShade="F2"/>
            <w:vAlign w:val="center"/>
          </w:tcPr>
          <w:p w14:paraId="35825A2C" w14:textId="1550BC31" w:rsidR="004071CA" w:rsidRPr="00FB3D74" w:rsidRDefault="004071CA" w:rsidP="00942E95">
            <w:pPr>
              <w:rPr>
                <w:rFonts w:cs="Arial"/>
                <w:b/>
                <w:bCs/>
                <w:sz w:val="16"/>
                <w:szCs w:val="16"/>
              </w:rPr>
            </w:pPr>
            <w:r w:rsidRPr="00FB3D74">
              <w:rPr>
                <w:rFonts w:cs="Arial"/>
                <w:b/>
                <w:bCs/>
                <w:sz w:val="16"/>
                <w:szCs w:val="16"/>
              </w:rPr>
              <w:t>63</w:t>
            </w:r>
            <w:r w:rsidR="002D59F3" w:rsidRPr="00FB3D74">
              <w:rPr>
                <w:rFonts w:cs="Arial"/>
                <w:b/>
                <w:bCs/>
                <w:sz w:val="16"/>
                <w:szCs w:val="16"/>
              </w:rPr>
              <w:t>.</w:t>
            </w:r>
          </w:p>
        </w:tc>
      </w:tr>
      <w:tr w:rsidR="004071CA" w:rsidRPr="00FB3D74" w14:paraId="738D13AD" w14:textId="77777777" w:rsidTr="00942E95">
        <w:trPr>
          <w:trHeight w:val="20"/>
        </w:trPr>
        <w:tc>
          <w:tcPr>
            <w:tcW w:w="3823" w:type="dxa"/>
            <w:shd w:val="clear" w:color="auto" w:fill="F2F2F2" w:themeFill="background1" w:themeFillShade="F2"/>
            <w:vAlign w:val="center"/>
          </w:tcPr>
          <w:p w14:paraId="39A20944" w14:textId="42606E96" w:rsidR="004071CA" w:rsidRPr="00FB3D74" w:rsidRDefault="004071CA" w:rsidP="00942E95">
            <w:pPr>
              <w:rPr>
                <w:rFonts w:cs="Arial"/>
                <w:b/>
                <w:bCs/>
                <w:sz w:val="16"/>
                <w:szCs w:val="16"/>
              </w:rPr>
            </w:pPr>
            <w:r w:rsidRPr="00FB3D74">
              <w:rPr>
                <w:rFonts w:cs="Arial"/>
                <w:b/>
                <w:bCs/>
                <w:sz w:val="16"/>
                <w:szCs w:val="16"/>
              </w:rPr>
              <w:t>Dependencia/Organismo</w:t>
            </w:r>
            <w:r w:rsidR="002D59F3" w:rsidRPr="00FB3D74">
              <w:rPr>
                <w:rFonts w:cs="Arial"/>
                <w:b/>
                <w:bCs/>
                <w:sz w:val="16"/>
                <w:szCs w:val="16"/>
              </w:rPr>
              <w:t>.</w:t>
            </w:r>
          </w:p>
        </w:tc>
        <w:tc>
          <w:tcPr>
            <w:tcW w:w="4992" w:type="dxa"/>
            <w:shd w:val="clear" w:color="auto" w:fill="F2F2F2" w:themeFill="background1" w:themeFillShade="F2"/>
            <w:vAlign w:val="center"/>
          </w:tcPr>
          <w:p w14:paraId="184A402F" w14:textId="77777777" w:rsidR="004071CA" w:rsidRPr="00FB3D74" w:rsidRDefault="004071CA" w:rsidP="00942E95">
            <w:pPr>
              <w:tabs>
                <w:tab w:val="left" w:pos="397"/>
              </w:tabs>
              <w:rPr>
                <w:rFonts w:cs="Arial"/>
                <w:b/>
                <w:bCs/>
                <w:sz w:val="16"/>
                <w:szCs w:val="16"/>
              </w:rPr>
            </w:pPr>
            <w:r w:rsidRPr="00FB3D74">
              <w:rPr>
                <w:rFonts w:cs="Arial"/>
                <w:b/>
                <w:bCs/>
                <w:sz w:val="16"/>
                <w:szCs w:val="16"/>
              </w:rPr>
              <w:t>Secretaría de Educación y Cultura.</w:t>
            </w:r>
          </w:p>
        </w:tc>
      </w:tr>
      <w:tr w:rsidR="004071CA" w:rsidRPr="00FB3D74" w14:paraId="4B13B589" w14:textId="77777777" w:rsidTr="00942E95">
        <w:trPr>
          <w:trHeight w:val="20"/>
        </w:trPr>
        <w:tc>
          <w:tcPr>
            <w:tcW w:w="3823" w:type="dxa"/>
            <w:shd w:val="clear" w:color="auto" w:fill="F2F2F2" w:themeFill="background1" w:themeFillShade="F2"/>
            <w:vAlign w:val="center"/>
          </w:tcPr>
          <w:p w14:paraId="0638D46E" w14:textId="087F4397" w:rsidR="004071CA" w:rsidRPr="00FB3D74" w:rsidRDefault="004071CA" w:rsidP="00942E95">
            <w:pPr>
              <w:rPr>
                <w:rFonts w:cs="Arial"/>
                <w:b/>
                <w:bCs/>
                <w:sz w:val="16"/>
                <w:szCs w:val="16"/>
              </w:rPr>
            </w:pPr>
            <w:r w:rsidRPr="00FB3D74">
              <w:rPr>
                <w:rFonts w:cs="Arial"/>
                <w:b/>
                <w:bCs/>
                <w:sz w:val="16"/>
                <w:szCs w:val="16"/>
              </w:rPr>
              <w:t>Objetivo Anual</w:t>
            </w:r>
            <w:r w:rsidR="002D59F3" w:rsidRPr="00FB3D74">
              <w:rPr>
                <w:rFonts w:cs="Arial"/>
                <w:b/>
                <w:bCs/>
                <w:sz w:val="16"/>
                <w:szCs w:val="16"/>
              </w:rPr>
              <w:t>.</w:t>
            </w:r>
          </w:p>
        </w:tc>
        <w:tc>
          <w:tcPr>
            <w:tcW w:w="4992" w:type="dxa"/>
            <w:shd w:val="clear" w:color="auto" w:fill="F2F2F2" w:themeFill="background1" w:themeFillShade="F2"/>
            <w:vAlign w:val="center"/>
          </w:tcPr>
          <w:p w14:paraId="4D3A27BF" w14:textId="77777777" w:rsidR="004071CA" w:rsidRPr="00FB3D74" w:rsidRDefault="004071CA" w:rsidP="00942E95">
            <w:pPr>
              <w:rPr>
                <w:rFonts w:cs="Arial"/>
                <w:sz w:val="16"/>
                <w:szCs w:val="16"/>
              </w:rPr>
            </w:pPr>
            <w:r w:rsidRPr="00FB3D74">
              <w:rPr>
                <w:rFonts w:cs="Arial"/>
                <w:sz w:val="16"/>
                <w:szCs w:val="16"/>
              </w:rPr>
              <w:t>Los alumnos de 0 días a 14 años cuentan con servicios de calidad, inclusivos y equitativos.</w:t>
            </w:r>
          </w:p>
        </w:tc>
      </w:tr>
      <w:tr w:rsidR="004071CA" w:rsidRPr="00FB3D74" w14:paraId="33871F93" w14:textId="77777777" w:rsidTr="00942E95">
        <w:trPr>
          <w:trHeight w:val="20"/>
        </w:trPr>
        <w:tc>
          <w:tcPr>
            <w:tcW w:w="3823" w:type="dxa"/>
            <w:shd w:val="clear" w:color="auto" w:fill="F2F2F2" w:themeFill="background1" w:themeFillShade="F2"/>
            <w:vAlign w:val="center"/>
          </w:tcPr>
          <w:p w14:paraId="4E2818DE" w14:textId="77777777" w:rsidR="004071CA" w:rsidRPr="00FB3D74" w:rsidRDefault="004071CA" w:rsidP="002D59F3">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734EDD27" w14:textId="77777777" w:rsidR="004071CA" w:rsidRPr="00FB3D74" w:rsidRDefault="004071CA" w:rsidP="002D59F3">
            <w:pPr>
              <w:jc w:val="center"/>
              <w:rPr>
                <w:rFonts w:cs="Arial"/>
                <w:sz w:val="16"/>
                <w:szCs w:val="16"/>
              </w:rPr>
            </w:pPr>
            <w:r w:rsidRPr="00FB3D74">
              <w:rPr>
                <w:rFonts w:cs="Arial"/>
                <w:b/>
                <w:bCs/>
                <w:sz w:val="16"/>
                <w:szCs w:val="16"/>
              </w:rPr>
              <w:t>Metas</w:t>
            </w:r>
          </w:p>
        </w:tc>
      </w:tr>
      <w:tr w:rsidR="004071CA" w:rsidRPr="00FB3D74" w14:paraId="7E4EFF7A" w14:textId="77777777" w:rsidTr="00942E95">
        <w:trPr>
          <w:trHeight w:val="20"/>
        </w:trPr>
        <w:tc>
          <w:tcPr>
            <w:tcW w:w="3823" w:type="dxa"/>
            <w:vAlign w:val="center"/>
          </w:tcPr>
          <w:p w14:paraId="61D30E5C" w14:textId="77777777" w:rsidR="004071CA" w:rsidRPr="00FB3D74" w:rsidRDefault="004071CA" w:rsidP="00942E95">
            <w:pPr>
              <w:rPr>
                <w:rFonts w:cs="Arial"/>
                <w:sz w:val="16"/>
                <w:szCs w:val="16"/>
              </w:rPr>
            </w:pPr>
            <w:r w:rsidRPr="00FB3D74">
              <w:rPr>
                <w:rFonts w:cs="Arial"/>
                <w:sz w:val="16"/>
                <w:szCs w:val="16"/>
              </w:rPr>
              <w:t>Programa de expansión de educación inicial implementado.</w:t>
            </w:r>
          </w:p>
        </w:tc>
        <w:tc>
          <w:tcPr>
            <w:tcW w:w="4992" w:type="dxa"/>
            <w:vAlign w:val="center"/>
          </w:tcPr>
          <w:p w14:paraId="78DAD5F5" w14:textId="264A5477" w:rsidR="004071CA" w:rsidRPr="00FB3D74" w:rsidRDefault="004071CA" w:rsidP="00942E95">
            <w:pPr>
              <w:rPr>
                <w:rFonts w:cs="Arial"/>
                <w:sz w:val="16"/>
                <w:szCs w:val="16"/>
              </w:rPr>
            </w:pPr>
            <w:r w:rsidRPr="00FB3D74">
              <w:rPr>
                <w:rFonts w:cs="Arial"/>
                <w:sz w:val="16"/>
                <w:szCs w:val="16"/>
              </w:rPr>
              <w:t>Número de niños y niñas de 0 días a 2 años 11 meses atendidos con los servicios de educación inicial (2</w:t>
            </w:r>
            <w:r w:rsidR="00AD1107" w:rsidRPr="00FB3D74">
              <w:rPr>
                <w:rFonts w:cs="Arial"/>
                <w:sz w:val="16"/>
                <w:szCs w:val="16"/>
              </w:rPr>
              <w:t>,</w:t>
            </w:r>
            <w:r w:rsidRPr="00FB3D74">
              <w:rPr>
                <w:rFonts w:cs="Arial"/>
                <w:sz w:val="16"/>
                <w:szCs w:val="16"/>
              </w:rPr>
              <w:t>766).</w:t>
            </w:r>
          </w:p>
        </w:tc>
      </w:tr>
      <w:tr w:rsidR="004071CA" w:rsidRPr="00FB3D74" w14:paraId="363B037C" w14:textId="77777777" w:rsidTr="00942E95">
        <w:trPr>
          <w:trHeight w:val="20"/>
        </w:trPr>
        <w:tc>
          <w:tcPr>
            <w:tcW w:w="3823" w:type="dxa"/>
            <w:vAlign w:val="center"/>
          </w:tcPr>
          <w:p w14:paraId="37ABE5AE" w14:textId="77777777" w:rsidR="004071CA" w:rsidRPr="00FB3D74" w:rsidRDefault="004071CA" w:rsidP="00942E95">
            <w:pPr>
              <w:rPr>
                <w:rFonts w:cs="Arial"/>
                <w:sz w:val="16"/>
                <w:szCs w:val="16"/>
              </w:rPr>
            </w:pPr>
            <w:r w:rsidRPr="00FB3D74">
              <w:rPr>
                <w:rFonts w:cs="Arial"/>
                <w:sz w:val="16"/>
                <w:szCs w:val="16"/>
              </w:rPr>
              <w:t>Servicios de educación especial, que atienden a alumnado con discapacidad y aptitudes sobresalientes que enfrentan barreras para el aprendizaje y la participación en educación básica, fortalecidos.</w:t>
            </w:r>
          </w:p>
        </w:tc>
        <w:tc>
          <w:tcPr>
            <w:tcW w:w="4992" w:type="dxa"/>
            <w:vAlign w:val="center"/>
          </w:tcPr>
          <w:p w14:paraId="58970F83" w14:textId="1ED16B68" w:rsidR="004071CA" w:rsidRPr="00FB3D74" w:rsidRDefault="004071CA" w:rsidP="00942E95">
            <w:pPr>
              <w:rPr>
                <w:rFonts w:cs="Arial"/>
                <w:sz w:val="16"/>
                <w:szCs w:val="16"/>
              </w:rPr>
            </w:pPr>
            <w:r w:rsidRPr="00FB3D74">
              <w:rPr>
                <w:rFonts w:cs="Arial"/>
                <w:sz w:val="16"/>
                <w:szCs w:val="16"/>
              </w:rPr>
              <w:t>Número de servicios de educación especial atendidos (94).</w:t>
            </w:r>
          </w:p>
        </w:tc>
      </w:tr>
      <w:tr w:rsidR="004071CA" w:rsidRPr="00FB3D74" w14:paraId="3B07DCBA" w14:textId="77777777" w:rsidTr="00942E95">
        <w:trPr>
          <w:trHeight w:val="20"/>
        </w:trPr>
        <w:tc>
          <w:tcPr>
            <w:tcW w:w="3823" w:type="dxa"/>
            <w:vAlign w:val="center"/>
          </w:tcPr>
          <w:p w14:paraId="11017F4C" w14:textId="77777777" w:rsidR="004071CA" w:rsidRPr="00FB3D74" w:rsidRDefault="004071CA" w:rsidP="00942E95">
            <w:pPr>
              <w:rPr>
                <w:rFonts w:cs="Arial"/>
                <w:sz w:val="16"/>
                <w:szCs w:val="16"/>
              </w:rPr>
            </w:pPr>
            <w:r w:rsidRPr="00FB3D74">
              <w:rPr>
                <w:rFonts w:cs="Arial"/>
                <w:sz w:val="16"/>
                <w:szCs w:val="16"/>
              </w:rPr>
              <w:t>Servicios de Misiones Culturales proporcionados a jóvenes y adultos.</w:t>
            </w:r>
          </w:p>
        </w:tc>
        <w:tc>
          <w:tcPr>
            <w:tcW w:w="4992" w:type="dxa"/>
            <w:vAlign w:val="center"/>
          </w:tcPr>
          <w:p w14:paraId="017D3286" w14:textId="519786B1" w:rsidR="004071CA" w:rsidRPr="00FB3D74" w:rsidRDefault="004071CA" w:rsidP="00942E95">
            <w:pPr>
              <w:rPr>
                <w:rFonts w:cs="Arial"/>
                <w:sz w:val="16"/>
                <w:szCs w:val="16"/>
              </w:rPr>
            </w:pPr>
            <w:r w:rsidRPr="00FB3D74">
              <w:rPr>
                <w:rFonts w:cs="Arial"/>
                <w:sz w:val="16"/>
                <w:szCs w:val="16"/>
              </w:rPr>
              <w:t>Número de jóvenes y adultos atendidos en el año (8</w:t>
            </w:r>
            <w:r w:rsidR="00AD1107" w:rsidRPr="00FB3D74">
              <w:rPr>
                <w:rFonts w:cs="Arial"/>
                <w:sz w:val="16"/>
                <w:szCs w:val="16"/>
              </w:rPr>
              <w:t>,</w:t>
            </w:r>
            <w:r w:rsidRPr="00FB3D74">
              <w:rPr>
                <w:rFonts w:cs="Arial"/>
                <w:sz w:val="16"/>
                <w:szCs w:val="16"/>
              </w:rPr>
              <w:t>960).</w:t>
            </w:r>
          </w:p>
        </w:tc>
      </w:tr>
      <w:tr w:rsidR="004071CA" w:rsidRPr="00FB3D74" w14:paraId="7BF2689A" w14:textId="77777777" w:rsidTr="00942E95">
        <w:trPr>
          <w:trHeight w:val="20"/>
        </w:trPr>
        <w:tc>
          <w:tcPr>
            <w:tcW w:w="3823" w:type="dxa"/>
            <w:vAlign w:val="center"/>
          </w:tcPr>
          <w:p w14:paraId="37AB9F31" w14:textId="77777777" w:rsidR="004071CA" w:rsidRPr="00FB3D74" w:rsidRDefault="004071CA" w:rsidP="00942E95">
            <w:pPr>
              <w:rPr>
                <w:rFonts w:cs="Arial"/>
                <w:sz w:val="16"/>
                <w:szCs w:val="16"/>
              </w:rPr>
            </w:pPr>
            <w:r w:rsidRPr="00FB3D74">
              <w:rPr>
                <w:rFonts w:cs="Arial"/>
                <w:sz w:val="16"/>
                <w:szCs w:val="16"/>
              </w:rPr>
              <w:t>Servicios proporcionados por los Centros de Educación extraescolar (CEDEX) a jóvenes y adultos.</w:t>
            </w:r>
          </w:p>
        </w:tc>
        <w:tc>
          <w:tcPr>
            <w:tcW w:w="4992" w:type="dxa"/>
            <w:vAlign w:val="center"/>
          </w:tcPr>
          <w:p w14:paraId="4E06F504" w14:textId="7DD2FA01" w:rsidR="004071CA" w:rsidRPr="00FB3D74" w:rsidRDefault="004071CA" w:rsidP="00942E95">
            <w:pPr>
              <w:rPr>
                <w:rFonts w:cs="Arial"/>
                <w:sz w:val="16"/>
                <w:szCs w:val="16"/>
              </w:rPr>
            </w:pPr>
            <w:r w:rsidRPr="00FB3D74">
              <w:rPr>
                <w:rFonts w:cs="Arial"/>
                <w:sz w:val="16"/>
                <w:szCs w:val="16"/>
              </w:rPr>
              <w:t>Número de jóvenes y adultos atendidos en los Centros de Educación Extraescolar en el año (1</w:t>
            </w:r>
            <w:r w:rsidR="00AD1107" w:rsidRPr="00FB3D74">
              <w:rPr>
                <w:rFonts w:cs="Arial"/>
                <w:sz w:val="16"/>
                <w:szCs w:val="16"/>
              </w:rPr>
              <w:t>,</w:t>
            </w:r>
            <w:r w:rsidRPr="00FB3D74">
              <w:rPr>
                <w:rFonts w:cs="Arial"/>
                <w:sz w:val="16"/>
                <w:szCs w:val="16"/>
              </w:rPr>
              <w:t>650).</w:t>
            </w:r>
          </w:p>
        </w:tc>
      </w:tr>
      <w:tr w:rsidR="004071CA" w:rsidRPr="00FB3D74" w14:paraId="0819F92E" w14:textId="77777777" w:rsidTr="00942E95">
        <w:trPr>
          <w:trHeight w:val="20"/>
        </w:trPr>
        <w:tc>
          <w:tcPr>
            <w:tcW w:w="3823" w:type="dxa"/>
            <w:vAlign w:val="center"/>
          </w:tcPr>
          <w:p w14:paraId="1DA3C718" w14:textId="77777777" w:rsidR="004071CA" w:rsidRPr="00FB3D74" w:rsidRDefault="004071CA" w:rsidP="00942E95">
            <w:pPr>
              <w:rPr>
                <w:rFonts w:cs="Arial"/>
                <w:sz w:val="16"/>
                <w:szCs w:val="16"/>
              </w:rPr>
            </w:pPr>
            <w:r w:rsidRPr="00FB3D74">
              <w:rPr>
                <w:rFonts w:cs="Arial"/>
                <w:sz w:val="16"/>
                <w:szCs w:val="16"/>
              </w:rPr>
              <w:t>Incentivos del programa E3 (Arraigo del maestro en el medio rural) proporcionados a los docentes.</w:t>
            </w:r>
          </w:p>
        </w:tc>
        <w:tc>
          <w:tcPr>
            <w:tcW w:w="4992" w:type="dxa"/>
            <w:vAlign w:val="center"/>
          </w:tcPr>
          <w:p w14:paraId="2F19B3F8" w14:textId="243AF10F" w:rsidR="004071CA" w:rsidRPr="00FB3D74" w:rsidRDefault="004071CA" w:rsidP="00942E95">
            <w:pPr>
              <w:rPr>
                <w:rFonts w:cs="Arial"/>
                <w:sz w:val="16"/>
                <w:szCs w:val="16"/>
              </w:rPr>
            </w:pPr>
            <w:r w:rsidRPr="00FB3D74">
              <w:rPr>
                <w:rFonts w:cs="Arial"/>
                <w:sz w:val="16"/>
                <w:szCs w:val="16"/>
              </w:rPr>
              <w:t>Número de docentes incentivados con E3 (105).</w:t>
            </w:r>
          </w:p>
        </w:tc>
      </w:tr>
      <w:tr w:rsidR="004071CA" w:rsidRPr="00FB3D74" w14:paraId="0090EA37" w14:textId="77777777" w:rsidTr="00942E95">
        <w:trPr>
          <w:trHeight w:val="20"/>
        </w:trPr>
        <w:tc>
          <w:tcPr>
            <w:tcW w:w="3823" w:type="dxa"/>
            <w:vAlign w:val="center"/>
          </w:tcPr>
          <w:p w14:paraId="67790325" w14:textId="77777777" w:rsidR="004071CA" w:rsidRPr="00FB3D74" w:rsidRDefault="004071CA" w:rsidP="00942E95">
            <w:pPr>
              <w:rPr>
                <w:rFonts w:cs="Arial"/>
                <w:sz w:val="16"/>
                <w:szCs w:val="16"/>
              </w:rPr>
            </w:pPr>
            <w:r w:rsidRPr="00FB3D74">
              <w:rPr>
                <w:rFonts w:cs="Arial"/>
                <w:sz w:val="16"/>
                <w:szCs w:val="16"/>
              </w:rPr>
              <w:t>Servicios de educación básica proporcionados por el programa Atención educativa a niñas, niños y adolescentes hijos de jornaleros agrícolas migrantes.</w:t>
            </w:r>
          </w:p>
        </w:tc>
        <w:tc>
          <w:tcPr>
            <w:tcW w:w="4992" w:type="dxa"/>
            <w:vAlign w:val="center"/>
          </w:tcPr>
          <w:p w14:paraId="287A8D71" w14:textId="7F2FC857" w:rsidR="004071CA" w:rsidRPr="00FB3D74" w:rsidRDefault="004071CA" w:rsidP="00942E95">
            <w:pPr>
              <w:rPr>
                <w:rFonts w:cs="Arial"/>
                <w:sz w:val="16"/>
                <w:szCs w:val="16"/>
              </w:rPr>
            </w:pPr>
            <w:r w:rsidRPr="00FB3D74">
              <w:rPr>
                <w:rFonts w:cs="Arial"/>
                <w:sz w:val="16"/>
                <w:szCs w:val="16"/>
              </w:rPr>
              <w:t xml:space="preserve">Número de niñas, niños y adolescentes atendidos (500). </w:t>
            </w:r>
          </w:p>
        </w:tc>
      </w:tr>
      <w:tr w:rsidR="004071CA" w:rsidRPr="00FB3D74" w14:paraId="4F357071" w14:textId="77777777" w:rsidTr="00942E95">
        <w:trPr>
          <w:trHeight w:val="20"/>
        </w:trPr>
        <w:tc>
          <w:tcPr>
            <w:tcW w:w="3823" w:type="dxa"/>
            <w:shd w:val="clear" w:color="auto" w:fill="F2F2F2" w:themeFill="background1" w:themeFillShade="F2"/>
            <w:vAlign w:val="center"/>
          </w:tcPr>
          <w:p w14:paraId="5276025E" w14:textId="55507074" w:rsidR="004071CA" w:rsidRPr="00FB3D74" w:rsidRDefault="004071CA" w:rsidP="00942E95">
            <w:pPr>
              <w:rPr>
                <w:rFonts w:cs="Arial"/>
                <w:b/>
                <w:bCs/>
                <w:sz w:val="16"/>
                <w:szCs w:val="16"/>
              </w:rPr>
            </w:pPr>
            <w:r w:rsidRPr="00FB3D74">
              <w:rPr>
                <w:rFonts w:cs="Arial"/>
                <w:b/>
                <w:bCs/>
                <w:sz w:val="16"/>
                <w:szCs w:val="16"/>
              </w:rPr>
              <w:t>Número de Programa Presupuestal</w:t>
            </w:r>
            <w:r w:rsidR="002D59F3" w:rsidRPr="00FB3D74">
              <w:rPr>
                <w:rFonts w:cs="Arial"/>
                <w:b/>
                <w:bCs/>
                <w:sz w:val="16"/>
                <w:szCs w:val="16"/>
              </w:rPr>
              <w:t>.</w:t>
            </w:r>
          </w:p>
        </w:tc>
        <w:tc>
          <w:tcPr>
            <w:tcW w:w="4992" w:type="dxa"/>
            <w:shd w:val="clear" w:color="auto" w:fill="F2F2F2" w:themeFill="background1" w:themeFillShade="F2"/>
            <w:vAlign w:val="center"/>
          </w:tcPr>
          <w:p w14:paraId="1445A772" w14:textId="5C9CAC1D" w:rsidR="004071CA" w:rsidRPr="00FB3D74" w:rsidRDefault="004071CA" w:rsidP="00942E95">
            <w:pPr>
              <w:rPr>
                <w:rFonts w:cs="Arial"/>
                <w:b/>
                <w:bCs/>
                <w:sz w:val="16"/>
                <w:szCs w:val="16"/>
              </w:rPr>
            </w:pPr>
            <w:r w:rsidRPr="00FB3D74">
              <w:rPr>
                <w:rFonts w:cs="Arial"/>
                <w:b/>
                <w:bCs/>
                <w:sz w:val="16"/>
                <w:szCs w:val="16"/>
              </w:rPr>
              <w:t>64</w:t>
            </w:r>
            <w:r w:rsidR="002D59F3" w:rsidRPr="00FB3D74">
              <w:rPr>
                <w:rFonts w:cs="Arial"/>
                <w:b/>
                <w:bCs/>
                <w:sz w:val="16"/>
                <w:szCs w:val="16"/>
              </w:rPr>
              <w:t>.</w:t>
            </w:r>
          </w:p>
        </w:tc>
      </w:tr>
      <w:tr w:rsidR="004071CA" w:rsidRPr="00FB3D74" w14:paraId="41F835BA" w14:textId="77777777" w:rsidTr="00942E95">
        <w:trPr>
          <w:trHeight w:val="20"/>
        </w:trPr>
        <w:tc>
          <w:tcPr>
            <w:tcW w:w="3823" w:type="dxa"/>
            <w:shd w:val="clear" w:color="auto" w:fill="F2F2F2" w:themeFill="background1" w:themeFillShade="F2"/>
            <w:vAlign w:val="center"/>
          </w:tcPr>
          <w:p w14:paraId="50278973" w14:textId="09F6E504" w:rsidR="004071CA" w:rsidRPr="00FB3D74" w:rsidRDefault="004071CA" w:rsidP="00942E95">
            <w:pPr>
              <w:rPr>
                <w:rFonts w:cs="Arial"/>
                <w:b/>
                <w:bCs/>
                <w:sz w:val="16"/>
                <w:szCs w:val="16"/>
              </w:rPr>
            </w:pPr>
            <w:r w:rsidRPr="00FB3D74">
              <w:rPr>
                <w:rFonts w:cs="Arial"/>
                <w:b/>
                <w:bCs/>
                <w:sz w:val="16"/>
                <w:szCs w:val="16"/>
              </w:rPr>
              <w:t>Dependencia/Organismo</w:t>
            </w:r>
            <w:r w:rsidR="002D59F3" w:rsidRPr="00FB3D74">
              <w:rPr>
                <w:rFonts w:cs="Arial"/>
                <w:b/>
                <w:bCs/>
                <w:sz w:val="16"/>
                <w:szCs w:val="16"/>
              </w:rPr>
              <w:t>.</w:t>
            </w:r>
          </w:p>
        </w:tc>
        <w:tc>
          <w:tcPr>
            <w:tcW w:w="4992" w:type="dxa"/>
            <w:shd w:val="clear" w:color="auto" w:fill="F2F2F2" w:themeFill="background1" w:themeFillShade="F2"/>
            <w:vAlign w:val="center"/>
          </w:tcPr>
          <w:p w14:paraId="17D0D7EC" w14:textId="77777777" w:rsidR="004071CA" w:rsidRPr="00FB3D74" w:rsidRDefault="004071CA" w:rsidP="00942E95">
            <w:pPr>
              <w:tabs>
                <w:tab w:val="left" w:pos="397"/>
              </w:tabs>
              <w:rPr>
                <w:rFonts w:cs="Arial"/>
                <w:b/>
                <w:bCs/>
                <w:sz w:val="16"/>
                <w:szCs w:val="16"/>
              </w:rPr>
            </w:pPr>
            <w:r w:rsidRPr="00FB3D74">
              <w:rPr>
                <w:rFonts w:cs="Arial"/>
                <w:b/>
                <w:bCs/>
                <w:sz w:val="16"/>
                <w:szCs w:val="16"/>
              </w:rPr>
              <w:t>Secretaría de Educación y Cultura.</w:t>
            </w:r>
          </w:p>
        </w:tc>
      </w:tr>
      <w:tr w:rsidR="004071CA" w:rsidRPr="00FB3D74" w14:paraId="1DEE1269" w14:textId="77777777" w:rsidTr="00942E95">
        <w:trPr>
          <w:trHeight w:val="20"/>
        </w:trPr>
        <w:tc>
          <w:tcPr>
            <w:tcW w:w="3823" w:type="dxa"/>
            <w:shd w:val="clear" w:color="auto" w:fill="F2F2F2" w:themeFill="background1" w:themeFillShade="F2"/>
            <w:vAlign w:val="center"/>
          </w:tcPr>
          <w:p w14:paraId="6A31F4DD" w14:textId="5FBC79E2" w:rsidR="004071CA" w:rsidRPr="00FB3D74" w:rsidRDefault="004071CA" w:rsidP="00942E95">
            <w:pPr>
              <w:rPr>
                <w:rFonts w:cs="Arial"/>
                <w:b/>
                <w:bCs/>
                <w:sz w:val="16"/>
                <w:szCs w:val="16"/>
              </w:rPr>
            </w:pPr>
            <w:r w:rsidRPr="00FB3D74">
              <w:rPr>
                <w:rFonts w:cs="Arial"/>
                <w:b/>
                <w:bCs/>
                <w:sz w:val="16"/>
                <w:szCs w:val="16"/>
              </w:rPr>
              <w:t>Objetivo Anual</w:t>
            </w:r>
            <w:r w:rsidR="002D59F3" w:rsidRPr="00FB3D74">
              <w:rPr>
                <w:rFonts w:cs="Arial"/>
                <w:b/>
                <w:bCs/>
                <w:sz w:val="16"/>
                <w:szCs w:val="16"/>
              </w:rPr>
              <w:t>.</w:t>
            </w:r>
          </w:p>
        </w:tc>
        <w:tc>
          <w:tcPr>
            <w:tcW w:w="4992" w:type="dxa"/>
            <w:shd w:val="clear" w:color="auto" w:fill="F2F2F2" w:themeFill="background1" w:themeFillShade="F2"/>
            <w:vAlign w:val="center"/>
          </w:tcPr>
          <w:p w14:paraId="198BA964" w14:textId="77777777" w:rsidR="004071CA" w:rsidRPr="00FB3D74" w:rsidRDefault="004071CA" w:rsidP="00942E95">
            <w:pPr>
              <w:rPr>
                <w:rFonts w:cs="Arial"/>
                <w:sz w:val="16"/>
                <w:szCs w:val="16"/>
              </w:rPr>
            </w:pPr>
            <w:r w:rsidRPr="00FB3D74">
              <w:rPr>
                <w:rFonts w:cs="Arial"/>
                <w:sz w:val="16"/>
                <w:szCs w:val="16"/>
              </w:rPr>
              <w:t>Alumnos del Estado de Colima inscritos en Educación Básica cuentan con un servicio educativo eficiente y de calidad.</w:t>
            </w:r>
          </w:p>
        </w:tc>
      </w:tr>
      <w:tr w:rsidR="004071CA" w:rsidRPr="00FB3D74" w14:paraId="50548D22" w14:textId="77777777" w:rsidTr="00942E95">
        <w:trPr>
          <w:trHeight w:val="20"/>
        </w:trPr>
        <w:tc>
          <w:tcPr>
            <w:tcW w:w="3823" w:type="dxa"/>
            <w:shd w:val="clear" w:color="auto" w:fill="F2F2F2" w:themeFill="background1" w:themeFillShade="F2"/>
            <w:vAlign w:val="center"/>
          </w:tcPr>
          <w:p w14:paraId="5144F8A5" w14:textId="77777777" w:rsidR="004071CA" w:rsidRPr="00FB3D74" w:rsidRDefault="004071CA" w:rsidP="002D59F3">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5E03BC1D" w14:textId="77777777" w:rsidR="004071CA" w:rsidRPr="00FB3D74" w:rsidRDefault="004071CA" w:rsidP="002D59F3">
            <w:pPr>
              <w:jc w:val="center"/>
              <w:rPr>
                <w:rFonts w:cs="Arial"/>
                <w:sz w:val="16"/>
                <w:szCs w:val="16"/>
              </w:rPr>
            </w:pPr>
            <w:r w:rsidRPr="00FB3D74">
              <w:rPr>
                <w:rFonts w:cs="Arial"/>
                <w:b/>
                <w:bCs/>
                <w:sz w:val="16"/>
                <w:szCs w:val="16"/>
              </w:rPr>
              <w:t>Metas</w:t>
            </w:r>
          </w:p>
        </w:tc>
      </w:tr>
      <w:tr w:rsidR="004071CA" w:rsidRPr="00FB3D74" w14:paraId="1D686B6C" w14:textId="77777777" w:rsidTr="00942E95">
        <w:trPr>
          <w:trHeight w:val="20"/>
        </w:trPr>
        <w:tc>
          <w:tcPr>
            <w:tcW w:w="3823" w:type="dxa"/>
            <w:vAlign w:val="center"/>
            <w:hideMark/>
          </w:tcPr>
          <w:p w14:paraId="56B74112" w14:textId="6A0A9E89" w:rsidR="004071CA" w:rsidRPr="00FB3D74" w:rsidRDefault="004071CA" w:rsidP="00942E95">
            <w:pPr>
              <w:rPr>
                <w:rFonts w:cs="Arial"/>
                <w:sz w:val="16"/>
                <w:szCs w:val="16"/>
              </w:rPr>
            </w:pPr>
            <w:r w:rsidRPr="00FB3D74">
              <w:rPr>
                <w:rFonts w:cs="Arial"/>
                <w:sz w:val="16"/>
                <w:szCs w:val="16"/>
              </w:rPr>
              <w:t xml:space="preserve">Procesos de Formación Continua ofertados a figuras educativas de </w:t>
            </w:r>
            <w:r w:rsidR="00AD1107" w:rsidRPr="00FB3D74">
              <w:rPr>
                <w:rFonts w:cs="Arial"/>
                <w:sz w:val="16"/>
                <w:szCs w:val="16"/>
              </w:rPr>
              <w:t xml:space="preserve">Educación Básica </w:t>
            </w:r>
            <w:r w:rsidRPr="00FB3D74">
              <w:rPr>
                <w:rFonts w:cs="Arial"/>
                <w:sz w:val="16"/>
                <w:szCs w:val="16"/>
              </w:rPr>
              <w:t>pública.</w:t>
            </w:r>
          </w:p>
        </w:tc>
        <w:tc>
          <w:tcPr>
            <w:tcW w:w="4992" w:type="dxa"/>
            <w:vAlign w:val="center"/>
            <w:hideMark/>
          </w:tcPr>
          <w:p w14:paraId="4F4822B5" w14:textId="3EB47214" w:rsidR="004071CA" w:rsidRPr="00FB3D74" w:rsidRDefault="004071CA" w:rsidP="00942E95">
            <w:pPr>
              <w:rPr>
                <w:rFonts w:cs="Arial"/>
                <w:sz w:val="16"/>
                <w:szCs w:val="16"/>
              </w:rPr>
            </w:pPr>
            <w:r w:rsidRPr="00FB3D74">
              <w:rPr>
                <w:rFonts w:cs="Arial"/>
                <w:sz w:val="16"/>
                <w:szCs w:val="16"/>
              </w:rPr>
              <w:t>Número de talleres, cursos, diplomados implementados (30).</w:t>
            </w:r>
          </w:p>
        </w:tc>
      </w:tr>
      <w:tr w:rsidR="004071CA" w:rsidRPr="00FB3D74" w14:paraId="09993E0D" w14:textId="77777777" w:rsidTr="00942E95">
        <w:trPr>
          <w:trHeight w:val="20"/>
        </w:trPr>
        <w:tc>
          <w:tcPr>
            <w:tcW w:w="3823" w:type="dxa"/>
            <w:vAlign w:val="center"/>
            <w:hideMark/>
          </w:tcPr>
          <w:p w14:paraId="49EDD6C4" w14:textId="7C7333DF" w:rsidR="004071CA" w:rsidRPr="00FB3D74" w:rsidRDefault="004071CA" w:rsidP="00942E95">
            <w:pPr>
              <w:rPr>
                <w:rFonts w:cs="Arial"/>
                <w:sz w:val="16"/>
                <w:szCs w:val="16"/>
              </w:rPr>
            </w:pPr>
            <w:r w:rsidRPr="00FB3D74">
              <w:rPr>
                <w:rFonts w:cs="Arial"/>
                <w:sz w:val="16"/>
                <w:szCs w:val="16"/>
              </w:rPr>
              <w:t xml:space="preserve">Programa </w:t>
            </w:r>
            <w:r w:rsidR="00F531F5" w:rsidRPr="00FB3D74">
              <w:rPr>
                <w:rFonts w:cs="Arial"/>
                <w:sz w:val="16"/>
                <w:szCs w:val="16"/>
              </w:rPr>
              <w:t xml:space="preserve">Nacional </w:t>
            </w:r>
            <w:r w:rsidRPr="00FB3D74">
              <w:rPr>
                <w:rFonts w:cs="Arial"/>
                <w:sz w:val="16"/>
                <w:szCs w:val="16"/>
              </w:rPr>
              <w:t xml:space="preserve">de </w:t>
            </w:r>
            <w:r w:rsidR="00F531F5" w:rsidRPr="00FB3D74">
              <w:rPr>
                <w:rFonts w:cs="Arial"/>
                <w:sz w:val="16"/>
                <w:szCs w:val="16"/>
              </w:rPr>
              <w:t xml:space="preserve">Inglés </w:t>
            </w:r>
            <w:r w:rsidRPr="00FB3D74">
              <w:rPr>
                <w:rFonts w:cs="Arial"/>
                <w:sz w:val="16"/>
                <w:szCs w:val="16"/>
              </w:rPr>
              <w:t>(PRONI) implementado.</w:t>
            </w:r>
          </w:p>
        </w:tc>
        <w:tc>
          <w:tcPr>
            <w:tcW w:w="4992" w:type="dxa"/>
            <w:vAlign w:val="center"/>
            <w:hideMark/>
          </w:tcPr>
          <w:p w14:paraId="4454F073" w14:textId="176AB7AC" w:rsidR="004071CA" w:rsidRPr="00FB3D74" w:rsidRDefault="004071CA" w:rsidP="00942E95">
            <w:pPr>
              <w:rPr>
                <w:rFonts w:cs="Arial"/>
                <w:sz w:val="16"/>
                <w:szCs w:val="16"/>
              </w:rPr>
            </w:pPr>
            <w:r w:rsidRPr="00FB3D74">
              <w:rPr>
                <w:rFonts w:cs="Arial"/>
                <w:sz w:val="16"/>
                <w:szCs w:val="16"/>
              </w:rPr>
              <w:t>Número de escuelas seleccionadas (290</w:t>
            </w:r>
            <w:r w:rsidR="002D59F3" w:rsidRPr="00FB3D74">
              <w:rPr>
                <w:rFonts w:cs="Arial"/>
                <w:sz w:val="16"/>
                <w:szCs w:val="16"/>
              </w:rPr>
              <w:t>)</w:t>
            </w:r>
            <w:r w:rsidRPr="00FB3D74">
              <w:rPr>
                <w:rFonts w:cs="Arial"/>
                <w:sz w:val="16"/>
                <w:szCs w:val="16"/>
              </w:rPr>
              <w:t>.</w:t>
            </w:r>
          </w:p>
        </w:tc>
      </w:tr>
      <w:tr w:rsidR="004071CA" w:rsidRPr="00FB3D74" w14:paraId="40AD6335" w14:textId="77777777" w:rsidTr="00942E95">
        <w:trPr>
          <w:trHeight w:val="20"/>
        </w:trPr>
        <w:tc>
          <w:tcPr>
            <w:tcW w:w="3823" w:type="dxa"/>
            <w:vAlign w:val="center"/>
            <w:hideMark/>
          </w:tcPr>
          <w:p w14:paraId="56EE3D22" w14:textId="67080D6F" w:rsidR="004071CA" w:rsidRPr="00FB3D74" w:rsidRDefault="004071CA" w:rsidP="00942E95">
            <w:pPr>
              <w:rPr>
                <w:rFonts w:cs="Arial"/>
                <w:sz w:val="16"/>
                <w:szCs w:val="16"/>
              </w:rPr>
            </w:pPr>
            <w:r w:rsidRPr="00FB3D74">
              <w:rPr>
                <w:rFonts w:cs="Arial"/>
                <w:sz w:val="16"/>
                <w:szCs w:val="16"/>
              </w:rPr>
              <w:t xml:space="preserve">Servicios de </w:t>
            </w:r>
            <w:r w:rsidR="00AD1107" w:rsidRPr="00FB3D74">
              <w:rPr>
                <w:rFonts w:cs="Arial"/>
                <w:sz w:val="16"/>
                <w:szCs w:val="16"/>
              </w:rPr>
              <w:t xml:space="preserve">Educación Preescolar </w:t>
            </w:r>
            <w:r w:rsidRPr="00FB3D74">
              <w:rPr>
                <w:rFonts w:cs="Arial"/>
                <w:sz w:val="16"/>
                <w:szCs w:val="16"/>
              </w:rPr>
              <w:t>con sostenimiento federal transferido proporcionado.</w:t>
            </w:r>
          </w:p>
        </w:tc>
        <w:tc>
          <w:tcPr>
            <w:tcW w:w="4992" w:type="dxa"/>
            <w:vAlign w:val="center"/>
            <w:hideMark/>
          </w:tcPr>
          <w:p w14:paraId="0CAC14FA" w14:textId="5C91C000" w:rsidR="004071CA" w:rsidRPr="00FB3D74" w:rsidRDefault="004071CA" w:rsidP="00942E95">
            <w:pPr>
              <w:rPr>
                <w:rFonts w:cs="Arial"/>
                <w:sz w:val="16"/>
                <w:szCs w:val="16"/>
              </w:rPr>
            </w:pPr>
            <w:r w:rsidRPr="00FB3D74">
              <w:rPr>
                <w:rFonts w:cs="Arial"/>
                <w:sz w:val="16"/>
                <w:szCs w:val="16"/>
              </w:rPr>
              <w:t>Número de niños atendidos de 3 a 5 años de edad (14,400).</w:t>
            </w:r>
          </w:p>
        </w:tc>
      </w:tr>
      <w:tr w:rsidR="004071CA" w:rsidRPr="00FB3D74" w14:paraId="28416514" w14:textId="77777777" w:rsidTr="00942E95">
        <w:trPr>
          <w:trHeight w:val="20"/>
        </w:trPr>
        <w:tc>
          <w:tcPr>
            <w:tcW w:w="3823" w:type="dxa"/>
            <w:vAlign w:val="center"/>
            <w:hideMark/>
          </w:tcPr>
          <w:p w14:paraId="56C3BE6C" w14:textId="77777777" w:rsidR="004071CA" w:rsidRPr="00FB3D74" w:rsidRDefault="004071CA" w:rsidP="00942E95">
            <w:pPr>
              <w:rPr>
                <w:rFonts w:cs="Arial"/>
                <w:sz w:val="16"/>
                <w:szCs w:val="16"/>
              </w:rPr>
            </w:pPr>
            <w:r w:rsidRPr="00FB3D74">
              <w:rPr>
                <w:rFonts w:cs="Arial"/>
                <w:sz w:val="16"/>
                <w:szCs w:val="16"/>
              </w:rPr>
              <w:t>Servicio del nivel de secundaria, subnivel secundaria general, con sostenimiento federal transferido proporcionado a niños(as).</w:t>
            </w:r>
          </w:p>
        </w:tc>
        <w:tc>
          <w:tcPr>
            <w:tcW w:w="4992" w:type="dxa"/>
            <w:vAlign w:val="center"/>
            <w:hideMark/>
          </w:tcPr>
          <w:p w14:paraId="2E6D0ABB" w14:textId="12F253EF" w:rsidR="004071CA" w:rsidRPr="00FB3D74" w:rsidRDefault="004071CA" w:rsidP="00942E95">
            <w:pPr>
              <w:rPr>
                <w:rFonts w:cs="Arial"/>
                <w:sz w:val="16"/>
                <w:szCs w:val="16"/>
              </w:rPr>
            </w:pPr>
            <w:r w:rsidRPr="00FB3D74">
              <w:rPr>
                <w:rFonts w:cs="Arial"/>
                <w:sz w:val="16"/>
                <w:szCs w:val="16"/>
              </w:rPr>
              <w:t xml:space="preserve">Número de alumnos/as de </w:t>
            </w:r>
            <w:r w:rsidR="00AD1107" w:rsidRPr="00FB3D74">
              <w:rPr>
                <w:rFonts w:cs="Arial"/>
                <w:sz w:val="16"/>
                <w:szCs w:val="16"/>
              </w:rPr>
              <w:t xml:space="preserve">Educación Secundaria General </w:t>
            </w:r>
            <w:r w:rsidRPr="00FB3D74">
              <w:rPr>
                <w:rFonts w:cs="Arial"/>
                <w:sz w:val="16"/>
                <w:szCs w:val="16"/>
              </w:rPr>
              <w:t>con sostenimiento federal transferido atendidos (14,574).</w:t>
            </w:r>
          </w:p>
        </w:tc>
      </w:tr>
      <w:tr w:rsidR="004071CA" w:rsidRPr="00FB3D74" w14:paraId="1BDD76F6" w14:textId="77777777" w:rsidTr="00942E95">
        <w:trPr>
          <w:trHeight w:val="20"/>
        </w:trPr>
        <w:tc>
          <w:tcPr>
            <w:tcW w:w="3823" w:type="dxa"/>
            <w:vAlign w:val="center"/>
            <w:hideMark/>
          </w:tcPr>
          <w:p w14:paraId="6FCF6C21" w14:textId="77777777" w:rsidR="004071CA" w:rsidRPr="00FB3D74" w:rsidRDefault="004071CA" w:rsidP="00942E95">
            <w:pPr>
              <w:rPr>
                <w:rFonts w:cs="Arial"/>
                <w:sz w:val="16"/>
                <w:szCs w:val="16"/>
              </w:rPr>
            </w:pPr>
            <w:r w:rsidRPr="00FB3D74">
              <w:rPr>
                <w:rFonts w:cs="Arial"/>
                <w:sz w:val="16"/>
                <w:szCs w:val="16"/>
              </w:rPr>
              <w:lastRenderedPageBreak/>
              <w:t>Servicio del nivel de secundaria, subnivel secundaria técnica, con sostenimiento federal transferido, proporcionado a niños(as).</w:t>
            </w:r>
          </w:p>
        </w:tc>
        <w:tc>
          <w:tcPr>
            <w:tcW w:w="4992" w:type="dxa"/>
            <w:vAlign w:val="center"/>
            <w:hideMark/>
          </w:tcPr>
          <w:p w14:paraId="03743337" w14:textId="729E1BDB" w:rsidR="004071CA" w:rsidRPr="00FB3D74" w:rsidRDefault="004071CA" w:rsidP="00942E95">
            <w:pPr>
              <w:rPr>
                <w:rFonts w:cs="Arial"/>
                <w:sz w:val="16"/>
                <w:szCs w:val="16"/>
              </w:rPr>
            </w:pPr>
            <w:r w:rsidRPr="00FB3D74">
              <w:rPr>
                <w:rFonts w:cs="Arial"/>
                <w:sz w:val="16"/>
                <w:szCs w:val="16"/>
              </w:rPr>
              <w:t xml:space="preserve">Número de alumnos/as de </w:t>
            </w:r>
            <w:r w:rsidR="00AD1107" w:rsidRPr="00FB3D74">
              <w:rPr>
                <w:rFonts w:cs="Arial"/>
                <w:sz w:val="16"/>
                <w:szCs w:val="16"/>
              </w:rPr>
              <w:t xml:space="preserve">Educación Secundaria Técnica </w:t>
            </w:r>
            <w:r w:rsidRPr="00FB3D74">
              <w:rPr>
                <w:rFonts w:cs="Arial"/>
                <w:sz w:val="16"/>
                <w:szCs w:val="16"/>
              </w:rPr>
              <w:t>con sostenimiento federal transferido atendidos.</w:t>
            </w:r>
          </w:p>
        </w:tc>
      </w:tr>
      <w:tr w:rsidR="004071CA" w:rsidRPr="00FB3D74" w14:paraId="6A14B9D4" w14:textId="77777777" w:rsidTr="00942E95">
        <w:trPr>
          <w:trHeight w:val="20"/>
        </w:trPr>
        <w:tc>
          <w:tcPr>
            <w:tcW w:w="3823" w:type="dxa"/>
            <w:vAlign w:val="center"/>
            <w:hideMark/>
          </w:tcPr>
          <w:p w14:paraId="1A2974C4" w14:textId="63918A96" w:rsidR="004071CA" w:rsidRPr="00FB3D74" w:rsidRDefault="004071CA" w:rsidP="00942E95">
            <w:pPr>
              <w:rPr>
                <w:rFonts w:cs="Arial"/>
                <w:sz w:val="16"/>
                <w:szCs w:val="16"/>
              </w:rPr>
            </w:pPr>
            <w:r w:rsidRPr="00FB3D74">
              <w:rPr>
                <w:rFonts w:cs="Arial"/>
                <w:sz w:val="16"/>
                <w:szCs w:val="16"/>
              </w:rPr>
              <w:t xml:space="preserve">Libros de </w:t>
            </w:r>
            <w:r w:rsidR="00AD1107" w:rsidRPr="00FB3D74">
              <w:rPr>
                <w:rFonts w:cs="Arial"/>
                <w:sz w:val="16"/>
                <w:szCs w:val="16"/>
              </w:rPr>
              <w:t xml:space="preserve">Texto Gratuito </w:t>
            </w:r>
            <w:r w:rsidRPr="00FB3D74">
              <w:rPr>
                <w:rFonts w:cs="Arial"/>
                <w:sz w:val="16"/>
                <w:szCs w:val="16"/>
              </w:rPr>
              <w:t>entregados a los alumnos/as de Educación Básica del Estado de Colima.</w:t>
            </w:r>
          </w:p>
        </w:tc>
        <w:tc>
          <w:tcPr>
            <w:tcW w:w="4992" w:type="dxa"/>
            <w:vAlign w:val="center"/>
            <w:hideMark/>
          </w:tcPr>
          <w:p w14:paraId="43713BED" w14:textId="3038BB9B" w:rsidR="004071CA" w:rsidRPr="00FB3D74" w:rsidRDefault="004071CA" w:rsidP="00942E95">
            <w:pPr>
              <w:rPr>
                <w:rFonts w:cs="Arial"/>
                <w:sz w:val="16"/>
                <w:szCs w:val="16"/>
              </w:rPr>
            </w:pPr>
            <w:r w:rsidRPr="00FB3D74">
              <w:rPr>
                <w:rFonts w:cs="Arial"/>
                <w:sz w:val="16"/>
                <w:szCs w:val="16"/>
              </w:rPr>
              <w:t>Número de libros de texto gratuito entregados (133,333).</w:t>
            </w:r>
          </w:p>
        </w:tc>
      </w:tr>
      <w:tr w:rsidR="004071CA" w:rsidRPr="00FB3D74" w14:paraId="097CD896" w14:textId="77777777" w:rsidTr="00942E95">
        <w:trPr>
          <w:trHeight w:val="20"/>
        </w:trPr>
        <w:tc>
          <w:tcPr>
            <w:tcW w:w="3823" w:type="dxa"/>
            <w:vAlign w:val="center"/>
            <w:hideMark/>
          </w:tcPr>
          <w:p w14:paraId="3829E5D7" w14:textId="77777777" w:rsidR="004071CA" w:rsidRPr="00FB3D74" w:rsidRDefault="004071CA" w:rsidP="00942E95">
            <w:pPr>
              <w:rPr>
                <w:rFonts w:cs="Arial"/>
                <w:sz w:val="16"/>
                <w:szCs w:val="16"/>
              </w:rPr>
            </w:pPr>
            <w:r w:rsidRPr="00FB3D74">
              <w:rPr>
                <w:rFonts w:cs="Arial"/>
                <w:sz w:val="16"/>
                <w:szCs w:val="16"/>
              </w:rPr>
              <w:t>Programa de mantenimiento de planteles educativos.</w:t>
            </w:r>
          </w:p>
        </w:tc>
        <w:tc>
          <w:tcPr>
            <w:tcW w:w="4992" w:type="dxa"/>
            <w:vAlign w:val="center"/>
            <w:hideMark/>
          </w:tcPr>
          <w:p w14:paraId="3A632B31" w14:textId="301914F0" w:rsidR="004071CA" w:rsidRPr="00FB3D74" w:rsidRDefault="004071CA" w:rsidP="00942E95">
            <w:pPr>
              <w:rPr>
                <w:rFonts w:cs="Arial"/>
                <w:sz w:val="16"/>
                <w:szCs w:val="16"/>
              </w:rPr>
            </w:pPr>
            <w:r w:rsidRPr="00FB3D74">
              <w:rPr>
                <w:rFonts w:cs="Arial"/>
                <w:sz w:val="16"/>
                <w:szCs w:val="16"/>
              </w:rPr>
              <w:t>Número de servicios de reparaciones menores gestionadas (780).</w:t>
            </w:r>
          </w:p>
        </w:tc>
      </w:tr>
      <w:tr w:rsidR="004071CA" w:rsidRPr="00FB3D74" w14:paraId="0D62A44D" w14:textId="77777777" w:rsidTr="00942E95">
        <w:trPr>
          <w:trHeight w:val="20"/>
        </w:trPr>
        <w:tc>
          <w:tcPr>
            <w:tcW w:w="3823" w:type="dxa"/>
            <w:vAlign w:val="center"/>
            <w:hideMark/>
          </w:tcPr>
          <w:p w14:paraId="158DA78B" w14:textId="77777777" w:rsidR="004071CA" w:rsidRPr="00FB3D74" w:rsidRDefault="004071CA" w:rsidP="00942E95">
            <w:pPr>
              <w:rPr>
                <w:rFonts w:cs="Arial"/>
                <w:sz w:val="16"/>
                <w:szCs w:val="16"/>
              </w:rPr>
            </w:pPr>
            <w:r w:rsidRPr="00FB3D74">
              <w:rPr>
                <w:rFonts w:cs="Arial"/>
                <w:sz w:val="16"/>
                <w:szCs w:val="16"/>
              </w:rPr>
              <w:t>Servicios de Educación Especial en escuelas públicas de Educación Básica proporcionado.</w:t>
            </w:r>
          </w:p>
        </w:tc>
        <w:tc>
          <w:tcPr>
            <w:tcW w:w="4992" w:type="dxa"/>
            <w:vAlign w:val="center"/>
            <w:hideMark/>
          </w:tcPr>
          <w:p w14:paraId="76614A0C" w14:textId="5D65B37B" w:rsidR="004071CA" w:rsidRPr="00FB3D74" w:rsidRDefault="004071CA" w:rsidP="00942E95">
            <w:pPr>
              <w:rPr>
                <w:rFonts w:cs="Arial"/>
                <w:sz w:val="16"/>
                <w:szCs w:val="16"/>
              </w:rPr>
            </w:pPr>
            <w:r w:rsidRPr="00FB3D74">
              <w:rPr>
                <w:rFonts w:cs="Arial"/>
                <w:sz w:val="16"/>
                <w:szCs w:val="16"/>
              </w:rPr>
              <w:t>Número de escuelas públicas de Educación Básica beneficiadas (462).</w:t>
            </w:r>
          </w:p>
        </w:tc>
      </w:tr>
      <w:tr w:rsidR="004071CA" w:rsidRPr="00FB3D74" w14:paraId="6AE10C6A" w14:textId="77777777" w:rsidTr="00942E95">
        <w:trPr>
          <w:trHeight w:val="20"/>
        </w:trPr>
        <w:tc>
          <w:tcPr>
            <w:tcW w:w="3823" w:type="dxa"/>
            <w:vAlign w:val="center"/>
            <w:hideMark/>
          </w:tcPr>
          <w:p w14:paraId="1C45CDDB" w14:textId="77777777" w:rsidR="004071CA" w:rsidRPr="00FB3D74" w:rsidRDefault="004071CA" w:rsidP="00942E95">
            <w:pPr>
              <w:rPr>
                <w:rFonts w:cs="Arial"/>
                <w:sz w:val="16"/>
                <w:szCs w:val="16"/>
              </w:rPr>
            </w:pPr>
            <w:r w:rsidRPr="00FB3D74">
              <w:rPr>
                <w:rFonts w:cs="Arial"/>
                <w:sz w:val="16"/>
                <w:szCs w:val="16"/>
              </w:rPr>
              <w:t>Servicio del nivel de secundaria, subnivel telesecundaria, con sostenimiento federal transferido, proporcionado a niños(as).</w:t>
            </w:r>
          </w:p>
        </w:tc>
        <w:tc>
          <w:tcPr>
            <w:tcW w:w="4992" w:type="dxa"/>
            <w:vAlign w:val="center"/>
            <w:hideMark/>
          </w:tcPr>
          <w:p w14:paraId="3CF700A8" w14:textId="659214E4" w:rsidR="004071CA" w:rsidRPr="00FB3D74" w:rsidRDefault="004071CA" w:rsidP="00942E95">
            <w:pPr>
              <w:rPr>
                <w:rFonts w:cs="Arial"/>
                <w:sz w:val="16"/>
                <w:szCs w:val="16"/>
              </w:rPr>
            </w:pPr>
            <w:r w:rsidRPr="00FB3D74">
              <w:rPr>
                <w:rFonts w:cs="Arial"/>
                <w:sz w:val="16"/>
                <w:szCs w:val="16"/>
              </w:rPr>
              <w:t xml:space="preserve">Número de alumnos(as) de </w:t>
            </w:r>
            <w:r w:rsidR="00AD1107" w:rsidRPr="00FB3D74">
              <w:rPr>
                <w:rFonts w:cs="Arial"/>
                <w:sz w:val="16"/>
                <w:szCs w:val="16"/>
              </w:rPr>
              <w:t>Educación Secundaria</w:t>
            </w:r>
            <w:r w:rsidRPr="00FB3D74">
              <w:rPr>
                <w:rFonts w:cs="Arial"/>
                <w:sz w:val="16"/>
                <w:szCs w:val="16"/>
              </w:rPr>
              <w:t xml:space="preserve">, </w:t>
            </w:r>
            <w:r w:rsidR="00AD1107" w:rsidRPr="00FB3D74">
              <w:rPr>
                <w:rFonts w:cs="Arial"/>
                <w:sz w:val="16"/>
                <w:szCs w:val="16"/>
              </w:rPr>
              <w:t>Subnivel Telesecundaria</w:t>
            </w:r>
            <w:r w:rsidRPr="00FB3D74">
              <w:rPr>
                <w:rFonts w:cs="Arial"/>
                <w:sz w:val="16"/>
                <w:szCs w:val="16"/>
              </w:rPr>
              <w:t>, con sostenimiento federal transferido atendidos (1</w:t>
            </w:r>
            <w:r w:rsidR="002D59F3" w:rsidRPr="00FB3D74">
              <w:rPr>
                <w:rFonts w:cs="Arial"/>
                <w:sz w:val="16"/>
                <w:szCs w:val="16"/>
              </w:rPr>
              <w:t>,</w:t>
            </w:r>
            <w:r w:rsidRPr="00FB3D74">
              <w:rPr>
                <w:rFonts w:cs="Arial"/>
                <w:sz w:val="16"/>
                <w:szCs w:val="16"/>
              </w:rPr>
              <w:t>412).</w:t>
            </w:r>
          </w:p>
        </w:tc>
      </w:tr>
      <w:tr w:rsidR="004071CA" w:rsidRPr="00FB3D74" w14:paraId="4BCCC4F6" w14:textId="77777777" w:rsidTr="00942E95">
        <w:trPr>
          <w:trHeight w:val="20"/>
        </w:trPr>
        <w:tc>
          <w:tcPr>
            <w:tcW w:w="3823" w:type="dxa"/>
            <w:vAlign w:val="center"/>
            <w:hideMark/>
          </w:tcPr>
          <w:p w14:paraId="56A6211D" w14:textId="77777777" w:rsidR="004071CA" w:rsidRPr="00FB3D74" w:rsidRDefault="004071CA" w:rsidP="00942E95">
            <w:pPr>
              <w:rPr>
                <w:rFonts w:cs="Arial"/>
                <w:sz w:val="16"/>
                <w:szCs w:val="16"/>
              </w:rPr>
            </w:pPr>
            <w:r w:rsidRPr="00FB3D74">
              <w:rPr>
                <w:rFonts w:cs="Arial"/>
                <w:sz w:val="16"/>
                <w:szCs w:val="16"/>
              </w:rPr>
              <w:t>Pintura proporcionada a planteles de educación básica para el mejoramiento de la infraestructura.</w:t>
            </w:r>
          </w:p>
        </w:tc>
        <w:tc>
          <w:tcPr>
            <w:tcW w:w="4992" w:type="dxa"/>
            <w:vAlign w:val="center"/>
            <w:hideMark/>
          </w:tcPr>
          <w:p w14:paraId="3E5130E0" w14:textId="0AABD567" w:rsidR="004071CA" w:rsidRPr="00FB3D74" w:rsidRDefault="004071CA" w:rsidP="00942E95">
            <w:pPr>
              <w:rPr>
                <w:rFonts w:cs="Arial"/>
                <w:sz w:val="16"/>
                <w:szCs w:val="16"/>
              </w:rPr>
            </w:pPr>
            <w:r w:rsidRPr="00FB3D74">
              <w:rPr>
                <w:rFonts w:cs="Arial"/>
                <w:sz w:val="16"/>
                <w:szCs w:val="16"/>
              </w:rPr>
              <w:t xml:space="preserve">Número planteles beneficiados con el apoyo de pintura (80). </w:t>
            </w:r>
          </w:p>
        </w:tc>
      </w:tr>
      <w:tr w:rsidR="004071CA" w:rsidRPr="00FB3D74" w14:paraId="4B3C6F74" w14:textId="77777777" w:rsidTr="00942E95">
        <w:trPr>
          <w:trHeight w:val="20"/>
        </w:trPr>
        <w:tc>
          <w:tcPr>
            <w:tcW w:w="3823" w:type="dxa"/>
            <w:vAlign w:val="center"/>
            <w:hideMark/>
          </w:tcPr>
          <w:p w14:paraId="09ACE511" w14:textId="77777777" w:rsidR="004071CA" w:rsidRPr="00FB3D74" w:rsidRDefault="004071CA" w:rsidP="00942E95">
            <w:pPr>
              <w:rPr>
                <w:rFonts w:cs="Arial"/>
                <w:sz w:val="16"/>
                <w:szCs w:val="16"/>
              </w:rPr>
            </w:pPr>
            <w:r w:rsidRPr="00FB3D74">
              <w:rPr>
                <w:rFonts w:cs="Arial"/>
                <w:sz w:val="16"/>
                <w:szCs w:val="16"/>
              </w:rPr>
              <w:t>Servicio de Educación Física proporcionado con sostenimiento federal transferido a las escuelas públicas de educación básica.</w:t>
            </w:r>
          </w:p>
        </w:tc>
        <w:tc>
          <w:tcPr>
            <w:tcW w:w="4992" w:type="dxa"/>
            <w:vAlign w:val="center"/>
            <w:hideMark/>
          </w:tcPr>
          <w:p w14:paraId="48DC6C88" w14:textId="1A8D09C5" w:rsidR="004071CA" w:rsidRPr="00FB3D74" w:rsidRDefault="004071CA" w:rsidP="00942E95">
            <w:pPr>
              <w:rPr>
                <w:rFonts w:cs="Arial"/>
                <w:sz w:val="16"/>
                <w:szCs w:val="16"/>
              </w:rPr>
            </w:pPr>
            <w:r w:rsidRPr="00FB3D74">
              <w:rPr>
                <w:rFonts w:cs="Arial"/>
                <w:sz w:val="16"/>
                <w:szCs w:val="16"/>
              </w:rPr>
              <w:t xml:space="preserve">Número de escuelas de </w:t>
            </w:r>
            <w:r w:rsidR="00AD1107" w:rsidRPr="00FB3D74">
              <w:rPr>
                <w:rFonts w:cs="Arial"/>
                <w:sz w:val="16"/>
                <w:szCs w:val="16"/>
              </w:rPr>
              <w:t xml:space="preserve">Educación Básica </w:t>
            </w:r>
            <w:r w:rsidRPr="00FB3D74">
              <w:rPr>
                <w:rFonts w:cs="Arial"/>
                <w:sz w:val="16"/>
                <w:szCs w:val="16"/>
              </w:rPr>
              <w:t>que cuentan con el servicio de educación física (564).</w:t>
            </w:r>
          </w:p>
        </w:tc>
      </w:tr>
      <w:tr w:rsidR="004071CA" w:rsidRPr="00FB3D74" w14:paraId="717132BD" w14:textId="77777777" w:rsidTr="00942E95">
        <w:trPr>
          <w:trHeight w:val="20"/>
        </w:trPr>
        <w:tc>
          <w:tcPr>
            <w:tcW w:w="3823" w:type="dxa"/>
            <w:vAlign w:val="center"/>
            <w:hideMark/>
          </w:tcPr>
          <w:p w14:paraId="688C8B02" w14:textId="77777777" w:rsidR="004071CA" w:rsidRPr="00FB3D74" w:rsidRDefault="004071CA" w:rsidP="00942E95">
            <w:pPr>
              <w:rPr>
                <w:rFonts w:cs="Arial"/>
                <w:sz w:val="16"/>
                <w:szCs w:val="16"/>
              </w:rPr>
            </w:pPr>
            <w:r w:rsidRPr="00FB3D74">
              <w:rPr>
                <w:rFonts w:cs="Arial"/>
                <w:sz w:val="16"/>
                <w:szCs w:val="16"/>
              </w:rPr>
              <w:t>Servicio del nivel de primaria, subnivel primaria general, con sostenimiento federal transferido, proporcionado a niños(as).</w:t>
            </w:r>
          </w:p>
        </w:tc>
        <w:tc>
          <w:tcPr>
            <w:tcW w:w="4992" w:type="dxa"/>
            <w:vAlign w:val="center"/>
            <w:hideMark/>
          </w:tcPr>
          <w:p w14:paraId="72BDABB5" w14:textId="437BE72A" w:rsidR="004071CA" w:rsidRPr="00FB3D74" w:rsidRDefault="004071CA" w:rsidP="00942E95">
            <w:pPr>
              <w:rPr>
                <w:rFonts w:cs="Arial"/>
                <w:sz w:val="16"/>
                <w:szCs w:val="16"/>
              </w:rPr>
            </w:pPr>
            <w:r w:rsidRPr="00FB3D74">
              <w:rPr>
                <w:rFonts w:cs="Arial"/>
                <w:sz w:val="16"/>
                <w:szCs w:val="16"/>
              </w:rPr>
              <w:t xml:space="preserve">Número de alumnos(as) de </w:t>
            </w:r>
            <w:r w:rsidR="00AD1107" w:rsidRPr="00FB3D74">
              <w:rPr>
                <w:rFonts w:cs="Arial"/>
                <w:sz w:val="16"/>
                <w:szCs w:val="16"/>
              </w:rPr>
              <w:t>Educación Primaria</w:t>
            </w:r>
            <w:r w:rsidRPr="00FB3D74">
              <w:rPr>
                <w:rFonts w:cs="Arial"/>
                <w:sz w:val="16"/>
                <w:szCs w:val="16"/>
              </w:rPr>
              <w:t xml:space="preserve">, </w:t>
            </w:r>
            <w:r w:rsidR="00AD1107" w:rsidRPr="00FB3D74">
              <w:rPr>
                <w:rFonts w:cs="Arial"/>
                <w:sz w:val="16"/>
                <w:szCs w:val="16"/>
              </w:rPr>
              <w:t>Subnivel Primaria General</w:t>
            </w:r>
            <w:r w:rsidRPr="00FB3D74">
              <w:rPr>
                <w:rFonts w:cs="Arial"/>
                <w:sz w:val="16"/>
                <w:szCs w:val="16"/>
              </w:rPr>
              <w:t>, con sostenimiento federal transferido atendidos (55</w:t>
            </w:r>
            <w:r w:rsidR="00F531F5" w:rsidRPr="00FB3D74">
              <w:rPr>
                <w:rFonts w:cs="Arial"/>
                <w:sz w:val="16"/>
                <w:szCs w:val="16"/>
              </w:rPr>
              <w:t>,</w:t>
            </w:r>
            <w:r w:rsidRPr="00FB3D74">
              <w:rPr>
                <w:rFonts w:cs="Arial"/>
                <w:sz w:val="16"/>
                <w:szCs w:val="16"/>
              </w:rPr>
              <w:t>500).</w:t>
            </w:r>
          </w:p>
        </w:tc>
      </w:tr>
      <w:tr w:rsidR="004071CA" w:rsidRPr="00FB3D74" w14:paraId="4CEDAD34" w14:textId="77777777" w:rsidTr="00942E95">
        <w:trPr>
          <w:trHeight w:val="20"/>
        </w:trPr>
        <w:tc>
          <w:tcPr>
            <w:tcW w:w="3823" w:type="dxa"/>
            <w:vAlign w:val="center"/>
            <w:hideMark/>
          </w:tcPr>
          <w:p w14:paraId="1EB483C2" w14:textId="77777777" w:rsidR="004071CA" w:rsidRPr="00FB3D74" w:rsidRDefault="004071CA" w:rsidP="00942E95">
            <w:pPr>
              <w:rPr>
                <w:rFonts w:cs="Arial"/>
                <w:sz w:val="16"/>
                <w:szCs w:val="16"/>
              </w:rPr>
            </w:pPr>
            <w:r w:rsidRPr="00FB3D74">
              <w:rPr>
                <w:rFonts w:cs="Arial"/>
                <w:sz w:val="16"/>
                <w:szCs w:val="16"/>
              </w:rPr>
              <w:t>Procesos de inscripción, reinscripción, acreditación y certificación proporcionados a los alumnos y alumnas de Educación Básica.</w:t>
            </w:r>
          </w:p>
        </w:tc>
        <w:tc>
          <w:tcPr>
            <w:tcW w:w="4992" w:type="dxa"/>
            <w:vAlign w:val="center"/>
            <w:hideMark/>
          </w:tcPr>
          <w:p w14:paraId="0E2F7023" w14:textId="79879EF1" w:rsidR="004071CA" w:rsidRPr="00FB3D74" w:rsidRDefault="004071CA" w:rsidP="00942E95">
            <w:pPr>
              <w:rPr>
                <w:rFonts w:cs="Arial"/>
                <w:sz w:val="16"/>
                <w:szCs w:val="16"/>
              </w:rPr>
            </w:pPr>
            <w:r w:rsidRPr="00FB3D74">
              <w:rPr>
                <w:rFonts w:cs="Arial"/>
                <w:sz w:val="16"/>
                <w:szCs w:val="16"/>
              </w:rPr>
              <w:t>Número de procesos de inscripción, reinscripción, acreditación, y certificación realizados (288,473).</w:t>
            </w:r>
          </w:p>
        </w:tc>
      </w:tr>
      <w:tr w:rsidR="004071CA" w:rsidRPr="00FB3D74" w14:paraId="5CBCBC5D" w14:textId="77777777" w:rsidTr="00942E95">
        <w:trPr>
          <w:trHeight w:val="20"/>
        </w:trPr>
        <w:tc>
          <w:tcPr>
            <w:tcW w:w="3823" w:type="dxa"/>
            <w:vAlign w:val="center"/>
            <w:hideMark/>
          </w:tcPr>
          <w:p w14:paraId="551A9076" w14:textId="77777777" w:rsidR="004071CA" w:rsidRPr="00FB3D74" w:rsidRDefault="004071CA" w:rsidP="00942E95">
            <w:pPr>
              <w:rPr>
                <w:rFonts w:cs="Arial"/>
                <w:sz w:val="16"/>
                <w:szCs w:val="16"/>
              </w:rPr>
            </w:pPr>
            <w:r w:rsidRPr="00FB3D74">
              <w:rPr>
                <w:rFonts w:cs="Arial"/>
                <w:sz w:val="16"/>
                <w:szCs w:val="16"/>
              </w:rPr>
              <w:t>Estudios de factibilidad para nuevas creaciones de escuelas públicas en educación básica justificados.</w:t>
            </w:r>
          </w:p>
        </w:tc>
        <w:tc>
          <w:tcPr>
            <w:tcW w:w="4992" w:type="dxa"/>
            <w:vAlign w:val="center"/>
            <w:hideMark/>
          </w:tcPr>
          <w:p w14:paraId="7724E045" w14:textId="448BD556" w:rsidR="004071CA" w:rsidRPr="00FB3D74" w:rsidRDefault="004071CA" w:rsidP="00942E95">
            <w:pPr>
              <w:rPr>
                <w:rFonts w:cs="Arial"/>
                <w:sz w:val="16"/>
                <w:szCs w:val="16"/>
              </w:rPr>
            </w:pPr>
            <w:r w:rsidRPr="00FB3D74">
              <w:rPr>
                <w:rFonts w:cs="Arial"/>
                <w:sz w:val="16"/>
                <w:szCs w:val="16"/>
              </w:rPr>
              <w:t>Número de estudios de factibilidad justificados (3).</w:t>
            </w:r>
          </w:p>
        </w:tc>
      </w:tr>
      <w:tr w:rsidR="004071CA" w:rsidRPr="00FB3D74" w14:paraId="2D756FA1" w14:textId="77777777" w:rsidTr="00942E95">
        <w:trPr>
          <w:trHeight w:val="20"/>
        </w:trPr>
        <w:tc>
          <w:tcPr>
            <w:tcW w:w="3823" w:type="dxa"/>
            <w:vAlign w:val="center"/>
            <w:hideMark/>
          </w:tcPr>
          <w:p w14:paraId="4F931B05" w14:textId="77777777" w:rsidR="004071CA" w:rsidRPr="00FB3D74" w:rsidRDefault="004071CA" w:rsidP="00942E95">
            <w:pPr>
              <w:rPr>
                <w:rFonts w:cs="Arial"/>
                <w:sz w:val="16"/>
                <w:szCs w:val="16"/>
              </w:rPr>
            </w:pPr>
            <w:r w:rsidRPr="00FB3D74">
              <w:rPr>
                <w:rFonts w:cs="Arial"/>
                <w:sz w:val="16"/>
                <w:szCs w:val="16"/>
              </w:rPr>
              <w:t>Credenciales con fotografía para los alumnos de Educación Básica entregadas.</w:t>
            </w:r>
          </w:p>
        </w:tc>
        <w:tc>
          <w:tcPr>
            <w:tcW w:w="4992" w:type="dxa"/>
            <w:vAlign w:val="center"/>
            <w:hideMark/>
          </w:tcPr>
          <w:p w14:paraId="5980637C" w14:textId="16B3E0E8" w:rsidR="004071CA" w:rsidRPr="00FB3D74" w:rsidRDefault="004071CA" w:rsidP="00942E95">
            <w:pPr>
              <w:rPr>
                <w:rFonts w:cs="Arial"/>
                <w:sz w:val="16"/>
                <w:szCs w:val="16"/>
              </w:rPr>
            </w:pPr>
            <w:r w:rsidRPr="00FB3D74">
              <w:rPr>
                <w:rFonts w:cs="Arial"/>
                <w:sz w:val="16"/>
                <w:szCs w:val="16"/>
              </w:rPr>
              <w:t>Número de credenciales con fotografía entregadas (100</w:t>
            </w:r>
            <w:r w:rsidR="002D59F3" w:rsidRPr="00FB3D74">
              <w:rPr>
                <w:rFonts w:cs="Arial"/>
                <w:sz w:val="16"/>
                <w:szCs w:val="16"/>
              </w:rPr>
              <w:t>,</w:t>
            </w:r>
            <w:r w:rsidRPr="00FB3D74">
              <w:rPr>
                <w:rFonts w:cs="Arial"/>
                <w:sz w:val="16"/>
                <w:szCs w:val="16"/>
              </w:rPr>
              <w:t xml:space="preserve">964). </w:t>
            </w:r>
          </w:p>
        </w:tc>
      </w:tr>
      <w:tr w:rsidR="004071CA" w:rsidRPr="00FB3D74" w14:paraId="3BEB4B65" w14:textId="77777777" w:rsidTr="00942E95">
        <w:trPr>
          <w:trHeight w:val="20"/>
        </w:trPr>
        <w:tc>
          <w:tcPr>
            <w:tcW w:w="3823" w:type="dxa"/>
            <w:vAlign w:val="center"/>
            <w:hideMark/>
          </w:tcPr>
          <w:p w14:paraId="0D483654" w14:textId="0C1BC347" w:rsidR="004071CA" w:rsidRPr="00FB3D74" w:rsidRDefault="004071CA" w:rsidP="00942E95">
            <w:pPr>
              <w:rPr>
                <w:rFonts w:cs="Arial"/>
                <w:sz w:val="16"/>
                <w:szCs w:val="16"/>
              </w:rPr>
            </w:pPr>
            <w:r w:rsidRPr="00FB3D74">
              <w:rPr>
                <w:rFonts w:cs="Arial"/>
                <w:sz w:val="16"/>
                <w:szCs w:val="16"/>
              </w:rPr>
              <w:t xml:space="preserve">Fondo de </w:t>
            </w:r>
            <w:r w:rsidR="00AD1107" w:rsidRPr="00FB3D74">
              <w:rPr>
                <w:rFonts w:cs="Arial"/>
                <w:sz w:val="16"/>
                <w:szCs w:val="16"/>
              </w:rPr>
              <w:t xml:space="preserve">Aportaciones </w:t>
            </w:r>
            <w:r w:rsidRPr="00FB3D74">
              <w:rPr>
                <w:rFonts w:cs="Arial"/>
                <w:sz w:val="16"/>
                <w:szCs w:val="16"/>
              </w:rPr>
              <w:t xml:space="preserve">para la </w:t>
            </w:r>
            <w:r w:rsidR="00AD1107" w:rsidRPr="00FB3D74">
              <w:rPr>
                <w:rFonts w:cs="Arial"/>
                <w:sz w:val="16"/>
                <w:szCs w:val="16"/>
              </w:rPr>
              <w:t xml:space="preserve">Nómina Educativa </w:t>
            </w:r>
            <w:r w:rsidRPr="00FB3D74">
              <w:rPr>
                <w:rFonts w:cs="Arial"/>
                <w:sz w:val="16"/>
                <w:szCs w:val="16"/>
              </w:rPr>
              <w:t xml:space="preserve">y </w:t>
            </w:r>
            <w:r w:rsidR="00AD1107" w:rsidRPr="00FB3D74">
              <w:rPr>
                <w:rFonts w:cs="Arial"/>
                <w:sz w:val="16"/>
                <w:szCs w:val="16"/>
              </w:rPr>
              <w:t xml:space="preserve">Gasto Operativo </w:t>
            </w:r>
            <w:r w:rsidRPr="00FB3D74">
              <w:rPr>
                <w:rFonts w:cs="Arial"/>
                <w:sz w:val="16"/>
                <w:szCs w:val="16"/>
              </w:rPr>
              <w:t>(FONE)</w:t>
            </w:r>
            <w:r w:rsidR="00AD1107" w:rsidRPr="00FB3D74">
              <w:rPr>
                <w:rFonts w:cs="Arial"/>
                <w:sz w:val="16"/>
                <w:szCs w:val="16"/>
              </w:rPr>
              <w:t>, ejercido.</w:t>
            </w:r>
          </w:p>
        </w:tc>
        <w:tc>
          <w:tcPr>
            <w:tcW w:w="4992" w:type="dxa"/>
            <w:vAlign w:val="center"/>
            <w:hideMark/>
          </w:tcPr>
          <w:p w14:paraId="2658E8E4" w14:textId="77777777" w:rsidR="004071CA" w:rsidRPr="00FB3D74" w:rsidRDefault="004071CA" w:rsidP="00942E95">
            <w:pPr>
              <w:rPr>
                <w:rFonts w:cs="Arial"/>
                <w:sz w:val="16"/>
                <w:szCs w:val="16"/>
              </w:rPr>
            </w:pPr>
            <w:r w:rsidRPr="00FB3D74">
              <w:rPr>
                <w:rFonts w:cs="Arial"/>
                <w:sz w:val="16"/>
                <w:szCs w:val="16"/>
              </w:rPr>
              <w:t>Ejercer el 100 por ciento del presupuesto.</w:t>
            </w:r>
          </w:p>
        </w:tc>
      </w:tr>
      <w:tr w:rsidR="004071CA" w:rsidRPr="00FB3D74" w14:paraId="528AFF7E" w14:textId="77777777" w:rsidTr="00942E95">
        <w:trPr>
          <w:trHeight w:val="20"/>
        </w:trPr>
        <w:tc>
          <w:tcPr>
            <w:tcW w:w="3823" w:type="dxa"/>
            <w:vAlign w:val="center"/>
            <w:hideMark/>
          </w:tcPr>
          <w:p w14:paraId="4CB82FFE" w14:textId="77777777" w:rsidR="004071CA" w:rsidRPr="00FB3D74" w:rsidRDefault="004071CA" w:rsidP="00942E95">
            <w:pPr>
              <w:rPr>
                <w:rFonts w:cs="Arial"/>
                <w:sz w:val="16"/>
                <w:szCs w:val="16"/>
              </w:rPr>
            </w:pPr>
            <w:r w:rsidRPr="00FB3D74">
              <w:rPr>
                <w:rFonts w:cs="Arial"/>
                <w:sz w:val="16"/>
                <w:szCs w:val="16"/>
              </w:rPr>
              <w:t>Exámenes del concurso Olimpiada del conocimiento Infantil aplicados a los alumnos(as) de 6° grado de primaria de escuelas con sostenimiento público en todo el estado.</w:t>
            </w:r>
          </w:p>
        </w:tc>
        <w:tc>
          <w:tcPr>
            <w:tcW w:w="4992" w:type="dxa"/>
            <w:vAlign w:val="center"/>
            <w:hideMark/>
          </w:tcPr>
          <w:p w14:paraId="5115F5FE" w14:textId="51D58D8C" w:rsidR="004071CA" w:rsidRPr="00FB3D74" w:rsidRDefault="004071CA" w:rsidP="00942E95">
            <w:pPr>
              <w:rPr>
                <w:rFonts w:cs="Arial"/>
                <w:sz w:val="16"/>
                <w:szCs w:val="16"/>
              </w:rPr>
            </w:pPr>
            <w:r w:rsidRPr="00FB3D74">
              <w:rPr>
                <w:rFonts w:cs="Arial"/>
                <w:sz w:val="16"/>
                <w:szCs w:val="16"/>
              </w:rPr>
              <w:t xml:space="preserve">Número de exámenes aplicados (10,350). </w:t>
            </w:r>
          </w:p>
        </w:tc>
      </w:tr>
      <w:tr w:rsidR="004071CA" w:rsidRPr="00FB3D74" w14:paraId="208EB252" w14:textId="77777777" w:rsidTr="00942E95">
        <w:trPr>
          <w:trHeight w:val="20"/>
        </w:trPr>
        <w:tc>
          <w:tcPr>
            <w:tcW w:w="3823" w:type="dxa"/>
            <w:vAlign w:val="center"/>
            <w:hideMark/>
          </w:tcPr>
          <w:p w14:paraId="39786608" w14:textId="77777777" w:rsidR="004071CA" w:rsidRPr="00FB3D74" w:rsidRDefault="004071CA" w:rsidP="00942E95">
            <w:pPr>
              <w:rPr>
                <w:rFonts w:cs="Arial"/>
                <w:sz w:val="16"/>
                <w:szCs w:val="16"/>
              </w:rPr>
            </w:pPr>
            <w:r w:rsidRPr="00FB3D74">
              <w:rPr>
                <w:rFonts w:cs="Arial"/>
                <w:sz w:val="16"/>
                <w:szCs w:val="16"/>
              </w:rPr>
              <w:t>Servicios educativos proporcionados por la escuela secundaria estatal N° 12 de talentos.</w:t>
            </w:r>
          </w:p>
        </w:tc>
        <w:tc>
          <w:tcPr>
            <w:tcW w:w="4992" w:type="dxa"/>
            <w:vAlign w:val="center"/>
            <w:hideMark/>
          </w:tcPr>
          <w:p w14:paraId="5AEF11E7" w14:textId="77777777" w:rsidR="004071CA" w:rsidRPr="00FB3D74" w:rsidRDefault="004071CA" w:rsidP="00942E95">
            <w:pPr>
              <w:rPr>
                <w:rFonts w:cs="Arial"/>
                <w:sz w:val="16"/>
                <w:szCs w:val="16"/>
              </w:rPr>
            </w:pPr>
            <w:r w:rsidRPr="00FB3D74">
              <w:rPr>
                <w:rFonts w:cs="Arial"/>
                <w:sz w:val="16"/>
                <w:szCs w:val="16"/>
              </w:rPr>
              <w:t>Número de niñas y niños(as), en el rango de edad de 12 a 14, atendidos por la secundaria estatal N° 12 de talentos.</w:t>
            </w:r>
          </w:p>
        </w:tc>
      </w:tr>
      <w:tr w:rsidR="004071CA" w:rsidRPr="00FB3D74" w14:paraId="2288B818" w14:textId="77777777" w:rsidTr="00942E95">
        <w:trPr>
          <w:trHeight w:val="20"/>
        </w:trPr>
        <w:tc>
          <w:tcPr>
            <w:tcW w:w="3823" w:type="dxa"/>
            <w:vAlign w:val="center"/>
            <w:hideMark/>
          </w:tcPr>
          <w:p w14:paraId="1D5BC0BE" w14:textId="77777777" w:rsidR="004071CA" w:rsidRPr="00FB3D74" w:rsidRDefault="004071CA" w:rsidP="00942E95">
            <w:pPr>
              <w:rPr>
                <w:rFonts w:cs="Arial"/>
                <w:sz w:val="16"/>
                <w:szCs w:val="16"/>
              </w:rPr>
            </w:pPr>
            <w:r w:rsidRPr="00FB3D74">
              <w:rPr>
                <w:rFonts w:cs="Arial"/>
                <w:sz w:val="16"/>
                <w:szCs w:val="16"/>
              </w:rPr>
              <w:t>Consejos de Participación Escolar instalados en las escuelas de educación básica.</w:t>
            </w:r>
          </w:p>
        </w:tc>
        <w:tc>
          <w:tcPr>
            <w:tcW w:w="4992" w:type="dxa"/>
            <w:vAlign w:val="center"/>
            <w:hideMark/>
          </w:tcPr>
          <w:p w14:paraId="63FE0167" w14:textId="6255A518" w:rsidR="004071CA" w:rsidRPr="00FB3D74" w:rsidRDefault="004071CA" w:rsidP="00942E95">
            <w:pPr>
              <w:rPr>
                <w:rFonts w:cs="Arial"/>
                <w:sz w:val="16"/>
                <w:szCs w:val="16"/>
              </w:rPr>
            </w:pPr>
            <w:r w:rsidRPr="00FB3D74">
              <w:rPr>
                <w:rFonts w:cs="Arial"/>
                <w:sz w:val="16"/>
                <w:szCs w:val="16"/>
              </w:rPr>
              <w:t xml:space="preserve">Número de Consejos de Participación Escolar instalados (1,062). </w:t>
            </w:r>
          </w:p>
        </w:tc>
      </w:tr>
      <w:tr w:rsidR="004071CA" w:rsidRPr="00FB3D74" w14:paraId="76149B38" w14:textId="77777777" w:rsidTr="00942E95">
        <w:trPr>
          <w:trHeight w:val="20"/>
        </w:trPr>
        <w:tc>
          <w:tcPr>
            <w:tcW w:w="3823" w:type="dxa"/>
            <w:shd w:val="clear" w:color="auto" w:fill="F2F2F2" w:themeFill="background1" w:themeFillShade="F2"/>
            <w:vAlign w:val="center"/>
          </w:tcPr>
          <w:p w14:paraId="720B24DE" w14:textId="03601173" w:rsidR="004071CA" w:rsidRPr="00FB3D74" w:rsidRDefault="004071CA" w:rsidP="00942E95">
            <w:pPr>
              <w:rPr>
                <w:rFonts w:cs="Arial"/>
                <w:b/>
                <w:bCs/>
                <w:sz w:val="16"/>
                <w:szCs w:val="16"/>
              </w:rPr>
            </w:pPr>
            <w:r w:rsidRPr="00FB3D74">
              <w:rPr>
                <w:rFonts w:cs="Arial"/>
                <w:b/>
                <w:bCs/>
                <w:sz w:val="16"/>
                <w:szCs w:val="16"/>
              </w:rPr>
              <w:t>Número de Programa Presupuestal</w:t>
            </w:r>
            <w:r w:rsidR="00F531F5" w:rsidRPr="00FB3D74">
              <w:rPr>
                <w:rFonts w:cs="Arial"/>
                <w:b/>
                <w:bCs/>
                <w:sz w:val="16"/>
                <w:szCs w:val="16"/>
              </w:rPr>
              <w:t>.</w:t>
            </w:r>
          </w:p>
        </w:tc>
        <w:tc>
          <w:tcPr>
            <w:tcW w:w="4992" w:type="dxa"/>
            <w:shd w:val="clear" w:color="auto" w:fill="F2F2F2" w:themeFill="background1" w:themeFillShade="F2"/>
            <w:vAlign w:val="center"/>
          </w:tcPr>
          <w:p w14:paraId="309242AC" w14:textId="1F99B7BE" w:rsidR="004071CA" w:rsidRPr="00FB3D74" w:rsidRDefault="004071CA" w:rsidP="00942E95">
            <w:pPr>
              <w:rPr>
                <w:rFonts w:cs="Arial"/>
                <w:b/>
                <w:bCs/>
                <w:sz w:val="16"/>
                <w:szCs w:val="16"/>
              </w:rPr>
            </w:pPr>
            <w:r w:rsidRPr="00FB3D74">
              <w:rPr>
                <w:rFonts w:cs="Arial"/>
                <w:b/>
                <w:bCs/>
                <w:sz w:val="16"/>
                <w:szCs w:val="16"/>
              </w:rPr>
              <w:t>65</w:t>
            </w:r>
            <w:r w:rsidR="00F531F5" w:rsidRPr="00FB3D74">
              <w:rPr>
                <w:rFonts w:cs="Arial"/>
                <w:b/>
                <w:bCs/>
                <w:sz w:val="16"/>
                <w:szCs w:val="16"/>
              </w:rPr>
              <w:t>.</w:t>
            </w:r>
          </w:p>
        </w:tc>
      </w:tr>
      <w:tr w:rsidR="004071CA" w:rsidRPr="00FB3D74" w14:paraId="7B279964" w14:textId="77777777" w:rsidTr="00942E95">
        <w:trPr>
          <w:trHeight w:val="20"/>
        </w:trPr>
        <w:tc>
          <w:tcPr>
            <w:tcW w:w="3823" w:type="dxa"/>
            <w:shd w:val="clear" w:color="auto" w:fill="F2F2F2" w:themeFill="background1" w:themeFillShade="F2"/>
            <w:vAlign w:val="center"/>
          </w:tcPr>
          <w:p w14:paraId="0F93B247" w14:textId="178A1E6E" w:rsidR="004071CA" w:rsidRPr="00FB3D74" w:rsidRDefault="004071CA" w:rsidP="00942E95">
            <w:pPr>
              <w:rPr>
                <w:rFonts w:cs="Arial"/>
                <w:b/>
                <w:bCs/>
                <w:sz w:val="16"/>
                <w:szCs w:val="16"/>
              </w:rPr>
            </w:pPr>
            <w:r w:rsidRPr="00FB3D74">
              <w:rPr>
                <w:rFonts w:cs="Arial"/>
                <w:b/>
                <w:bCs/>
                <w:sz w:val="16"/>
                <w:szCs w:val="16"/>
              </w:rPr>
              <w:t>Dependencia/Organismo</w:t>
            </w:r>
            <w:r w:rsidR="00F531F5" w:rsidRPr="00FB3D74">
              <w:rPr>
                <w:rFonts w:cs="Arial"/>
                <w:b/>
                <w:bCs/>
                <w:sz w:val="16"/>
                <w:szCs w:val="16"/>
              </w:rPr>
              <w:t>.</w:t>
            </w:r>
          </w:p>
        </w:tc>
        <w:tc>
          <w:tcPr>
            <w:tcW w:w="4992" w:type="dxa"/>
            <w:shd w:val="clear" w:color="auto" w:fill="F2F2F2" w:themeFill="background1" w:themeFillShade="F2"/>
            <w:vAlign w:val="center"/>
          </w:tcPr>
          <w:p w14:paraId="302AF5E2" w14:textId="77777777" w:rsidR="004071CA" w:rsidRPr="00FB3D74" w:rsidRDefault="004071CA" w:rsidP="00942E95">
            <w:pPr>
              <w:tabs>
                <w:tab w:val="left" w:pos="397"/>
              </w:tabs>
              <w:rPr>
                <w:rFonts w:cs="Arial"/>
                <w:b/>
                <w:bCs/>
                <w:sz w:val="16"/>
                <w:szCs w:val="16"/>
              </w:rPr>
            </w:pPr>
            <w:r w:rsidRPr="00FB3D74">
              <w:rPr>
                <w:rFonts w:cs="Arial"/>
                <w:b/>
                <w:bCs/>
                <w:sz w:val="16"/>
                <w:szCs w:val="16"/>
              </w:rPr>
              <w:t>Secretaría de Educación y Cultura.</w:t>
            </w:r>
          </w:p>
        </w:tc>
      </w:tr>
      <w:tr w:rsidR="004071CA" w:rsidRPr="00FB3D74" w14:paraId="14961AD1" w14:textId="77777777" w:rsidTr="00942E95">
        <w:trPr>
          <w:trHeight w:val="20"/>
        </w:trPr>
        <w:tc>
          <w:tcPr>
            <w:tcW w:w="3823" w:type="dxa"/>
            <w:shd w:val="clear" w:color="auto" w:fill="F2F2F2" w:themeFill="background1" w:themeFillShade="F2"/>
            <w:vAlign w:val="center"/>
          </w:tcPr>
          <w:p w14:paraId="39349DAB" w14:textId="28BE1789" w:rsidR="004071CA" w:rsidRPr="00FB3D74" w:rsidRDefault="004071CA" w:rsidP="00942E95">
            <w:pPr>
              <w:rPr>
                <w:rFonts w:cs="Arial"/>
                <w:b/>
                <w:bCs/>
                <w:sz w:val="16"/>
                <w:szCs w:val="16"/>
              </w:rPr>
            </w:pPr>
            <w:r w:rsidRPr="00FB3D74">
              <w:rPr>
                <w:rFonts w:cs="Arial"/>
                <w:b/>
                <w:bCs/>
                <w:sz w:val="16"/>
                <w:szCs w:val="16"/>
              </w:rPr>
              <w:t>Objetivo Anual</w:t>
            </w:r>
            <w:r w:rsidR="00F531F5" w:rsidRPr="00FB3D74">
              <w:rPr>
                <w:rFonts w:cs="Arial"/>
                <w:b/>
                <w:bCs/>
                <w:sz w:val="16"/>
                <w:szCs w:val="16"/>
              </w:rPr>
              <w:t>.</w:t>
            </w:r>
          </w:p>
        </w:tc>
        <w:tc>
          <w:tcPr>
            <w:tcW w:w="4992" w:type="dxa"/>
            <w:shd w:val="clear" w:color="auto" w:fill="F2F2F2" w:themeFill="background1" w:themeFillShade="F2"/>
            <w:vAlign w:val="center"/>
          </w:tcPr>
          <w:p w14:paraId="32918B34" w14:textId="77777777" w:rsidR="004071CA" w:rsidRPr="00FB3D74" w:rsidRDefault="004071CA" w:rsidP="00942E95">
            <w:pPr>
              <w:rPr>
                <w:rFonts w:cs="Arial"/>
                <w:sz w:val="16"/>
                <w:szCs w:val="16"/>
              </w:rPr>
            </w:pPr>
            <w:r w:rsidRPr="00FB3D74">
              <w:rPr>
                <w:rFonts w:cs="Arial"/>
                <w:sz w:val="16"/>
                <w:szCs w:val="16"/>
              </w:rPr>
              <w:t>Los estudiantes del estado de Colima cuentan con un servicio educativo del nivel medio superior acreditado.</w:t>
            </w:r>
          </w:p>
        </w:tc>
      </w:tr>
      <w:tr w:rsidR="004071CA" w:rsidRPr="00FB3D74" w14:paraId="37ADBE20" w14:textId="77777777" w:rsidTr="00942E95">
        <w:trPr>
          <w:trHeight w:val="20"/>
        </w:trPr>
        <w:tc>
          <w:tcPr>
            <w:tcW w:w="3823" w:type="dxa"/>
            <w:shd w:val="clear" w:color="auto" w:fill="F2F2F2" w:themeFill="background1" w:themeFillShade="F2"/>
            <w:vAlign w:val="center"/>
          </w:tcPr>
          <w:p w14:paraId="5D8F7DFE" w14:textId="77777777" w:rsidR="004071CA" w:rsidRPr="00FB3D74" w:rsidRDefault="004071CA" w:rsidP="00942E95">
            <w:pP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64E170B5" w14:textId="77777777" w:rsidR="004071CA" w:rsidRPr="00FB3D74" w:rsidRDefault="004071CA" w:rsidP="00942E95">
            <w:pPr>
              <w:rPr>
                <w:rFonts w:cs="Arial"/>
                <w:sz w:val="16"/>
                <w:szCs w:val="16"/>
              </w:rPr>
            </w:pPr>
            <w:r w:rsidRPr="00FB3D74">
              <w:rPr>
                <w:rFonts w:cs="Arial"/>
                <w:b/>
                <w:bCs/>
                <w:sz w:val="16"/>
                <w:szCs w:val="16"/>
              </w:rPr>
              <w:t>Metas</w:t>
            </w:r>
          </w:p>
        </w:tc>
      </w:tr>
      <w:tr w:rsidR="004071CA" w:rsidRPr="00FB3D74" w14:paraId="09062321" w14:textId="77777777" w:rsidTr="00942E95">
        <w:trPr>
          <w:trHeight w:val="20"/>
        </w:trPr>
        <w:tc>
          <w:tcPr>
            <w:tcW w:w="3823" w:type="dxa"/>
            <w:vAlign w:val="center"/>
          </w:tcPr>
          <w:p w14:paraId="1F639A75" w14:textId="77777777" w:rsidR="004071CA" w:rsidRPr="00FB3D74" w:rsidRDefault="004071CA" w:rsidP="00942E95">
            <w:pPr>
              <w:rPr>
                <w:rFonts w:cs="Arial"/>
                <w:sz w:val="16"/>
                <w:szCs w:val="16"/>
              </w:rPr>
            </w:pPr>
            <w:r w:rsidRPr="00FB3D74">
              <w:rPr>
                <w:rFonts w:cs="Arial"/>
                <w:sz w:val="16"/>
                <w:szCs w:val="16"/>
              </w:rPr>
              <w:t>Servicios de Telebachillerato Comunitario proporcionados a estudiantes de Educación Media Superior del estado de Colima.</w:t>
            </w:r>
          </w:p>
        </w:tc>
        <w:tc>
          <w:tcPr>
            <w:tcW w:w="4992" w:type="dxa"/>
            <w:vAlign w:val="center"/>
          </w:tcPr>
          <w:p w14:paraId="4B294342" w14:textId="522209D2" w:rsidR="004071CA" w:rsidRPr="00FB3D74" w:rsidRDefault="004071CA" w:rsidP="00942E95">
            <w:pPr>
              <w:rPr>
                <w:rFonts w:cs="Arial"/>
                <w:sz w:val="16"/>
                <w:szCs w:val="16"/>
              </w:rPr>
            </w:pPr>
            <w:r w:rsidRPr="00FB3D74">
              <w:rPr>
                <w:rFonts w:cs="Arial"/>
                <w:sz w:val="16"/>
                <w:szCs w:val="16"/>
              </w:rPr>
              <w:t>Cobertura de 1</w:t>
            </w:r>
            <w:r w:rsidR="00F531F5" w:rsidRPr="00FB3D74">
              <w:rPr>
                <w:rFonts w:cs="Arial"/>
                <w:sz w:val="16"/>
                <w:szCs w:val="16"/>
              </w:rPr>
              <w:t>,</w:t>
            </w:r>
            <w:r w:rsidRPr="00FB3D74">
              <w:rPr>
                <w:rFonts w:cs="Arial"/>
                <w:sz w:val="16"/>
                <w:szCs w:val="16"/>
              </w:rPr>
              <w:t>109 alumnos.</w:t>
            </w:r>
          </w:p>
        </w:tc>
      </w:tr>
      <w:tr w:rsidR="004071CA" w:rsidRPr="00FB3D74" w14:paraId="2DC1C269" w14:textId="77777777" w:rsidTr="00942E95">
        <w:trPr>
          <w:trHeight w:val="20"/>
        </w:trPr>
        <w:tc>
          <w:tcPr>
            <w:tcW w:w="3823" w:type="dxa"/>
            <w:vAlign w:val="center"/>
          </w:tcPr>
          <w:p w14:paraId="4B7E6EE5" w14:textId="0878FE81" w:rsidR="004071CA" w:rsidRPr="00FB3D74" w:rsidRDefault="004071CA" w:rsidP="00942E95">
            <w:pPr>
              <w:rPr>
                <w:rFonts w:cs="Arial"/>
                <w:sz w:val="16"/>
                <w:szCs w:val="16"/>
              </w:rPr>
            </w:pPr>
            <w:r w:rsidRPr="00FB3D74">
              <w:rPr>
                <w:rFonts w:cs="Arial"/>
                <w:sz w:val="16"/>
                <w:szCs w:val="16"/>
              </w:rPr>
              <w:t xml:space="preserve">Servicios de </w:t>
            </w:r>
            <w:r w:rsidR="00AD1107" w:rsidRPr="00FB3D74">
              <w:rPr>
                <w:rFonts w:cs="Arial"/>
                <w:sz w:val="16"/>
                <w:szCs w:val="16"/>
              </w:rPr>
              <w:t xml:space="preserve">Educación Media Superior del Estado de Colima </w:t>
            </w:r>
            <w:r w:rsidRPr="00FB3D74">
              <w:rPr>
                <w:rFonts w:cs="Arial"/>
                <w:sz w:val="16"/>
                <w:szCs w:val="16"/>
              </w:rPr>
              <w:t>proporcionados a alumnos y alumnas.</w:t>
            </w:r>
          </w:p>
        </w:tc>
        <w:tc>
          <w:tcPr>
            <w:tcW w:w="4992" w:type="dxa"/>
            <w:vAlign w:val="center"/>
          </w:tcPr>
          <w:p w14:paraId="4C713316" w14:textId="6C7E1B7B" w:rsidR="004071CA" w:rsidRPr="00FB3D74" w:rsidRDefault="004071CA" w:rsidP="00942E95">
            <w:pPr>
              <w:rPr>
                <w:rFonts w:cs="Arial"/>
                <w:sz w:val="16"/>
                <w:szCs w:val="16"/>
              </w:rPr>
            </w:pPr>
            <w:r w:rsidRPr="00FB3D74">
              <w:rPr>
                <w:rFonts w:cs="Arial"/>
                <w:sz w:val="16"/>
                <w:szCs w:val="16"/>
              </w:rPr>
              <w:t>Atender a 2</w:t>
            </w:r>
            <w:r w:rsidR="00F531F5" w:rsidRPr="00FB3D74">
              <w:rPr>
                <w:rFonts w:cs="Arial"/>
                <w:sz w:val="16"/>
                <w:szCs w:val="16"/>
              </w:rPr>
              <w:t>,</w:t>
            </w:r>
            <w:r w:rsidRPr="00FB3D74">
              <w:rPr>
                <w:rFonts w:cs="Arial"/>
                <w:sz w:val="16"/>
                <w:szCs w:val="16"/>
              </w:rPr>
              <w:t>187 estudiantes.</w:t>
            </w:r>
          </w:p>
        </w:tc>
      </w:tr>
      <w:tr w:rsidR="004071CA" w:rsidRPr="00FB3D74" w14:paraId="2F653E3C" w14:textId="77777777" w:rsidTr="00942E95">
        <w:trPr>
          <w:trHeight w:val="20"/>
        </w:trPr>
        <w:tc>
          <w:tcPr>
            <w:tcW w:w="3823" w:type="dxa"/>
            <w:vAlign w:val="center"/>
          </w:tcPr>
          <w:p w14:paraId="7D4C13CD" w14:textId="77777777" w:rsidR="004071CA" w:rsidRPr="00FB3D74" w:rsidRDefault="004071CA" w:rsidP="00942E95">
            <w:pPr>
              <w:rPr>
                <w:rFonts w:cs="Arial"/>
                <w:sz w:val="16"/>
                <w:szCs w:val="16"/>
              </w:rPr>
            </w:pPr>
            <w:r w:rsidRPr="00FB3D74">
              <w:rPr>
                <w:rFonts w:cs="Arial"/>
                <w:sz w:val="16"/>
                <w:szCs w:val="16"/>
              </w:rPr>
              <w:t>Dictámenes de Equivalencias y/o Revalidaciones de Estudios de Educación Media Superior emitidos.</w:t>
            </w:r>
          </w:p>
        </w:tc>
        <w:tc>
          <w:tcPr>
            <w:tcW w:w="4992" w:type="dxa"/>
            <w:vAlign w:val="center"/>
          </w:tcPr>
          <w:p w14:paraId="6AA0A19F" w14:textId="77777777" w:rsidR="004071CA" w:rsidRPr="00FB3D74" w:rsidRDefault="004071CA" w:rsidP="00942E95">
            <w:pPr>
              <w:rPr>
                <w:rFonts w:cs="Arial"/>
                <w:sz w:val="16"/>
                <w:szCs w:val="16"/>
              </w:rPr>
            </w:pPr>
            <w:r w:rsidRPr="00FB3D74">
              <w:rPr>
                <w:rFonts w:cs="Arial"/>
                <w:sz w:val="16"/>
                <w:szCs w:val="16"/>
              </w:rPr>
              <w:t>Emitir 502 dictámenes.</w:t>
            </w:r>
          </w:p>
        </w:tc>
      </w:tr>
      <w:tr w:rsidR="004071CA" w:rsidRPr="00FB3D74" w14:paraId="017775BD" w14:textId="77777777" w:rsidTr="00942E95">
        <w:trPr>
          <w:trHeight w:val="20"/>
        </w:trPr>
        <w:tc>
          <w:tcPr>
            <w:tcW w:w="3823" w:type="dxa"/>
            <w:vAlign w:val="center"/>
          </w:tcPr>
          <w:p w14:paraId="5A1145BC" w14:textId="77777777" w:rsidR="004071CA" w:rsidRPr="00FB3D74" w:rsidRDefault="004071CA" w:rsidP="00942E95">
            <w:pPr>
              <w:rPr>
                <w:rFonts w:cs="Arial"/>
                <w:sz w:val="16"/>
                <w:szCs w:val="16"/>
              </w:rPr>
            </w:pPr>
            <w:r w:rsidRPr="00FB3D74">
              <w:rPr>
                <w:rFonts w:cs="Arial"/>
                <w:sz w:val="16"/>
                <w:szCs w:val="16"/>
              </w:rPr>
              <w:t>Servicios del componente de Infraestructura Educativa operado en el nivel de Educación Media Superior.</w:t>
            </w:r>
          </w:p>
        </w:tc>
        <w:tc>
          <w:tcPr>
            <w:tcW w:w="4992" w:type="dxa"/>
            <w:vAlign w:val="center"/>
          </w:tcPr>
          <w:p w14:paraId="63AD1124" w14:textId="77777777" w:rsidR="004071CA" w:rsidRPr="00FB3D74" w:rsidRDefault="004071CA" w:rsidP="00942E95">
            <w:pPr>
              <w:rPr>
                <w:rFonts w:cs="Arial"/>
                <w:sz w:val="16"/>
                <w:szCs w:val="16"/>
              </w:rPr>
            </w:pPr>
            <w:r w:rsidRPr="00FB3D74">
              <w:rPr>
                <w:rFonts w:cs="Arial"/>
                <w:sz w:val="16"/>
                <w:szCs w:val="16"/>
              </w:rPr>
              <w:t>Atender 5 obras en 2025.</w:t>
            </w:r>
          </w:p>
        </w:tc>
      </w:tr>
      <w:tr w:rsidR="004071CA" w:rsidRPr="00FB3D74" w14:paraId="50900537" w14:textId="77777777" w:rsidTr="00942E95">
        <w:trPr>
          <w:trHeight w:val="20"/>
        </w:trPr>
        <w:tc>
          <w:tcPr>
            <w:tcW w:w="3823" w:type="dxa"/>
            <w:shd w:val="clear" w:color="auto" w:fill="F2F2F2" w:themeFill="background1" w:themeFillShade="F2"/>
            <w:vAlign w:val="center"/>
          </w:tcPr>
          <w:p w14:paraId="5EEC771A" w14:textId="0D4A85F1" w:rsidR="004071CA" w:rsidRPr="00FB3D74" w:rsidRDefault="004071CA" w:rsidP="00942E95">
            <w:pPr>
              <w:rPr>
                <w:rFonts w:cs="Arial"/>
                <w:b/>
                <w:bCs/>
                <w:sz w:val="16"/>
                <w:szCs w:val="16"/>
              </w:rPr>
            </w:pPr>
            <w:r w:rsidRPr="00FB3D74">
              <w:rPr>
                <w:rFonts w:cs="Arial"/>
                <w:b/>
                <w:bCs/>
                <w:sz w:val="16"/>
                <w:szCs w:val="16"/>
              </w:rPr>
              <w:t>Número de Programa Presupuestal</w:t>
            </w:r>
            <w:r w:rsidR="00F531F5" w:rsidRPr="00FB3D74">
              <w:rPr>
                <w:rFonts w:cs="Arial"/>
                <w:b/>
                <w:bCs/>
                <w:sz w:val="16"/>
                <w:szCs w:val="16"/>
              </w:rPr>
              <w:t>.</w:t>
            </w:r>
          </w:p>
        </w:tc>
        <w:tc>
          <w:tcPr>
            <w:tcW w:w="4992" w:type="dxa"/>
            <w:shd w:val="clear" w:color="auto" w:fill="F2F2F2" w:themeFill="background1" w:themeFillShade="F2"/>
            <w:vAlign w:val="center"/>
          </w:tcPr>
          <w:p w14:paraId="30A1F711" w14:textId="3CF139FD" w:rsidR="004071CA" w:rsidRPr="00FB3D74" w:rsidRDefault="004071CA" w:rsidP="00942E95">
            <w:pPr>
              <w:rPr>
                <w:rFonts w:cs="Arial"/>
                <w:b/>
                <w:bCs/>
                <w:sz w:val="16"/>
                <w:szCs w:val="16"/>
              </w:rPr>
            </w:pPr>
            <w:r w:rsidRPr="00FB3D74">
              <w:rPr>
                <w:rFonts w:cs="Arial"/>
                <w:b/>
                <w:bCs/>
                <w:sz w:val="16"/>
                <w:szCs w:val="16"/>
              </w:rPr>
              <w:t>66</w:t>
            </w:r>
            <w:r w:rsidR="00F531F5" w:rsidRPr="00FB3D74">
              <w:rPr>
                <w:rFonts w:cs="Arial"/>
                <w:b/>
                <w:bCs/>
                <w:sz w:val="16"/>
                <w:szCs w:val="16"/>
              </w:rPr>
              <w:t>.</w:t>
            </w:r>
          </w:p>
        </w:tc>
      </w:tr>
      <w:tr w:rsidR="004071CA" w:rsidRPr="00FB3D74" w14:paraId="217CC574" w14:textId="77777777" w:rsidTr="00942E95">
        <w:trPr>
          <w:trHeight w:val="20"/>
        </w:trPr>
        <w:tc>
          <w:tcPr>
            <w:tcW w:w="3823" w:type="dxa"/>
            <w:shd w:val="clear" w:color="auto" w:fill="F2F2F2" w:themeFill="background1" w:themeFillShade="F2"/>
            <w:vAlign w:val="center"/>
          </w:tcPr>
          <w:p w14:paraId="4024F81B" w14:textId="7F0118A8" w:rsidR="004071CA" w:rsidRPr="00FB3D74" w:rsidRDefault="004071CA" w:rsidP="00942E95">
            <w:pPr>
              <w:rPr>
                <w:rFonts w:cs="Arial"/>
                <w:b/>
                <w:bCs/>
                <w:sz w:val="16"/>
                <w:szCs w:val="16"/>
              </w:rPr>
            </w:pPr>
            <w:r w:rsidRPr="00FB3D74">
              <w:rPr>
                <w:rFonts w:cs="Arial"/>
                <w:b/>
                <w:bCs/>
                <w:sz w:val="16"/>
                <w:szCs w:val="16"/>
              </w:rPr>
              <w:t>Dependencia/Organismo</w:t>
            </w:r>
            <w:r w:rsidR="00F531F5" w:rsidRPr="00FB3D74">
              <w:rPr>
                <w:rFonts w:cs="Arial"/>
                <w:b/>
                <w:bCs/>
                <w:sz w:val="16"/>
                <w:szCs w:val="16"/>
              </w:rPr>
              <w:t>.</w:t>
            </w:r>
          </w:p>
        </w:tc>
        <w:tc>
          <w:tcPr>
            <w:tcW w:w="4992" w:type="dxa"/>
            <w:shd w:val="clear" w:color="auto" w:fill="F2F2F2" w:themeFill="background1" w:themeFillShade="F2"/>
            <w:vAlign w:val="center"/>
          </w:tcPr>
          <w:p w14:paraId="654EF794" w14:textId="77777777" w:rsidR="004071CA" w:rsidRPr="00FB3D74" w:rsidRDefault="004071CA" w:rsidP="00942E95">
            <w:pPr>
              <w:tabs>
                <w:tab w:val="left" w:pos="397"/>
              </w:tabs>
              <w:rPr>
                <w:rFonts w:cs="Arial"/>
                <w:b/>
                <w:bCs/>
                <w:sz w:val="16"/>
                <w:szCs w:val="16"/>
              </w:rPr>
            </w:pPr>
            <w:r w:rsidRPr="00FB3D74">
              <w:rPr>
                <w:rFonts w:cs="Arial"/>
                <w:b/>
                <w:bCs/>
                <w:sz w:val="16"/>
                <w:szCs w:val="16"/>
              </w:rPr>
              <w:t>Secretaría de Educación y Cultura.</w:t>
            </w:r>
          </w:p>
        </w:tc>
      </w:tr>
      <w:tr w:rsidR="004071CA" w:rsidRPr="00FB3D74" w14:paraId="1CBB0856" w14:textId="77777777" w:rsidTr="00942E95">
        <w:trPr>
          <w:trHeight w:val="20"/>
        </w:trPr>
        <w:tc>
          <w:tcPr>
            <w:tcW w:w="3823" w:type="dxa"/>
            <w:shd w:val="clear" w:color="auto" w:fill="F2F2F2" w:themeFill="background1" w:themeFillShade="F2"/>
            <w:vAlign w:val="center"/>
          </w:tcPr>
          <w:p w14:paraId="4AAFC111" w14:textId="681BE861" w:rsidR="004071CA" w:rsidRPr="00FB3D74" w:rsidRDefault="004071CA" w:rsidP="00942E95">
            <w:pPr>
              <w:rPr>
                <w:rFonts w:cs="Arial"/>
                <w:b/>
                <w:bCs/>
                <w:sz w:val="16"/>
                <w:szCs w:val="16"/>
              </w:rPr>
            </w:pPr>
            <w:r w:rsidRPr="00FB3D74">
              <w:rPr>
                <w:rFonts w:cs="Arial"/>
                <w:b/>
                <w:bCs/>
                <w:sz w:val="16"/>
                <w:szCs w:val="16"/>
              </w:rPr>
              <w:t>Objetivo Anual</w:t>
            </w:r>
            <w:r w:rsidR="00F531F5" w:rsidRPr="00FB3D74">
              <w:rPr>
                <w:rFonts w:cs="Arial"/>
                <w:b/>
                <w:bCs/>
                <w:sz w:val="16"/>
                <w:szCs w:val="16"/>
              </w:rPr>
              <w:t>.</w:t>
            </w:r>
          </w:p>
        </w:tc>
        <w:tc>
          <w:tcPr>
            <w:tcW w:w="4992" w:type="dxa"/>
            <w:shd w:val="clear" w:color="auto" w:fill="F2F2F2" w:themeFill="background1" w:themeFillShade="F2"/>
            <w:vAlign w:val="center"/>
          </w:tcPr>
          <w:p w14:paraId="538E7F6B" w14:textId="356C1A84" w:rsidR="004071CA" w:rsidRPr="00FB3D74" w:rsidRDefault="004071CA" w:rsidP="00942E95">
            <w:pPr>
              <w:rPr>
                <w:rFonts w:cs="Arial"/>
                <w:sz w:val="16"/>
                <w:szCs w:val="16"/>
              </w:rPr>
            </w:pPr>
            <w:r w:rsidRPr="00FB3D74">
              <w:rPr>
                <w:rFonts w:cs="Arial"/>
                <w:sz w:val="16"/>
                <w:szCs w:val="16"/>
              </w:rPr>
              <w:t xml:space="preserve">Los alumnos del </w:t>
            </w:r>
            <w:r w:rsidR="00AD1107" w:rsidRPr="00FB3D74">
              <w:rPr>
                <w:rFonts w:cs="Arial"/>
                <w:sz w:val="16"/>
                <w:szCs w:val="16"/>
              </w:rPr>
              <w:t xml:space="preserve">Estado </w:t>
            </w:r>
            <w:r w:rsidRPr="00FB3D74">
              <w:rPr>
                <w:rFonts w:cs="Arial"/>
                <w:sz w:val="16"/>
                <w:szCs w:val="16"/>
              </w:rPr>
              <w:t>de Colima cuentan con un servicio de Educación Superior acreditado.</w:t>
            </w:r>
          </w:p>
        </w:tc>
      </w:tr>
      <w:tr w:rsidR="004071CA" w:rsidRPr="00FB3D74" w14:paraId="32BB7F41" w14:textId="77777777" w:rsidTr="00942E95">
        <w:trPr>
          <w:trHeight w:val="20"/>
        </w:trPr>
        <w:tc>
          <w:tcPr>
            <w:tcW w:w="3823" w:type="dxa"/>
            <w:shd w:val="clear" w:color="auto" w:fill="F2F2F2" w:themeFill="background1" w:themeFillShade="F2"/>
            <w:vAlign w:val="center"/>
          </w:tcPr>
          <w:p w14:paraId="4E3B8443" w14:textId="77777777" w:rsidR="004071CA" w:rsidRPr="00FB3D74" w:rsidRDefault="004071CA" w:rsidP="00F531F5">
            <w:pPr>
              <w:jc w:val="center"/>
              <w:rPr>
                <w:rFonts w:cs="Arial"/>
                <w:sz w:val="16"/>
                <w:szCs w:val="16"/>
              </w:rPr>
            </w:pPr>
            <w:r w:rsidRPr="00FB3D74">
              <w:rPr>
                <w:rFonts w:cs="Arial"/>
                <w:b/>
                <w:bCs/>
                <w:sz w:val="16"/>
                <w:szCs w:val="16"/>
              </w:rPr>
              <w:lastRenderedPageBreak/>
              <w:t>Estrategias</w:t>
            </w:r>
          </w:p>
        </w:tc>
        <w:tc>
          <w:tcPr>
            <w:tcW w:w="4992" w:type="dxa"/>
            <w:shd w:val="clear" w:color="auto" w:fill="F2F2F2" w:themeFill="background1" w:themeFillShade="F2"/>
            <w:vAlign w:val="center"/>
          </w:tcPr>
          <w:p w14:paraId="5C4DE0F2" w14:textId="77777777" w:rsidR="004071CA" w:rsidRPr="00FB3D74" w:rsidRDefault="004071CA" w:rsidP="00F531F5">
            <w:pPr>
              <w:jc w:val="center"/>
              <w:rPr>
                <w:rFonts w:cs="Arial"/>
                <w:sz w:val="16"/>
                <w:szCs w:val="16"/>
              </w:rPr>
            </w:pPr>
            <w:r w:rsidRPr="00FB3D74">
              <w:rPr>
                <w:rFonts w:cs="Arial"/>
                <w:b/>
                <w:bCs/>
                <w:sz w:val="16"/>
                <w:szCs w:val="16"/>
              </w:rPr>
              <w:t>Metas</w:t>
            </w:r>
          </w:p>
        </w:tc>
      </w:tr>
      <w:tr w:rsidR="004071CA" w:rsidRPr="00FB3D74" w14:paraId="421EBC6D" w14:textId="77777777" w:rsidTr="00942E95">
        <w:trPr>
          <w:trHeight w:val="20"/>
        </w:trPr>
        <w:tc>
          <w:tcPr>
            <w:tcW w:w="3823" w:type="dxa"/>
            <w:vAlign w:val="center"/>
          </w:tcPr>
          <w:p w14:paraId="5E0DA432" w14:textId="77777777" w:rsidR="004071CA" w:rsidRPr="00FB3D74" w:rsidRDefault="004071CA" w:rsidP="00942E95">
            <w:pPr>
              <w:rPr>
                <w:rFonts w:cs="Arial"/>
                <w:sz w:val="16"/>
                <w:szCs w:val="16"/>
              </w:rPr>
            </w:pPr>
            <w:r w:rsidRPr="00FB3D74">
              <w:rPr>
                <w:rFonts w:cs="Arial"/>
                <w:sz w:val="16"/>
                <w:szCs w:val="16"/>
              </w:rPr>
              <w:t>Servicios de nivel superior proporcionados en la Universidad Pedagógica Nacional del estado de Colima.</w:t>
            </w:r>
          </w:p>
        </w:tc>
        <w:tc>
          <w:tcPr>
            <w:tcW w:w="4992" w:type="dxa"/>
            <w:vAlign w:val="center"/>
          </w:tcPr>
          <w:p w14:paraId="4C610C39" w14:textId="774D1442" w:rsidR="004071CA" w:rsidRPr="00FB3D74" w:rsidRDefault="004071CA" w:rsidP="00942E95">
            <w:pPr>
              <w:rPr>
                <w:rFonts w:cs="Arial"/>
                <w:sz w:val="16"/>
                <w:szCs w:val="16"/>
              </w:rPr>
            </w:pPr>
            <w:r w:rsidRPr="00FB3D74">
              <w:rPr>
                <w:rFonts w:cs="Arial"/>
                <w:sz w:val="16"/>
                <w:szCs w:val="16"/>
              </w:rPr>
              <w:t xml:space="preserve">Aumentar a 85 el número de estudiantes de nuevo ingreso aceptados en la Licenciaturas y Maestrías de Universidad Pedagógica Nacional del </w:t>
            </w:r>
            <w:r w:rsidR="00F531F5" w:rsidRPr="00FB3D74">
              <w:rPr>
                <w:rFonts w:cs="Arial"/>
                <w:sz w:val="16"/>
                <w:szCs w:val="16"/>
              </w:rPr>
              <w:t>Estado</w:t>
            </w:r>
            <w:r w:rsidRPr="00FB3D74">
              <w:rPr>
                <w:rFonts w:cs="Arial"/>
                <w:sz w:val="16"/>
                <w:szCs w:val="16"/>
              </w:rPr>
              <w:t>.</w:t>
            </w:r>
          </w:p>
        </w:tc>
      </w:tr>
      <w:tr w:rsidR="004071CA" w:rsidRPr="00FB3D74" w14:paraId="3533232F" w14:textId="77777777" w:rsidTr="00942E95">
        <w:trPr>
          <w:trHeight w:val="20"/>
        </w:trPr>
        <w:tc>
          <w:tcPr>
            <w:tcW w:w="3823" w:type="dxa"/>
            <w:vAlign w:val="center"/>
          </w:tcPr>
          <w:p w14:paraId="302F73A5" w14:textId="77777777" w:rsidR="004071CA" w:rsidRPr="00FB3D74" w:rsidRDefault="004071CA" w:rsidP="00942E95">
            <w:pPr>
              <w:rPr>
                <w:rFonts w:cs="Arial"/>
                <w:sz w:val="16"/>
                <w:szCs w:val="16"/>
              </w:rPr>
            </w:pPr>
            <w:r w:rsidRPr="00FB3D74">
              <w:rPr>
                <w:rFonts w:cs="Arial"/>
                <w:sz w:val="16"/>
                <w:szCs w:val="16"/>
              </w:rPr>
              <w:t>Reuniones ordinarias realizadas por la comisión estatal para la planeación de la educación superior. (COEPES)</w:t>
            </w:r>
          </w:p>
        </w:tc>
        <w:tc>
          <w:tcPr>
            <w:tcW w:w="4992" w:type="dxa"/>
            <w:vAlign w:val="center"/>
          </w:tcPr>
          <w:p w14:paraId="277456D0" w14:textId="77777777" w:rsidR="004071CA" w:rsidRPr="00FB3D74" w:rsidRDefault="004071CA" w:rsidP="00942E95">
            <w:pPr>
              <w:rPr>
                <w:rFonts w:cs="Arial"/>
                <w:sz w:val="16"/>
                <w:szCs w:val="16"/>
              </w:rPr>
            </w:pPr>
            <w:r w:rsidRPr="00FB3D74">
              <w:rPr>
                <w:rFonts w:cs="Arial"/>
                <w:sz w:val="16"/>
                <w:szCs w:val="16"/>
              </w:rPr>
              <w:t>Realizar el 100 por ciento de 4 de sesiones ordinarias realizadas.</w:t>
            </w:r>
          </w:p>
        </w:tc>
      </w:tr>
      <w:tr w:rsidR="004071CA" w:rsidRPr="00FB3D74" w14:paraId="448C4D6C" w14:textId="77777777" w:rsidTr="00942E95">
        <w:trPr>
          <w:trHeight w:val="20"/>
        </w:trPr>
        <w:tc>
          <w:tcPr>
            <w:tcW w:w="3823" w:type="dxa"/>
            <w:vAlign w:val="center"/>
          </w:tcPr>
          <w:p w14:paraId="05D98FB4" w14:textId="20C45F29" w:rsidR="004071CA" w:rsidRPr="00FB3D74" w:rsidRDefault="004071CA" w:rsidP="00942E95">
            <w:pPr>
              <w:rPr>
                <w:rFonts w:cs="Arial"/>
                <w:sz w:val="16"/>
                <w:szCs w:val="16"/>
              </w:rPr>
            </w:pPr>
            <w:r w:rsidRPr="00FB3D74">
              <w:rPr>
                <w:rFonts w:cs="Arial"/>
                <w:sz w:val="16"/>
                <w:szCs w:val="16"/>
              </w:rPr>
              <w:t xml:space="preserve">Programa </w:t>
            </w:r>
            <w:r w:rsidR="00AD1107" w:rsidRPr="00FB3D74">
              <w:rPr>
                <w:rFonts w:cs="Arial"/>
                <w:sz w:val="16"/>
                <w:szCs w:val="16"/>
              </w:rPr>
              <w:t xml:space="preserve">Fortalecimiento a la Excelencia Educativa </w:t>
            </w:r>
            <w:r w:rsidRPr="00FB3D74">
              <w:rPr>
                <w:rFonts w:cs="Arial"/>
                <w:sz w:val="16"/>
                <w:szCs w:val="16"/>
              </w:rPr>
              <w:t>(PROFEXCE) implementado en el Instituto Superior de Educación Normal del estado de Colima.</w:t>
            </w:r>
          </w:p>
        </w:tc>
        <w:tc>
          <w:tcPr>
            <w:tcW w:w="4992" w:type="dxa"/>
            <w:vAlign w:val="center"/>
          </w:tcPr>
          <w:p w14:paraId="066AA6C3" w14:textId="77777777" w:rsidR="004071CA" w:rsidRPr="00FB3D74" w:rsidRDefault="004071CA" w:rsidP="00942E95">
            <w:pPr>
              <w:rPr>
                <w:rFonts w:cs="Arial"/>
                <w:sz w:val="16"/>
                <w:szCs w:val="16"/>
              </w:rPr>
            </w:pPr>
            <w:r w:rsidRPr="00FB3D74">
              <w:rPr>
                <w:rFonts w:cs="Arial"/>
                <w:sz w:val="16"/>
                <w:szCs w:val="16"/>
              </w:rPr>
              <w:t>Realizar el 100 por ciento los 3 proyectos académicos, de gestión y acciones de gestión y académicas implementadas.</w:t>
            </w:r>
          </w:p>
        </w:tc>
      </w:tr>
      <w:tr w:rsidR="004071CA" w:rsidRPr="00FB3D74" w14:paraId="60408AE3" w14:textId="77777777" w:rsidTr="00942E95">
        <w:trPr>
          <w:trHeight w:val="20"/>
        </w:trPr>
        <w:tc>
          <w:tcPr>
            <w:tcW w:w="3823" w:type="dxa"/>
            <w:vAlign w:val="center"/>
          </w:tcPr>
          <w:p w14:paraId="5583061E" w14:textId="77777777" w:rsidR="004071CA" w:rsidRPr="00FB3D74" w:rsidRDefault="004071CA" w:rsidP="00942E95">
            <w:pPr>
              <w:rPr>
                <w:rFonts w:cs="Arial"/>
                <w:sz w:val="16"/>
                <w:szCs w:val="16"/>
              </w:rPr>
            </w:pPr>
            <w:r w:rsidRPr="00FB3D74">
              <w:rPr>
                <w:rFonts w:cs="Arial"/>
                <w:sz w:val="16"/>
                <w:szCs w:val="16"/>
              </w:rPr>
              <w:t>Dictámenes de Equivalencias y/o Revalidaciones de Estudios de Educación Superior emitidos.</w:t>
            </w:r>
          </w:p>
        </w:tc>
        <w:tc>
          <w:tcPr>
            <w:tcW w:w="4992" w:type="dxa"/>
            <w:vAlign w:val="center"/>
          </w:tcPr>
          <w:p w14:paraId="1E8E9D98" w14:textId="77777777" w:rsidR="004071CA" w:rsidRPr="00FB3D74" w:rsidRDefault="004071CA" w:rsidP="00942E95">
            <w:pPr>
              <w:rPr>
                <w:rFonts w:cs="Arial"/>
                <w:sz w:val="16"/>
                <w:szCs w:val="16"/>
              </w:rPr>
            </w:pPr>
            <w:r w:rsidRPr="00FB3D74">
              <w:rPr>
                <w:rFonts w:cs="Arial"/>
                <w:sz w:val="16"/>
                <w:szCs w:val="16"/>
              </w:rPr>
              <w:t>Emitir al 100 por ciento 190 Dictámenes de Equivalencias y/o Revalidaciones de Estudios de Educación Superior.</w:t>
            </w:r>
          </w:p>
        </w:tc>
      </w:tr>
      <w:tr w:rsidR="004071CA" w:rsidRPr="00FB3D74" w14:paraId="3EA6F18B" w14:textId="77777777" w:rsidTr="00942E95">
        <w:trPr>
          <w:trHeight w:val="20"/>
        </w:trPr>
        <w:tc>
          <w:tcPr>
            <w:tcW w:w="3823" w:type="dxa"/>
            <w:shd w:val="clear" w:color="auto" w:fill="F2F2F2" w:themeFill="background1" w:themeFillShade="F2"/>
            <w:vAlign w:val="center"/>
          </w:tcPr>
          <w:p w14:paraId="271D08EC" w14:textId="630F282D" w:rsidR="004071CA" w:rsidRPr="00FB3D74" w:rsidRDefault="004071CA" w:rsidP="00942E95">
            <w:pPr>
              <w:rPr>
                <w:rFonts w:cs="Arial"/>
                <w:b/>
                <w:bCs/>
                <w:sz w:val="16"/>
                <w:szCs w:val="16"/>
              </w:rPr>
            </w:pPr>
            <w:r w:rsidRPr="00FB3D74">
              <w:rPr>
                <w:rFonts w:cs="Arial"/>
                <w:b/>
                <w:bCs/>
                <w:sz w:val="16"/>
                <w:szCs w:val="16"/>
              </w:rPr>
              <w:t>Número de Programa Presupuestal</w:t>
            </w:r>
            <w:r w:rsidR="00F531F5" w:rsidRPr="00FB3D74">
              <w:rPr>
                <w:rFonts w:cs="Arial"/>
                <w:b/>
                <w:bCs/>
                <w:sz w:val="16"/>
                <w:szCs w:val="16"/>
              </w:rPr>
              <w:t>.</w:t>
            </w:r>
          </w:p>
        </w:tc>
        <w:tc>
          <w:tcPr>
            <w:tcW w:w="4992" w:type="dxa"/>
            <w:shd w:val="clear" w:color="auto" w:fill="F2F2F2" w:themeFill="background1" w:themeFillShade="F2"/>
            <w:vAlign w:val="center"/>
          </w:tcPr>
          <w:p w14:paraId="1FEC1323" w14:textId="2DB9EEDD" w:rsidR="004071CA" w:rsidRPr="00FB3D74" w:rsidRDefault="004071CA" w:rsidP="00942E95">
            <w:pPr>
              <w:rPr>
                <w:rFonts w:cs="Arial"/>
                <w:b/>
                <w:bCs/>
                <w:sz w:val="16"/>
                <w:szCs w:val="16"/>
              </w:rPr>
            </w:pPr>
            <w:r w:rsidRPr="00FB3D74">
              <w:rPr>
                <w:rFonts w:cs="Arial"/>
                <w:b/>
                <w:bCs/>
                <w:sz w:val="16"/>
                <w:szCs w:val="16"/>
              </w:rPr>
              <w:t>75</w:t>
            </w:r>
            <w:r w:rsidR="00F531F5" w:rsidRPr="00FB3D74">
              <w:rPr>
                <w:rFonts w:cs="Arial"/>
                <w:b/>
                <w:bCs/>
                <w:sz w:val="16"/>
                <w:szCs w:val="16"/>
              </w:rPr>
              <w:t>.</w:t>
            </w:r>
          </w:p>
        </w:tc>
      </w:tr>
      <w:tr w:rsidR="004071CA" w:rsidRPr="00FB3D74" w14:paraId="68629374" w14:textId="77777777" w:rsidTr="00942E95">
        <w:trPr>
          <w:trHeight w:val="20"/>
        </w:trPr>
        <w:tc>
          <w:tcPr>
            <w:tcW w:w="3823" w:type="dxa"/>
            <w:shd w:val="clear" w:color="auto" w:fill="F2F2F2" w:themeFill="background1" w:themeFillShade="F2"/>
            <w:vAlign w:val="center"/>
          </w:tcPr>
          <w:p w14:paraId="258D3472" w14:textId="57853E75" w:rsidR="004071CA" w:rsidRPr="00FB3D74" w:rsidRDefault="004071CA" w:rsidP="00942E95">
            <w:pPr>
              <w:rPr>
                <w:rFonts w:cs="Arial"/>
                <w:b/>
                <w:bCs/>
                <w:sz w:val="16"/>
                <w:szCs w:val="16"/>
              </w:rPr>
            </w:pPr>
            <w:r w:rsidRPr="00FB3D74">
              <w:rPr>
                <w:rFonts w:cs="Arial"/>
                <w:b/>
                <w:bCs/>
                <w:sz w:val="16"/>
                <w:szCs w:val="16"/>
              </w:rPr>
              <w:t>Dependencia/Organismo</w:t>
            </w:r>
            <w:r w:rsidR="00F531F5" w:rsidRPr="00FB3D74">
              <w:rPr>
                <w:rFonts w:cs="Arial"/>
                <w:b/>
                <w:bCs/>
                <w:sz w:val="16"/>
                <w:szCs w:val="16"/>
              </w:rPr>
              <w:t>.</w:t>
            </w:r>
          </w:p>
        </w:tc>
        <w:tc>
          <w:tcPr>
            <w:tcW w:w="4992" w:type="dxa"/>
            <w:shd w:val="clear" w:color="auto" w:fill="F2F2F2" w:themeFill="background1" w:themeFillShade="F2"/>
            <w:vAlign w:val="center"/>
          </w:tcPr>
          <w:p w14:paraId="3521AFD0" w14:textId="77777777" w:rsidR="004071CA" w:rsidRPr="00FB3D74" w:rsidRDefault="004071CA" w:rsidP="00942E95">
            <w:pPr>
              <w:tabs>
                <w:tab w:val="left" w:pos="397"/>
              </w:tabs>
              <w:rPr>
                <w:rFonts w:cs="Arial"/>
                <w:b/>
                <w:bCs/>
                <w:sz w:val="16"/>
                <w:szCs w:val="16"/>
              </w:rPr>
            </w:pPr>
            <w:r w:rsidRPr="00FB3D74">
              <w:rPr>
                <w:rFonts w:cs="Arial"/>
                <w:b/>
                <w:bCs/>
                <w:sz w:val="16"/>
                <w:szCs w:val="16"/>
              </w:rPr>
              <w:t>Subsecretaría de Movilidad</w:t>
            </w:r>
          </w:p>
        </w:tc>
      </w:tr>
      <w:tr w:rsidR="004071CA" w:rsidRPr="00FB3D74" w14:paraId="7E63003A" w14:textId="77777777" w:rsidTr="00942E95">
        <w:trPr>
          <w:trHeight w:val="20"/>
        </w:trPr>
        <w:tc>
          <w:tcPr>
            <w:tcW w:w="3823" w:type="dxa"/>
            <w:shd w:val="clear" w:color="auto" w:fill="F2F2F2" w:themeFill="background1" w:themeFillShade="F2"/>
            <w:vAlign w:val="center"/>
          </w:tcPr>
          <w:p w14:paraId="28BFC1A1" w14:textId="510D5E63" w:rsidR="004071CA" w:rsidRPr="00FB3D74" w:rsidRDefault="004071CA" w:rsidP="00942E95">
            <w:pPr>
              <w:rPr>
                <w:rFonts w:cs="Arial"/>
                <w:b/>
                <w:bCs/>
                <w:sz w:val="16"/>
                <w:szCs w:val="16"/>
              </w:rPr>
            </w:pPr>
            <w:r w:rsidRPr="00FB3D74">
              <w:rPr>
                <w:rFonts w:cs="Arial"/>
                <w:b/>
                <w:bCs/>
                <w:sz w:val="16"/>
                <w:szCs w:val="16"/>
              </w:rPr>
              <w:t>Objetivo Anual</w:t>
            </w:r>
            <w:r w:rsidR="00F531F5" w:rsidRPr="00FB3D74">
              <w:rPr>
                <w:rFonts w:cs="Arial"/>
                <w:b/>
                <w:bCs/>
                <w:sz w:val="16"/>
                <w:szCs w:val="16"/>
              </w:rPr>
              <w:t>.</w:t>
            </w:r>
          </w:p>
        </w:tc>
        <w:tc>
          <w:tcPr>
            <w:tcW w:w="4992" w:type="dxa"/>
            <w:shd w:val="clear" w:color="auto" w:fill="F2F2F2" w:themeFill="background1" w:themeFillShade="F2"/>
            <w:vAlign w:val="center"/>
          </w:tcPr>
          <w:p w14:paraId="5F73F3F6" w14:textId="77777777" w:rsidR="004071CA" w:rsidRPr="00FB3D74" w:rsidRDefault="004071CA" w:rsidP="00942E95">
            <w:pPr>
              <w:rPr>
                <w:rFonts w:cs="Arial"/>
                <w:sz w:val="16"/>
                <w:szCs w:val="16"/>
              </w:rPr>
            </w:pPr>
            <w:r w:rsidRPr="00FB3D74">
              <w:rPr>
                <w:rFonts w:cs="Arial"/>
                <w:sz w:val="16"/>
                <w:szCs w:val="16"/>
              </w:rPr>
              <w:t>Los habitantes y visitantes del Estado de Colima se mueven libremente en diferentes medios de transporte de forma segura.</w:t>
            </w:r>
          </w:p>
        </w:tc>
      </w:tr>
      <w:tr w:rsidR="004071CA" w:rsidRPr="00FB3D74" w14:paraId="7F73EFFA" w14:textId="77777777" w:rsidTr="00942E95">
        <w:trPr>
          <w:trHeight w:val="20"/>
        </w:trPr>
        <w:tc>
          <w:tcPr>
            <w:tcW w:w="3823" w:type="dxa"/>
            <w:shd w:val="clear" w:color="auto" w:fill="F2F2F2" w:themeFill="background1" w:themeFillShade="F2"/>
            <w:vAlign w:val="center"/>
          </w:tcPr>
          <w:p w14:paraId="370CA56F" w14:textId="77777777" w:rsidR="004071CA" w:rsidRPr="00FB3D74" w:rsidRDefault="004071CA" w:rsidP="00F531F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7B33709B" w14:textId="77777777" w:rsidR="004071CA" w:rsidRPr="00FB3D74" w:rsidRDefault="004071CA" w:rsidP="00F531F5">
            <w:pPr>
              <w:jc w:val="center"/>
              <w:rPr>
                <w:rFonts w:cs="Arial"/>
                <w:sz w:val="16"/>
                <w:szCs w:val="16"/>
              </w:rPr>
            </w:pPr>
            <w:r w:rsidRPr="00FB3D74">
              <w:rPr>
                <w:rFonts w:cs="Arial"/>
                <w:b/>
                <w:bCs/>
                <w:sz w:val="16"/>
                <w:szCs w:val="16"/>
              </w:rPr>
              <w:t>Metas</w:t>
            </w:r>
          </w:p>
        </w:tc>
      </w:tr>
      <w:tr w:rsidR="004071CA" w:rsidRPr="00FB3D74" w14:paraId="4165E6D5" w14:textId="77777777" w:rsidTr="00942E95">
        <w:trPr>
          <w:trHeight w:val="20"/>
        </w:trPr>
        <w:tc>
          <w:tcPr>
            <w:tcW w:w="3823" w:type="dxa"/>
            <w:vMerge w:val="restart"/>
            <w:vAlign w:val="center"/>
          </w:tcPr>
          <w:p w14:paraId="1DCA4BD3" w14:textId="1796140A" w:rsidR="004071CA" w:rsidRPr="00FB3D74" w:rsidRDefault="004071CA" w:rsidP="00942E95">
            <w:pPr>
              <w:rPr>
                <w:rFonts w:cs="Arial"/>
                <w:sz w:val="16"/>
                <w:szCs w:val="16"/>
              </w:rPr>
            </w:pPr>
            <w:r w:rsidRPr="00FB3D74">
              <w:rPr>
                <w:rFonts w:cs="Arial"/>
                <w:sz w:val="16"/>
                <w:szCs w:val="16"/>
              </w:rPr>
              <w:t xml:space="preserve">Modos de transporte ofrecidos a las personas que habitan y visitan el </w:t>
            </w:r>
            <w:r w:rsidR="006C2681" w:rsidRPr="00FB3D74">
              <w:rPr>
                <w:rFonts w:cs="Arial"/>
                <w:sz w:val="16"/>
                <w:szCs w:val="16"/>
              </w:rPr>
              <w:t xml:space="preserve">Estado </w:t>
            </w:r>
            <w:r w:rsidRPr="00FB3D74">
              <w:rPr>
                <w:rFonts w:cs="Arial"/>
                <w:sz w:val="16"/>
                <w:szCs w:val="16"/>
              </w:rPr>
              <w:t>de Colima, privilegiando peatones, ciclistas y personas usuarias de transporte público de forma segura.</w:t>
            </w:r>
          </w:p>
        </w:tc>
        <w:tc>
          <w:tcPr>
            <w:tcW w:w="4992" w:type="dxa"/>
            <w:vAlign w:val="center"/>
          </w:tcPr>
          <w:p w14:paraId="74CB96D2" w14:textId="77777777" w:rsidR="004071CA" w:rsidRPr="00FB3D74" w:rsidRDefault="004071CA" w:rsidP="00942E95">
            <w:pPr>
              <w:rPr>
                <w:rFonts w:cs="Arial"/>
                <w:sz w:val="16"/>
                <w:szCs w:val="16"/>
              </w:rPr>
            </w:pPr>
            <w:r w:rsidRPr="00FB3D74">
              <w:rPr>
                <w:rFonts w:cs="Arial"/>
                <w:sz w:val="16"/>
                <w:szCs w:val="16"/>
              </w:rPr>
              <w:t>Incrementar al 1.8 por ciento la población que va a la escuela en bicicleta.</w:t>
            </w:r>
          </w:p>
        </w:tc>
      </w:tr>
      <w:tr w:rsidR="004071CA" w:rsidRPr="00FB3D74" w14:paraId="02D6D59E" w14:textId="77777777" w:rsidTr="00942E95">
        <w:trPr>
          <w:trHeight w:val="20"/>
        </w:trPr>
        <w:tc>
          <w:tcPr>
            <w:tcW w:w="3823" w:type="dxa"/>
            <w:vMerge/>
            <w:vAlign w:val="center"/>
          </w:tcPr>
          <w:p w14:paraId="7D554C9F" w14:textId="77777777" w:rsidR="004071CA" w:rsidRPr="00FB3D74" w:rsidRDefault="004071CA" w:rsidP="00942E95">
            <w:pPr>
              <w:rPr>
                <w:rFonts w:cs="Arial"/>
                <w:sz w:val="16"/>
                <w:szCs w:val="16"/>
              </w:rPr>
            </w:pPr>
          </w:p>
        </w:tc>
        <w:tc>
          <w:tcPr>
            <w:tcW w:w="4992" w:type="dxa"/>
            <w:vAlign w:val="center"/>
          </w:tcPr>
          <w:p w14:paraId="4C696865" w14:textId="77777777" w:rsidR="004071CA" w:rsidRPr="00FB3D74" w:rsidRDefault="004071CA" w:rsidP="00942E95">
            <w:pPr>
              <w:rPr>
                <w:rFonts w:cs="Arial"/>
                <w:sz w:val="16"/>
                <w:szCs w:val="16"/>
              </w:rPr>
            </w:pPr>
            <w:r w:rsidRPr="00FB3D74">
              <w:rPr>
                <w:rFonts w:cs="Arial"/>
                <w:sz w:val="16"/>
                <w:szCs w:val="16"/>
              </w:rPr>
              <w:t>Mantener el 4.3 por ciento la población que va al trabajo en bicicleta.</w:t>
            </w:r>
          </w:p>
        </w:tc>
      </w:tr>
      <w:tr w:rsidR="004071CA" w:rsidRPr="00FB3D74" w14:paraId="79F8D77A" w14:textId="77777777" w:rsidTr="00942E95">
        <w:trPr>
          <w:trHeight w:val="20"/>
        </w:trPr>
        <w:tc>
          <w:tcPr>
            <w:tcW w:w="3823" w:type="dxa"/>
            <w:vMerge/>
            <w:vAlign w:val="center"/>
          </w:tcPr>
          <w:p w14:paraId="06CDC998" w14:textId="77777777" w:rsidR="004071CA" w:rsidRPr="00FB3D74" w:rsidRDefault="004071CA" w:rsidP="00942E95">
            <w:pPr>
              <w:rPr>
                <w:rFonts w:cs="Arial"/>
                <w:sz w:val="16"/>
                <w:szCs w:val="16"/>
              </w:rPr>
            </w:pPr>
          </w:p>
        </w:tc>
        <w:tc>
          <w:tcPr>
            <w:tcW w:w="4992" w:type="dxa"/>
            <w:vAlign w:val="center"/>
          </w:tcPr>
          <w:p w14:paraId="1FBB92BB" w14:textId="77777777" w:rsidR="004071CA" w:rsidRPr="00FB3D74" w:rsidRDefault="004071CA" w:rsidP="00942E95">
            <w:pPr>
              <w:rPr>
                <w:rFonts w:cs="Arial"/>
                <w:sz w:val="16"/>
                <w:szCs w:val="16"/>
              </w:rPr>
            </w:pPr>
            <w:r w:rsidRPr="00FB3D74">
              <w:rPr>
                <w:rFonts w:cs="Arial"/>
                <w:sz w:val="16"/>
                <w:szCs w:val="16"/>
              </w:rPr>
              <w:t>Mantener el 46.2 por ciento la población que va a la escuela a pie.</w:t>
            </w:r>
          </w:p>
        </w:tc>
      </w:tr>
      <w:tr w:rsidR="004071CA" w:rsidRPr="00FB3D74" w14:paraId="3D859E03" w14:textId="77777777" w:rsidTr="00942E95">
        <w:trPr>
          <w:trHeight w:val="20"/>
        </w:trPr>
        <w:tc>
          <w:tcPr>
            <w:tcW w:w="3823" w:type="dxa"/>
            <w:vMerge/>
            <w:vAlign w:val="center"/>
          </w:tcPr>
          <w:p w14:paraId="5A6F662E" w14:textId="77777777" w:rsidR="004071CA" w:rsidRPr="00FB3D74" w:rsidRDefault="004071CA" w:rsidP="00942E95">
            <w:pPr>
              <w:rPr>
                <w:rFonts w:cs="Arial"/>
                <w:sz w:val="16"/>
                <w:szCs w:val="16"/>
              </w:rPr>
            </w:pPr>
          </w:p>
        </w:tc>
        <w:tc>
          <w:tcPr>
            <w:tcW w:w="4992" w:type="dxa"/>
            <w:vAlign w:val="center"/>
          </w:tcPr>
          <w:p w14:paraId="7EAFE8DF" w14:textId="4C701049" w:rsidR="004071CA" w:rsidRPr="00FB3D74" w:rsidRDefault="004071CA" w:rsidP="00942E95">
            <w:pPr>
              <w:rPr>
                <w:rFonts w:cs="Arial"/>
                <w:sz w:val="16"/>
                <w:szCs w:val="16"/>
              </w:rPr>
            </w:pPr>
            <w:r w:rsidRPr="00FB3D74">
              <w:rPr>
                <w:rFonts w:cs="Arial"/>
                <w:sz w:val="16"/>
                <w:szCs w:val="16"/>
              </w:rPr>
              <w:t xml:space="preserve">Mantener el 21.2 por ciento la población que va a la escuela </w:t>
            </w:r>
            <w:r w:rsidR="006C2681" w:rsidRPr="00FB3D74">
              <w:rPr>
                <w:rFonts w:cs="Arial"/>
                <w:sz w:val="16"/>
                <w:szCs w:val="16"/>
              </w:rPr>
              <w:t xml:space="preserve">y </w:t>
            </w:r>
            <w:r w:rsidRPr="00FB3D74">
              <w:rPr>
                <w:rFonts w:cs="Arial"/>
                <w:sz w:val="16"/>
                <w:szCs w:val="16"/>
              </w:rPr>
              <w:t>al trabajo.</w:t>
            </w:r>
          </w:p>
        </w:tc>
      </w:tr>
      <w:tr w:rsidR="004071CA" w:rsidRPr="00FB3D74" w14:paraId="22C50A4B" w14:textId="77777777" w:rsidTr="00942E95">
        <w:trPr>
          <w:trHeight w:val="20"/>
        </w:trPr>
        <w:tc>
          <w:tcPr>
            <w:tcW w:w="3823" w:type="dxa"/>
            <w:vAlign w:val="center"/>
          </w:tcPr>
          <w:p w14:paraId="4A0B9B40" w14:textId="3F4D22D0" w:rsidR="004071CA" w:rsidRPr="00FB3D74" w:rsidRDefault="004071CA" w:rsidP="00942E95">
            <w:pPr>
              <w:rPr>
                <w:rFonts w:cs="Arial"/>
                <w:sz w:val="16"/>
                <w:szCs w:val="16"/>
              </w:rPr>
            </w:pPr>
            <w:r w:rsidRPr="00FB3D74">
              <w:rPr>
                <w:rFonts w:cs="Arial"/>
                <w:sz w:val="16"/>
                <w:szCs w:val="16"/>
              </w:rPr>
              <w:t>Servicios de transporte público del estado de Colima ofrecidos.</w:t>
            </w:r>
          </w:p>
        </w:tc>
        <w:tc>
          <w:tcPr>
            <w:tcW w:w="4992" w:type="dxa"/>
            <w:vAlign w:val="center"/>
          </w:tcPr>
          <w:p w14:paraId="3A4FCF00" w14:textId="5258812E" w:rsidR="004071CA" w:rsidRPr="00FB3D74" w:rsidRDefault="004071CA" w:rsidP="00942E95">
            <w:pPr>
              <w:rPr>
                <w:rFonts w:cs="Arial"/>
                <w:sz w:val="16"/>
                <w:szCs w:val="16"/>
              </w:rPr>
            </w:pPr>
            <w:r w:rsidRPr="00FB3D74">
              <w:rPr>
                <w:rFonts w:cs="Arial"/>
                <w:sz w:val="16"/>
                <w:szCs w:val="16"/>
              </w:rPr>
              <w:t xml:space="preserve">Al 2027, incrementar un 10 por ciento </w:t>
            </w:r>
            <w:r w:rsidR="006C2681" w:rsidRPr="00FB3D74">
              <w:rPr>
                <w:rFonts w:cs="Arial"/>
                <w:sz w:val="16"/>
                <w:szCs w:val="16"/>
              </w:rPr>
              <w:t xml:space="preserve">de </w:t>
            </w:r>
            <w:r w:rsidRPr="00FB3D74">
              <w:rPr>
                <w:rFonts w:cs="Arial"/>
                <w:sz w:val="16"/>
                <w:szCs w:val="16"/>
              </w:rPr>
              <w:t xml:space="preserve">satisfacción de las personas usuarias por el servicio de transporte público colectivo para llegar una población satisfecha de 39.8 por ciento. </w:t>
            </w:r>
          </w:p>
        </w:tc>
      </w:tr>
      <w:tr w:rsidR="004071CA" w:rsidRPr="00FB3D74" w14:paraId="2F20CCFB" w14:textId="77777777" w:rsidTr="00942E95">
        <w:trPr>
          <w:trHeight w:val="20"/>
        </w:trPr>
        <w:tc>
          <w:tcPr>
            <w:tcW w:w="3823" w:type="dxa"/>
            <w:vAlign w:val="center"/>
          </w:tcPr>
          <w:p w14:paraId="7C28AA2C" w14:textId="162E52FA" w:rsidR="004071CA" w:rsidRPr="00FB3D74" w:rsidRDefault="004071CA" w:rsidP="00942E95">
            <w:pPr>
              <w:rPr>
                <w:rFonts w:cs="Arial"/>
                <w:sz w:val="16"/>
                <w:szCs w:val="16"/>
              </w:rPr>
            </w:pPr>
            <w:r w:rsidRPr="00FB3D74">
              <w:rPr>
                <w:rFonts w:cs="Arial"/>
                <w:sz w:val="16"/>
                <w:szCs w:val="16"/>
              </w:rPr>
              <w:t>Servicios administrativos de regulación y control que soportan el nuevo Sistema Movilidad, implementados.</w:t>
            </w:r>
          </w:p>
        </w:tc>
        <w:tc>
          <w:tcPr>
            <w:tcW w:w="4992" w:type="dxa"/>
            <w:vAlign w:val="center"/>
          </w:tcPr>
          <w:p w14:paraId="3F154C66" w14:textId="77777777" w:rsidR="004071CA" w:rsidRPr="00FB3D74" w:rsidRDefault="004071CA" w:rsidP="00942E95">
            <w:pPr>
              <w:rPr>
                <w:rFonts w:cs="Arial"/>
                <w:sz w:val="16"/>
                <w:szCs w:val="16"/>
              </w:rPr>
            </w:pPr>
            <w:r w:rsidRPr="00FB3D74">
              <w:rPr>
                <w:rFonts w:cs="Arial"/>
                <w:sz w:val="16"/>
                <w:szCs w:val="16"/>
              </w:rPr>
              <w:t>Al 2027, incrementar la satisfacción de las personas usuarias por los trámites y servicios brindados en la Subsecretaría de Movilidad en un 12 por ciento respecto a 2019 para alcanzar una calificación de 4.5, en los procesos implementados con mejora continua.</w:t>
            </w:r>
          </w:p>
        </w:tc>
      </w:tr>
      <w:tr w:rsidR="004071CA" w:rsidRPr="00FB3D74" w14:paraId="55BDC431" w14:textId="77777777" w:rsidTr="00942E95">
        <w:trPr>
          <w:trHeight w:val="20"/>
        </w:trPr>
        <w:tc>
          <w:tcPr>
            <w:tcW w:w="3823" w:type="dxa"/>
            <w:shd w:val="clear" w:color="auto" w:fill="F2F2F2" w:themeFill="background1" w:themeFillShade="F2"/>
            <w:vAlign w:val="center"/>
          </w:tcPr>
          <w:p w14:paraId="1864908D" w14:textId="08EAEE75" w:rsidR="004071CA" w:rsidRPr="00FB3D74" w:rsidRDefault="004071CA" w:rsidP="00942E95">
            <w:pPr>
              <w:rPr>
                <w:rFonts w:cs="Arial"/>
                <w:b/>
                <w:bCs/>
                <w:sz w:val="16"/>
                <w:szCs w:val="16"/>
              </w:rPr>
            </w:pPr>
            <w:r w:rsidRPr="00FB3D74">
              <w:rPr>
                <w:rFonts w:cs="Arial"/>
                <w:b/>
                <w:bCs/>
                <w:sz w:val="16"/>
                <w:szCs w:val="16"/>
              </w:rPr>
              <w:t>Número de Programa Presupuestal</w:t>
            </w:r>
            <w:r w:rsidR="00F531F5" w:rsidRPr="00FB3D74">
              <w:rPr>
                <w:rFonts w:cs="Arial"/>
                <w:b/>
                <w:bCs/>
                <w:sz w:val="16"/>
                <w:szCs w:val="16"/>
              </w:rPr>
              <w:t>.</w:t>
            </w:r>
          </w:p>
        </w:tc>
        <w:tc>
          <w:tcPr>
            <w:tcW w:w="4992" w:type="dxa"/>
            <w:shd w:val="clear" w:color="auto" w:fill="F2F2F2" w:themeFill="background1" w:themeFillShade="F2"/>
            <w:vAlign w:val="center"/>
          </w:tcPr>
          <w:p w14:paraId="650A431E" w14:textId="17A96B56" w:rsidR="004071CA" w:rsidRPr="00FB3D74" w:rsidRDefault="004071CA" w:rsidP="00942E95">
            <w:pPr>
              <w:rPr>
                <w:rFonts w:cs="Arial"/>
                <w:b/>
                <w:bCs/>
                <w:sz w:val="16"/>
                <w:szCs w:val="16"/>
              </w:rPr>
            </w:pPr>
            <w:r w:rsidRPr="00FB3D74">
              <w:rPr>
                <w:rFonts w:cs="Arial"/>
                <w:b/>
                <w:bCs/>
                <w:sz w:val="16"/>
                <w:szCs w:val="16"/>
              </w:rPr>
              <w:t>77</w:t>
            </w:r>
            <w:r w:rsidR="00F531F5" w:rsidRPr="00FB3D74">
              <w:rPr>
                <w:rFonts w:cs="Arial"/>
                <w:b/>
                <w:bCs/>
                <w:sz w:val="16"/>
                <w:szCs w:val="16"/>
              </w:rPr>
              <w:t>.</w:t>
            </w:r>
          </w:p>
        </w:tc>
      </w:tr>
      <w:tr w:rsidR="004071CA" w:rsidRPr="00FB3D74" w14:paraId="6D55D9CB" w14:textId="77777777" w:rsidTr="00942E95">
        <w:trPr>
          <w:trHeight w:val="20"/>
        </w:trPr>
        <w:tc>
          <w:tcPr>
            <w:tcW w:w="3823" w:type="dxa"/>
            <w:shd w:val="clear" w:color="auto" w:fill="F2F2F2" w:themeFill="background1" w:themeFillShade="F2"/>
            <w:vAlign w:val="center"/>
          </w:tcPr>
          <w:p w14:paraId="6C1C7406" w14:textId="37CAC6F6" w:rsidR="004071CA" w:rsidRPr="00FB3D74" w:rsidRDefault="004071CA" w:rsidP="00942E95">
            <w:pPr>
              <w:rPr>
                <w:rFonts w:cs="Arial"/>
                <w:b/>
                <w:bCs/>
                <w:sz w:val="16"/>
                <w:szCs w:val="16"/>
              </w:rPr>
            </w:pPr>
            <w:r w:rsidRPr="00FB3D74">
              <w:rPr>
                <w:rFonts w:cs="Arial"/>
                <w:b/>
                <w:bCs/>
                <w:sz w:val="16"/>
                <w:szCs w:val="16"/>
              </w:rPr>
              <w:t>Dependencia/Organismo</w:t>
            </w:r>
            <w:r w:rsidR="00F531F5" w:rsidRPr="00FB3D74">
              <w:rPr>
                <w:rFonts w:cs="Arial"/>
                <w:b/>
                <w:bCs/>
                <w:sz w:val="16"/>
                <w:szCs w:val="16"/>
              </w:rPr>
              <w:t>.</w:t>
            </w:r>
          </w:p>
        </w:tc>
        <w:tc>
          <w:tcPr>
            <w:tcW w:w="4992" w:type="dxa"/>
            <w:shd w:val="clear" w:color="auto" w:fill="F2F2F2" w:themeFill="background1" w:themeFillShade="F2"/>
            <w:vAlign w:val="center"/>
          </w:tcPr>
          <w:p w14:paraId="1A9BFD6C" w14:textId="77777777" w:rsidR="004071CA" w:rsidRPr="00FB3D74" w:rsidRDefault="004071CA" w:rsidP="00942E95">
            <w:pPr>
              <w:tabs>
                <w:tab w:val="left" w:pos="397"/>
              </w:tabs>
              <w:rPr>
                <w:rFonts w:cs="Arial"/>
                <w:b/>
                <w:bCs/>
                <w:sz w:val="16"/>
                <w:szCs w:val="16"/>
              </w:rPr>
            </w:pPr>
            <w:r w:rsidRPr="00FB3D74">
              <w:rPr>
                <w:rFonts w:cs="Arial"/>
                <w:b/>
                <w:bCs/>
                <w:sz w:val="16"/>
                <w:szCs w:val="16"/>
              </w:rPr>
              <w:t>Secretaría General de Gobierno.</w:t>
            </w:r>
          </w:p>
        </w:tc>
      </w:tr>
      <w:tr w:rsidR="004071CA" w:rsidRPr="00FB3D74" w14:paraId="5B130C04" w14:textId="77777777" w:rsidTr="00942E95">
        <w:trPr>
          <w:trHeight w:val="20"/>
        </w:trPr>
        <w:tc>
          <w:tcPr>
            <w:tcW w:w="3823" w:type="dxa"/>
            <w:shd w:val="clear" w:color="auto" w:fill="F2F2F2" w:themeFill="background1" w:themeFillShade="F2"/>
            <w:vAlign w:val="center"/>
          </w:tcPr>
          <w:p w14:paraId="11913E7B" w14:textId="793F97A4" w:rsidR="004071CA" w:rsidRPr="00FB3D74" w:rsidRDefault="004071CA" w:rsidP="00942E95">
            <w:pPr>
              <w:rPr>
                <w:rFonts w:cs="Arial"/>
                <w:b/>
                <w:bCs/>
                <w:sz w:val="16"/>
                <w:szCs w:val="16"/>
              </w:rPr>
            </w:pPr>
            <w:r w:rsidRPr="00FB3D74">
              <w:rPr>
                <w:rFonts w:cs="Arial"/>
                <w:b/>
                <w:bCs/>
                <w:sz w:val="16"/>
                <w:szCs w:val="16"/>
              </w:rPr>
              <w:t>Objetivo Anual</w:t>
            </w:r>
            <w:r w:rsidR="00F531F5" w:rsidRPr="00FB3D74">
              <w:rPr>
                <w:rFonts w:cs="Arial"/>
                <w:b/>
                <w:bCs/>
                <w:sz w:val="16"/>
                <w:szCs w:val="16"/>
              </w:rPr>
              <w:t>.</w:t>
            </w:r>
          </w:p>
        </w:tc>
        <w:tc>
          <w:tcPr>
            <w:tcW w:w="4992" w:type="dxa"/>
            <w:shd w:val="clear" w:color="auto" w:fill="F2F2F2" w:themeFill="background1" w:themeFillShade="F2"/>
            <w:vAlign w:val="center"/>
          </w:tcPr>
          <w:p w14:paraId="0C16A05F" w14:textId="77777777" w:rsidR="004071CA" w:rsidRPr="00FB3D74" w:rsidRDefault="004071CA" w:rsidP="00942E95">
            <w:pPr>
              <w:rPr>
                <w:rFonts w:cs="Arial"/>
                <w:sz w:val="16"/>
                <w:szCs w:val="16"/>
              </w:rPr>
            </w:pPr>
            <w:r w:rsidRPr="00FB3D74">
              <w:rPr>
                <w:rFonts w:cs="Arial"/>
                <w:sz w:val="16"/>
                <w:szCs w:val="16"/>
              </w:rPr>
              <w:t>En el Estado de Colima y sus municipios se salvaguardan los derechos humanos y se garantiza el mejoramiento de la calidad de vida de los ciudadanos.</w:t>
            </w:r>
          </w:p>
        </w:tc>
      </w:tr>
      <w:tr w:rsidR="004071CA" w:rsidRPr="00FB3D74" w14:paraId="5CC498CB" w14:textId="77777777" w:rsidTr="00942E95">
        <w:trPr>
          <w:trHeight w:val="20"/>
        </w:trPr>
        <w:tc>
          <w:tcPr>
            <w:tcW w:w="3823" w:type="dxa"/>
            <w:shd w:val="clear" w:color="auto" w:fill="F2F2F2" w:themeFill="background1" w:themeFillShade="F2"/>
            <w:vAlign w:val="center"/>
          </w:tcPr>
          <w:p w14:paraId="04C0D571" w14:textId="77777777" w:rsidR="004071CA" w:rsidRPr="00FB3D74" w:rsidRDefault="004071CA" w:rsidP="00F531F5">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74C8F74F" w14:textId="77777777" w:rsidR="004071CA" w:rsidRPr="00FB3D74" w:rsidRDefault="004071CA" w:rsidP="00F531F5">
            <w:pPr>
              <w:jc w:val="center"/>
              <w:rPr>
                <w:rFonts w:cs="Arial"/>
                <w:sz w:val="16"/>
                <w:szCs w:val="16"/>
              </w:rPr>
            </w:pPr>
            <w:r w:rsidRPr="00FB3D74">
              <w:rPr>
                <w:rFonts w:cs="Arial"/>
                <w:b/>
                <w:bCs/>
                <w:sz w:val="16"/>
                <w:szCs w:val="16"/>
              </w:rPr>
              <w:t>Metas</w:t>
            </w:r>
          </w:p>
        </w:tc>
      </w:tr>
      <w:tr w:rsidR="004071CA" w:rsidRPr="00FB3D74" w14:paraId="6B18C9CE" w14:textId="77777777" w:rsidTr="00942E95">
        <w:trPr>
          <w:trHeight w:val="20"/>
        </w:trPr>
        <w:tc>
          <w:tcPr>
            <w:tcW w:w="3823" w:type="dxa"/>
            <w:vAlign w:val="center"/>
          </w:tcPr>
          <w:p w14:paraId="7D2690C3" w14:textId="77777777" w:rsidR="004071CA" w:rsidRPr="00FB3D74" w:rsidRDefault="004071CA" w:rsidP="00942E95">
            <w:pPr>
              <w:rPr>
                <w:rFonts w:cs="Arial"/>
                <w:sz w:val="16"/>
                <w:szCs w:val="16"/>
              </w:rPr>
            </w:pPr>
            <w:r w:rsidRPr="00FB3D74">
              <w:rPr>
                <w:rFonts w:cs="Arial"/>
                <w:sz w:val="16"/>
                <w:szCs w:val="16"/>
              </w:rPr>
              <w:t>Gobernabilidad democrática del Estado de Colima consolidada.</w:t>
            </w:r>
          </w:p>
        </w:tc>
        <w:tc>
          <w:tcPr>
            <w:tcW w:w="4992" w:type="dxa"/>
            <w:vAlign w:val="center"/>
          </w:tcPr>
          <w:p w14:paraId="4B8C940E" w14:textId="77777777" w:rsidR="004071CA" w:rsidRPr="00FB3D74" w:rsidRDefault="004071CA" w:rsidP="00942E95">
            <w:pPr>
              <w:rPr>
                <w:rFonts w:cs="Arial"/>
                <w:sz w:val="16"/>
                <w:szCs w:val="16"/>
              </w:rPr>
            </w:pPr>
            <w:r w:rsidRPr="00FB3D74">
              <w:rPr>
                <w:rFonts w:cs="Arial"/>
                <w:sz w:val="16"/>
                <w:szCs w:val="16"/>
              </w:rPr>
              <w:t>Atender el 100 por ciento del total de conflictos de impacto social que requieran la intervención del Gobierno del Estado.</w:t>
            </w:r>
          </w:p>
        </w:tc>
      </w:tr>
      <w:tr w:rsidR="004071CA" w:rsidRPr="00FB3D74" w14:paraId="5D0DA911" w14:textId="77777777" w:rsidTr="00942E95">
        <w:trPr>
          <w:trHeight w:val="20"/>
        </w:trPr>
        <w:tc>
          <w:tcPr>
            <w:tcW w:w="3823" w:type="dxa"/>
            <w:vAlign w:val="center"/>
          </w:tcPr>
          <w:p w14:paraId="3102D32E" w14:textId="77777777" w:rsidR="004071CA" w:rsidRPr="00FB3D74" w:rsidRDefault="004071CA" w:rsidP="00942E95">
            <w:pPr>
              <w:rPr>
                <w:rFonts w:cs="Arial"/>
                <w:sz w:val="16"/>
                <w:szCs w:val="16"/>
              </w:rPr>
            </w:pPr>
            <w:r w:rsidRPr="00FB3D74">
              <w:rPr>
                <w:rFonts w:cs="Arial"/>
                <w:sz w:val="16"/>
                <w:szCs w:val="16"/>
              </w:rPr>
              <w:t>Servicios y trámites otorgados por parte de la Secretaría General de Gobierno.</w:t>
            </w:r>
          </w:p>
        </w:tc>
        <w:tc>
          <w:tcPr>
            <w:tcW w:w="4992" w:type="dxa"/>
            <w:vAlign w:val="center"/>
          </w:tcPr>
          <w:p w14:paraId="546C628D" w14:textId="77777777" w:rsidR="004071CA" w:rsidRPr="00FB3D74" w:rsidRDefault="004071CA" w:rsidP="00942E95">
            <w:pPr>
              <w:rPr>
                <w:rFonts w:cs="Arial"/>
                <w:sz w:val="16"/>
                <w:szCs w:val="16"/>
              </w:rPr>
            </w:pPr>
            <w:r w:rsidRPr="00FB3D74">
              <w:rPr>
                <w:rFonts w:cs="Arial"/>
                <w:sz w:val="16"/>
                <w:szCs w:val="16"/>
              </w:rPr>
              <w:t>Realizar el 100 por ciento del total de los Trámites y Servicios solicitados por la ciudadanía.</w:t>
            </w:r>
          </w:p>
        </w:tc>
      </w:tr>
      <w:tr w:rsidR="004071CA" w:rsidRPr="00FB3D74" w14:paraId="50AD4B0D" w14:textId="77777777" w:rsidTr="00942E95">
        <w:trPr>
          <w:trHeight w:val="20"/>
        </w:trPr>
        <w:tc>
          <w:tcPr>
            <w:tcW w:w="3823" w:type="dxa"/>
            <w:vAlign w:val="center"/>
          </w:tcPr>
          <w:p w14:paraId="701BD5F4" w14:textId="77777777" w:rsidR="004071CA" w:rsidRPr="00FB3D74" w:rsidRDefault="004071CA" w:rsidP="00942E95">
            <w:pPr>
              <w:rPr>
                <w:rFonts w:cs="Arial"/>
                <w:sz w:val="16"/>
                <w:szCs w:val="16"/>
              </w:rPr>
            </w:pPr>
            <w:r w:rsidRPr="00FB3D74">
              <w:rPr>
                <w:rFonts w:cs="Arial"/>
                <w:sz w:val="16"/>
                <w:szCs w:val="16"/>
              </w:rPr>
              <w:t>Mejora de procesos y simplificación de trámites y servicios de gobierno, realizada.</w:t>
            </w:r>
          </w:p>
        </w:tc>
        <w:tc>
          <w:tcPr>
            <w:tcW w:w="4992" w:type="dxa"/>
            <w:vAlign w:val="center"/>
          </w:tcPr>
          <w:p w14:paraId="76EBD73E" w14:textId="77777777" w:rsidR="004071CA" w:rsidRPr="00FB3D74" w:rsidRDefault="004071CA" w:rsidP="00942E95">
            <w:pPr>
              <w:rPr>
                <w:rFonts w:cs="Arial"/>
                <w:sz w:val="16"/>
                <w:szCs w:val="16"/>
              </w:rPr>
            </w:pPr>
            <w:r w:rsidRPr="00FB3D74">
              <w:rPr>
                <w:rFonts w:cs="Arial"/>
                <w:sz w:val="16"/>
                <w:szCs w:val="16"/>
              </w:rPr>
              <w:t>Mejorar al menos 2 servicios que se presten dentro de la Secretaría General.</w:t>
            </w:r>
          </w:p>
        </w:tc>
      </w:tr>
      <w:tr w:rsidR="004071CA" w:rsidRPr="00FB3D74" w14:paraId="497E69F0" w14:textId="77777777" w:rsidTr="00942E95">
        <w:trPr>
          <w:trHeight w:val="20"/>
        </w:trPr>
        <w:tc>
          <w:tcPr>
            <w:tcW w:w="3823" w:type="dxa"/>
            <w:vAlign w:val="center"/>
          </w:tcPr>
          <w:p w14:paraId="2325105C" w14:textId="77777777" w:rsidR="004071CA" w:rsidRPr="00FB3D74" w:rsidRDefault="004071CA" w:rsidP="00942E95">
            <w:pPr>
              <w:rPr>
                <w:rFonts w:cs="Arial"/>
                <w:sz w:val="16"/>
                <w:szCs w:val="16"/>
              </w:rPr>
            </w:pPr>
            <w:r w:rsidRPr="00FB3D74">
              <w:rPr>
                <w:rFonts w:cs="Arial"/>
                <w:sz w:val="16"/>
                <w:szCs w:val="16"/>
              </w:rPr>
              <w:t>Atención a Desastres Naturales, brindada.</w:t>
            </w:r>
          </w:p>
        </w:tc>
        <w:tc>
          <w:tcPr>
            <w:tcW w:w="4992" w:type="dxa"/>
            <w:vAlign w:val="center"/>
          </w:tcPr>
          <w:p w14:paraId="5FF15CB5" w14:textId="77777777" w:rsidR="004071CA" w:rsidRPr="00FB3D74" w:rsidRDefault="004071CA" w:rsidP="00942E95">
            <w:pPr>
              <w:rPr>
                <w:rFonts w:cs="Arial"/>
                <w:sz w:val="16"/>
                <w:szCs w:val="16"/>
              </w:rPr>
            </w:pPr>
            <w:r w:rsidRPr="00FB3D74">
              <w:rPr>
                <w:rFonts w:cs="Arial"/>
                <w:sz w:val="16"/>
                <w:szCs w:val="16"/>
              </w:rPr>
              <w:t>Atender al 100 por ciento de los desastres naturales ocurridos en la Entidad.</w:t>
            </w:r>
          </w:p>
        </w:tc>
      </w:tr>
      <w:tr w:rsidR="004071CA" w:rsidRPr="00FB3D74" w14:paraId="20962355" w14:textId="77777777" w:rsidTr="00942E95">
        <w:trPr>
          <w:trHeight w:val="20"/>
        </w:trPr>
        <w:tc>
          <w:tcPr>
            <w:tcW w:w="3823" w:type="dxa"/>
            <w:shd w:val="clear" w:color="auto" w:fill="F2F2F2" w:themeFill="background1" w:themeFillShade="F2"/>
            <w:vAlign w:val="center"/>
          </w:tcPr>
          <w:p w14:paraId="11B30265" w14:textId="6AAB4C11" w:rsidR="004071CA" w:rsidRPr="00FB3D74" w:rsidRDefault="004071CA" w:rsidP="00942E95">
            <w:pPr>
              <w:rPr>
                <w:rFonts w:cs="Arial"/>
                <w:b/>
                <w:bCs/>
                <w:sz w:val="16"/>
                <w:szCs w:val="16"/>
              </w:rPr>
            </w:pPr>
            <w:r w:rsidRPr="00FB3D74">
              <w:rPr>
                <w:rFonts w:cs="Arial"/>
                <w:b/>
                <w:bCs/>
                <w:sz w:val="16"/>
                <w:szCs w:val="16"/>
              </w:rPr>
              <w:t>Número de Programa Presupuestal</w:t>
            </w:r>
            <w:r w:rsidR="000126CE" w:rsidRPr="00FB3D74">
              <w:rPr>
                <w:rFonts w:cs="Arial"/>
                <w:b/>
                <w:bCs/>
                <w:sz w:val="16"/>
                <w:szCs w:val="16"/>
              </w:rPr>
              <w:t>.</w:t>
            </w:r>
          </w:p>
        </w:tc>
        <w:tc>
          <w:tcPr>
            <w:tcW w:w="4992" w:type="dxa"/>
            <w:shd w:val="clear" w:color="auto" w:fill="F2F2F2" w:themeFill="background1" w:themeFillShade="F2"/>
            <w:vAlign w:val="center"/>
          </w:tcPr>
          <w:p w14:paraId="1B6F86E1" w14:textId="4A08022A" w:rsidR="004071CA" w:rsidRPr="00FB3D74" w:rsidRDefault="004071CA" w:rsidP="00942E95">
            <w:pPr>
              <w:rPr>
                <w:rFonts w:cs="Arial"/>
                <w:b/>
                <w:bCs/>
                <w:sz w:val="16"/>
                <w:szCs w:val="16"/>
              </w:rPr>
            </w:pPr>
            <w:r w:rsidRPr="00FB3D74">
              <w:rPr>
                <w:rFonts w:cs="Arial"/>
                <w:b/>
                <w:bCs/>
                <w:sz w:val="16"/>
                <w:szCs w:val="16"/>
              </w:rPr>
              <w:t>79</w:t>
            </w:r>
            <w:r w:rsidR="000126CE" w:rsidRPr="00FB3D74">
              <w:rPr>
                <w:rFonts w:cs="Arial"/>
                <w:b/>
                <w:bCs/>
                <w:sz w:val="16"/>
                <w:szCs w:val="16"/>
              </w:rPr>
              <w:t>.</w:t>
            </w:r>
          </w:p>
        </w:tc>
      </w:tr>
      <w:tr w:rsidR="004071CA" w:rsidRPr="00FB3D74" w14:paraId="5661FD0C" w14:textId="77777777" w:rsidTr="00942E95">
        <w:trPr>
          <w:trHeight w:val="20"/>
        </w:trPr>
        <w:tc>
          <w:tcPr>
            <w:tcW w:w="3823" w:type="dxa"/>
            <w:shd w:val="clear" w:color="auto" w:fill="F2F2F2" w:themeFill="background1" w:themeFillShade="F2"/>
            <w:vAlign w:val="center"/>
          </w:tcPr>
          <w:p w14:paraId="3AD63332" w14:textId="48921678" w:rsidR="004071CA" w:rsidRPr="00FB3D74" w:rsidRDefault="004071CA" w:rsidP="00942E95">
            <w:pPr>
              <w:rPr>
                <w:rFonts w:cs="Arial"/>
                <w:b/>
                <w:bCs/>
                <w:sz w:val="16"/>
                <w:szCs w:val="16"/>
              </w:rPr>
            </w:pPr>
            <w:r w:rsidRPr="00FB3D74">
              <w:rPr>
                <w:rFonts w:cs="Arial"/>
                <w:b/>
                <w:bCs/>
                <w:sz w:val="16"/>
                <w:szCs w:val="16"/>
              </w:rPr>
              <w:t>Dependencia/Organismo</w:t>
            </w:r>
            <w:r w:rsidR="000126CE" w:rsidRPr="00FB3D74">
              <w:rPr>
                <w:rFonts w:cs="Arial"/>
                <w:b/>
                <w:bCs/>
                <w:sz w:val="16"/>
                <w:szCs w:val="16"/>
              </w:rPr>
              <w:t>.</w:t>
            </w:r>
          </w:p>
        </w:tc>
        <w:tc>
          <w:tcPr>
            <w:tcW w:w="4992" w:type="dxa"/>
            <w:shd w:val="clear" w:color="auto" w:fill="F2F2F2" w:themeFill="background1" w:themeFillShade="F2"/>
            <w:vAlign w:val="center"/>
          </w:tcPr>
          <w:p w14:paraId="4676CB4C" w14:textId="77777777" w:rsidR="004071CA" w:rsidRPr="00FB3D74" w:rsidRDefault="004071CA" w:rsidP="00942E95">
            <w:pPr>
              <w:tabs>
                <w:tab w:val="left" w:pos="397"/>
              </w:tabs>
              <w:rPr>
                <w:rFonts w:cs="Arial"/>
                <w:b/>
                <w:bCs/>
                <w:sz w:val="16"/>
                <w:szCs w:val="16"/>
              </w:rPr>
            </w:pPr>
            <w:r w:rsidRPr="00FB3D74">
              <w:rPr>
                <w:rFonts w:cs="Arial"/>
                <w:b/>
                <w:bCs/>
                <w:sz w:val="16"/>
                <w:szCs w:val="16"/>
              </w:rPr>
              <w:t>Unidad Estatal de Protección Civil.</w:t>
            </w:r>
          </w:p>
        </w:tc>
      </w:tr>
      <w:tr w:rsidR="004071CA" w:rsidRPr="00FB3D74" w14:paraId="247C8378" w14:textId="77777777" w:rsidTr="00942E95">
        <w:trPr>
          <w:trHeight w:val="20"/>
        </w:trPr>
        <w:tc>
          <w:tcPr>
            <w:tcW w:w="3823" w:type="dxa"/>
            <w:shd w:val="clear" w:color="auto" w:fill="F2F2F2" w:themeFill="background1" w:themeFillShade="F2"/>
            <w:vAlign w:val="center"/>
          </w:tcPr>
          <w:p w14:paraId="0835986B" w14:textId="2774E1D2" w:rsidR="004071CA" w:rsidRPr="00FB3D74" w:rsidRDefault="004071CA" w:rsidP="00942E95">
            <w:pPr>
              <w:rPr>
                <w:rFonts w:cs="Arial"/>
                <w:b/>
                <w:bCs/>
                <w:sz w:val="16"/>
                <w:szCs w:val="16"/>
              </w:rPr>
            </w:pPr>
            <w:r w:rsidRPr="00FB3D74">
              <w:rPr>
                <w:rFonts w:cs="Arial"/>
                <w:b/>
                <w:bCs/>
                <w:sz w:val="16"/>
                <w:szCs w:val="16"/>
              </w:rPr>
              <w:t>Objetivo Anual</w:t>
            </w:r>
            <w:r w:rsidR="000126CE" w:rsidRPr="00FB3D74">
              <w:rPr>
                <w:rFonts w:cs="Arial"/>
                <w:b/>
                <w:bCs/>
                <w:sz w:val="16"/>
                <w:szCs w:val="16"/>
              </w:rPr>
              <w:t>.</w:t>
            </w:r>
          </w:p>
        </w:tc>
        <w:tc>
          <w:tcPr>
            <w:tcW w:w="4992" w:type="dxa"/>
            <w:shd w:val="clear" w:color="auto" w:fill="F2F2F2" w:themeFill="background1" w:themeFillShade="F2"/>
            <w:vAlign w:val="center"/>
          </w:tcPr>
          <w:p w14:paraId="0B24F94C" w14:textId="628C7C3A" w:rsidR="004071CA" w:rsidRPr="00FB3D74" w:rsidRDefault="004071CA" w:rsidP="00942E95">
            <w:pPr>
              <w:rPr>
                <w:rFonts w:cs="Arial"/>
                <w:sz w:val="16"/>
                <w:szCs w:val="16"/>
              </w:rPr>
            </w:pPr>
            <w:r w:rsidRPr="00FB3D74">
              <w:rPr>
                <w:rFonts w:cs="Arial"/>
                <w:sz w:val="16"/>
                <w:szCs w:val="16"/>
              </w:rPr>
              <w:t>La población de</w:t>
            </w:r>
            <w:r w:rsidR="00DB22BE" w:rsidRPr="00FB3D74">
              <w:rPr>
                <w:rFonts w:cs="Arial"/>
                <w:sz w:val="16"/>
                <w:szCs w:val="16"/>
              </w:rPr>
              <w:t xml:space="preserve">l Estado de </w:t>
            </w:r>
            <w:r w:rsidRPr="00FB3D74">
              <w:rPr>
                <w:rFonts w:cs="Arial"/>
                <w:sz w:val="16"/>
                <w:szCs w:val="16"/>
              </w:rPr>
              <w:t>Colima está capacitada para identificar, prevenir y reducir riesgos asociados a amenazas naturales, socio naturales y antrópicas, así como también se asegura su atención en situaciones de emergencia y desastres mediante el Sistema Estatal de Protección Civil.</w:t>
            </w:r>
          </w:p>
        </w:tc>
      </w:tr>
      <w:tr w:rsidR="004071CA" w:rsidRPr="00FB3D74" w14:paraId="5CE720B6" w14:textId="77777777" w:rsidTr="00942E95">
        <w:trPr>
          <w:trHeight w:val="20"/>
        </w:trPr>
        <w:tc>
          <w:tcPr>
            <w:tcW w:w="3823" w:type="dxa"/>
            <w:shd w:val="clear" w:color="auto" w:fill="F2F2F2" w:themeFill="background1" w:themeFillShade="F2"/>
            <w:vAlign w:val="center"/>
          </w:tcPr>
          <w:p w14:paraId="57CC6889" w14:textId="77777777" w:rsidR="004071CA" w:rsidRPr="00FB3D74" w:rsidRDefault="004071CA" w:rsidP="00C760EC">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57D336B8" w14:textId="77777777" w:rsidR="004071CA" w:rsidRPr="00FB3D74" w:rsidRDefault="004071CA" w:rsidP="00C760EC">
            <w:pPr>
              <w:jc w:val="center"/>
              <w:rPr>
                <w:rFonts w:cs="Arial"/>
                <w:sz w:val="16"/>
                <w:szCs w:val="16"/>
              </w:rPr>
            </w:pPr>
            <w:r w:rsidRPr="00FB3D74">
              <w:rPr>
                <w:rFonts w:cs="Arial"/>
                <w:b/>
                <w:bCs/>
                <w:sz w:val="16"/>
                <w:szCs w:val="16"/>
              </w:rPr>
              <w:t>Metas</w:t>
            </w:r>
          </w:p>
        </w:tc>
      </w:tr>
      <w:tr w:rsidR="004071CA" w:rsidRPr="00FB3D74" w14:paraId="72EA44A1" w14:textId="77777777" w:rsidTr="00942E95">
        <w:trPr>
          <w:trHeight w:val="20"/>
        </w:trPr>
        <w:tc>
          <w:tcPr>
            <w:tcW w:w="3823" w:type="dxa"/>
            <w:vAlign w:val="center"/>
          </w:tcPr>
          <w:p w14:paraId="29DEC73A" w14:textId="77777777" w:rsidR="004071CA" w:rsidRPr="00FB3D74" w:rsidRDefault="004071CA" w:rsidP="00942E95">
            <w:pPr>
              <w:rPr>
                <w:rFonts w:cs="Arial"/>
                <w:sz w:val="16"/>
                <w:szCs w:val="16"/>
              </w:rPr>
            </w:pPr>
            <w:r w:rsidRPr="00FB3D74">
              <w:rPr>
                <w:rFonts w:cs="Arial"/>
                <w:sz w:val="16"/>
                <w:szCs w:val="16"/>
              </w:rPr>
              <w:t>Población vulnerable en condición de riesgo atendida.</w:t>
            </w:r>
          </w:p>
        </w:tc>
        <w:tc>
          <w:tcPr>
            <w:tcW w:w="4992" w:type="dxa"/>
            <w:vAlign w:val="center"/>
          </w:tcPr>
          <w:p w14:paraId="628DBF21" w14:textId="0E40FBBF" w:rsidR="004071CA" w:rsidRPr="00FB3D74" w:rsidRDefault="004071CA" w:rsidP="00942E95">
            <w:pPr>
              <w:rPr>
                <w:rFonts w:cs="Arial"/>
                <w:sz w:val="16"/>
                <w:szCs w:val="16"/>
              </w:rPr>
            </w:pPr>
            <w:r w:rsidRPr="00FB3D74">
              <w:rPr>
                <w:rFonts w:cs="Arial"/>
                <w:sz w:val="16"/>
                <w:szCs w:val="16"/>
              </w:rPr>
              <w:t>Alcanzar el 100 por ciento de las 3</w:t>
            </w:r>
            <w:r w:rsidR="00C760EC" w:rsidRPr="00FB3D74">
              <w:rPr>
                <w:rFonts w:cs="Arial"/>
                <w:sz w:val="16"/>
                <w:szCs w:val="16"/>
              </w:rPr>
              <w:t>,</w:t>
            </w:r>
            <w:r w:rsidRPr="00FB3D74">
              <w:rPr>
                <w:rFonts w:cs="Arial"/>
                <w:sz w:val="16"/>
                <w:szCs w:val="16"/>
              </w:rPr>
              <w:t>000 personas atendida en situación de riesgo.</w:t>
            </w:r>
          </w:p>
        </w:tc>
      </w:tr>
      <w:tr w:rsidR="004071CA" w:rsidRPr="00FB3D74" w14:paraId="51D3D09E" w14:textId="77777777" w:rsidTr="00942E95">
        <w:trPr>
          <w:trHeight w:val="20"/>
        </w:trPr>
        <w:tc>
          <w:tcPr>
            <w:tcW w:w="3823" w:type="dxa"/>
            <w:vAlign w:val="center"/>
          </w:tcPr>
          <w:p w14:paraId="2057C70E" w14:textId="77777777" w:rsidR="004071CA" w:rsidRPr="00FB3D74" w:rsidRDefault="004071CA" w:rsidP="00942E95">
            <w:pPr>
              <w:rPr>
                <w:rFonts w:cs="Arial"/>
                <w:sz w:val="16"/>
                <w:szCs w:val="16"/>
              </w:rPr>
            </w:pPr>
            <w:r w:rsidRPr="00FB3D74">
              <w:rPr>
                <w:rFonts w:cs="Arial"/>
                <w:sz w:val="16"/>
                <w:szCs w:val="16"/>
              </w:rPr>
              <w:lastRenderedPageBreak/>
              <w:t>Población, dependencias públicas y sector privado capacitados en materia de reducción de riesgos y protección civil.</w:t>
            </w:r>
          </w:p>
        </w:tc>
        <w:tc>
          <w:tcPr>
            <w:tcW w:w="4992" w:type="dxa"/>
            <w:vAlign w:val="center"/>
          </w:tcPr>
          <w:p w14:paraId="627C3395" w14:textId="77777777" w:rsidR="004071CA" w:rsidRPr="00FB3D74" w:rsidRDefault="004071CA" w:rsidP="00942E95">
            <w:pPr>
              <w:rPr>
                <w:rFonts w:cs="Arial"/>
                <w:sz w:val="16"/>
                <w:szCs w:val="16"/>
              </w:rPr>
            </w:pPr>
            <w:r w:rsidRPr="00FB3D74">
              <w:rPr>
                <w:rFonts w:cs="Arial"/>
                <w:sz w:val="16"/>
                <w:szCs w:val="16"/>
              </w:rPr>
              <w:t>Alcanzar el 100 por ciento de 150 capacitaciones atendidas.</w:t>
            </w:r>
          </w:p>
        </w:tc>
      </w:tr>
      <w:tr w:rsidR="004071CA" w:rsidRPr="00FB3D74" w14:paraId="5E191F43" w14:textId="77777777" w:rsidTr="00942E95">
        <w:trPr>
          <w:trHeight w:val="20"/>
        </w:trPr>
        <w:tc>
          <w:tcPr>
            <w:tcW w:w="3823" w:type="dxa"/>
            <w:vAlign w:val="center"/>
          </w:tcPr>
          <w:p w14:paraId="45F7100B" w14:textId="6E130AB9" w:rsidR="004071CA" w:rsidRPr="00FB3D74" w:rsidRDefault="004071CA" w:rsidP="00942E95">
            <w:pPr>
              <w:rPr>
                <w:rFonts w:cs="Arial"/>
                <w:sz w:val="16"/>
                <w:szCs w:val="16"/>
              </w:rPr>
            </w:pPr>
            <w:r w:rsidRPr="00FB3D74">
              <w:rPr>
                <w:rFonts w:cs="Arial"/>
                <w:sz w:val="16"/>
                <w:szCs w:val="16"/>
              </w:rPr>
              <w:t xml:space="preserve">Desempeño de funciones (operación </w:t>
            </w:r>
            <w:r w:rsidR="00DB22BE" w:rsidRPr="00FB3D74">
              <w:rPr>
                <w:rFonts w:cs="Arial"/>
                <w:sz w:val="16"/>
                <w:szCs w:val="16"/>
              </w:rPr>
              <w:t xml:space="preserve">Sistema </w:t>
            </w:r>
            <w:r w:rsidRPr="00FB3D74">
              <w:rPr>
                <w:rFonts w:cs="Arial"/>
                <w:sz w:val="16"/>
                <w:szCs w:val="16"/>
              </w:rPr>
              <w:t>de Protección Civil, pago de servicios personales) gastos de operación y administración) realizado.</w:t>
            </w:r>
          </w:p>
        </w:tc>
        <w:tc>
          <w:tcPr>
            <w:tcW w:w="4992" w:type="dxa"/>
            <w:vAlign w:val="center"/>
          </w:tcPr>
          <w:p w14:paraId="322F5D40" w14:textId="77777777" w:rsidR="004071CA" w:rsidRPr="00FB3D74" w:rsidRDefault="004071CA" w:rsidP="00942E95">
            <w:pPr>
              <w:rPr>
                <w:rFonts w:cs="Arial"/>
                <w:sz w:val="16"/>
                <w:szCs w:val="16"/>
              </w:rPr>
            </w:pPr>
            <w:r w:rsidRPr="00FB3D74">
              <w:rPr>
                <w:rFonts w:cs="Arial"/>
                <w:sz w:val="16"/>
                <w:szCs w:val="16"/>
              </w:rPr>
              <w:t>Ejecutar el 100 por ciento del recurso aprobado.</w:t>
            </w:r>
          </w:p>
        </w:tc>
      </w:tr>
      <w:tr w:rsidR="004071CA" w:rsidRPr="00FB3D74" w14:paraId="3A4A2D76" w14:textId="77777777" w:rsidTr="00942E95">
        <w:trPr>
          <w:trHeight w:val="20"/>
        </w:trPr>
        <w:tc>
          <w:tcPr>
            <w:tcW w:w="3823" w:type="dxa"/>
            <w:vAlign w:val="center"/>
          </w:tcPr>
          <w:p w14:paraId="04D14454" w14:textId="77777777" w:rsidR="004071CA" w:rsidRPr="00FB3D74" w:rsidRDefault="004071CA" w:rsidP="00942E95">
            <w:pPr>
              <w:rPr>
                <w:rFonts w:cs="Arial"/>
                <w:sz w:val="16"/>
                <w:szCs w:val="16"/>
              </w:rPr>
            </w:pPr>
            <w:r w:rsidRPr="00FB3D74">
              <w:rPr>
                <w:rFonts w:cs="Arial"/>
                <w:sz w:val="16"/>
                <w:szCs w:val="16"/>
              </w:rPr>
              <w:t>Servicio de búsqueda y rescate realizados por el grupo USAR de Protección Civil de Colima en estructuras colapsadas.</w:t>
            </w:r>
          </w:p>
        </w:tc>
        <w:tc>
          <w:tcPr>
            <w:tcW w:w="4992" w:type="dxa"/>
            <w:vAlign w:val="center"/>
          </w:tcPr>
          <w:p w14:paraId="6B370F13" w14:textId="77777777" w:rsidR="004071CA" w:rsidRPr="00FB3D74" w:rsidRDefault="004071CA" w:rsidP="00942E95">
            <w:pPr>
              <w:rPr>
                <w:rFonts w:cs="Arial"/>
                <w:sz w:val="16"/>
                <w:szCs w:val="16"/>
              </w:rPr>
            </w:pPr>
            <w:r w:rsidRPr="00FB3D74">
              <w:rPr>
                <w:rFonts w:cs="Arial"/>
                <w:sz w:val="16"/>
                <w:szCs w:val="16"/>
              </w:rPr>
              <w:t>Realizar el 100 por ciento de 4 servicios de búsqueda y rescate en estructuras colapsadas.</w:t>
            </w:r>
          </w:p>
        </w:tc>
      </w:tr>
      <w:tr w:rsidR="004071CA" w:rsidRPr="00FB3D74" w14:paraId="1AF780FB" w14:textId="77777777" w:rsidTr="00942E95">
        <w:trPr>
          <w:trHeight w:val="20"/>
        </w:trPr>
        <w:tc>
          <w:tcPr>
            <w:tcW w:w="3823" w:type="dxa"/>
            <w:shd w:val="clear" w:color="auto" w:fill="F2F2F2" w:themeFill="background1" w:themeFillShade="F2"/>
            <w:vAlign w:val="center"/>
          </w:tcPr>
          <w:p w14:paraId="4ABECE86" w14:textId="6E0677BF" w:rsidR="004071CA" w:rsidRPr="00FB3D74" w:rsidRDefault="004071CA" w:rsidP="00942E95">
            <w:pPr>
              <w:rPr>
                <w:rFonts w:cs="Arial"/>
                <w:b/>
                <w:bCs/>
                <w:sz w:val="16"/>
                <w:szCs w:val="16"/>
              </w:rPr>
            </w:pPr>
            <w:r w:rsidRPr="00FB3D74">
              <w:rPr>
                <w:rFonts w:cs="Arial"/>
                <w:b/>
                <w:bCs/>
                <w:sz w:val="16"/>
                <w:szCs w:val="16"/>
              </w:rPr>
              <w:t>Número de Programa Presupuestal</w:t>
            </w:r>
            <w:r w:rsidR="00C760EC" w:rsidRPr="00FB3D74">
              <w:rPr>
                <w:rFonts w:cs="Arial"/>
                <w:b/>
                <w:bCs/>
                <w:sz w:val="16"/>
                <w:szCs w:val="16"/>
              </w:rPr>
              <w:t>.</w:t>
            </w:r>
          </w:p>
        </w:tc>
        <w:tc>
          <w:tcPr>
            <w:tcW w:w="4992" w:type="dxa"/>
            <w:shd w:val="clear" w:color="auto" w:fill="F2F2F2" w:themeFill="background1" w:themeFillShade="F2"/>
            <w:vAlign w:val="center"/>
          </w:tcPr>
          <w:p w14:paraId="1505CF89" w14:textId="77777777" w:rsidR="004071CA" w:rsidRPr="00FB3D74" w:rsidRDefault="004071CA" w:rsidP="00942E95">
            <w:pPr>
              <w:rPr>
                <w:rFonts w:cs="Arial"/>
                <w:b/>
                <w:bCs/>
                <w:sz w:val="16"/>
                <w:szCs w:val="16"/>
              </w:rPr>
            </w:pPr>
            <w:r w:rsidRPr="00FB3D74">
              <w:rPr>
                <w:rFonts w:cs="Arial"/>
                <w:b/>
                <w:bCs/>
                <w:sz w:val="16"/>
                <w:szCs w:val="16"/>
              </w:rPr>
              <w:t>82</w:t>
            </w:r>
          </w:p>
        </w:tc>
      </w:tr>
      <w:tr w:rsidR="004071CA" w:rsidRPr="00FB3D74" w14:paraId="3596ED86" w14:textId="77777777" w:rsidTr="00942E95">
        <w:trPr>
          <w:trHeight w:val="20"/>
        </w:trPr>
        <w:tc>
          <w:tcPr>
            <w:tcW w:w="3823" w:type="dxa"/>
            <w:shd w:val="clear" w:color="auto" w:fill="F2F2F2" w:themeFill="background1" w:themeFillShade="F2"/>
            <w:vAlign w:val="center"/>
          </w:tcPr>
          <w:p w14:paraId="241BD83B" w14:textId="092CBE6B" w:rsidR="004071CA" w:rsidRPr="00FB3D74" w:rsidRDefault="004071CA" w:rsidP="00942E95">
            <w:pPr>
              <w:rPr>
                <w:rFonts w:cs="Arial"/>
                <w:b/>
                <w:bCs/>
                <w:sz w:val="16"/>
                <w:szCs w:val="16"/>
              </w:rPr>
            </w:pPr>
            <w:r w:rsidRPr="00FB3D74">
              <w:rPr>
                <w:rFonts w:cs="Arial"/>
                <w:b/>
                <w:bCs/>
                <w:sz w:val="16"/>
                <w:szCs w:val="16"/>
              </w:rPr>
              <w:t>Dependencia/Organismo</w:t>
            </w:r>
            <w:r w:rsidR="00C760EC" w:rsidRPr="00FB3D74">
              <w:rPr>
                <w:rFonts w:cs="Arial"/>
                <w:b/>
                <w:bCs/>
                <w:sz w:val="16"/>
                <w:szCs w:val="16"/>
              </w:rPr>
              <w:t>.</w:t>
            </w:r>
          </w:p>
        </w:tc>
        <w:tc>
          <w:tcPr>
            <w:tcW w:w="4992" w:type="dxa"/>
            <w:shd w:val="clear" w:color="auto" w:fill="F2F2F2" w:themeFill="background1" w:themeFillShade="F2"/>
            <w:vAlign w:val="center"/>
          </w:tcPr>
          <w:p w14:paraId="5B430801" w14:textId="77777777" w:rsidR="004071CA" w:rsidRPr="00FB3D74" w:rsidRDefault="004071CA" w:rsidP="00942E95">
            <w:pPr>
              <w:tabs>
                <w:tab w:val="left" w:pos="397"/>
              </w:tabs>
              <w:rPr>
                <w:rFonts w:cs="Arial"/>
                <w:b/>
                <w:bCs/>
                <w:sz w:val="16"/>
                <w:szCs w:val="16"/>
              </w:rPr>
            </w:pPr>
            <w:r w:rsidRPr="00FB3D74">
              <w:rPr>
                <w:rFonts w:cs="Arial"/>
                <w:b/>
                <w:bCs/>
                <w:sz w:val="16"/>
                <w:szCs w:val="16"/>
              </w:rPr>
              <w:t>Instituto Estatal de Educación para Adultos.</w:t>
            </w:r>
          </w:p>
        </w:tc>
      </w:tr>
      <w:tr w:rsidR="004071CA" w:rsidRPr="00FB3D74" w14:paraId="048EA304" w14:textId="77777777" w:rsidTr="00942E95">
        <w:trPr>
          <w:trHeight w:val="20"/>
        </w:trPr>
        <w:tc>
          <w:tcPr>
            <w:tcW w:w="3823" w:type="dxa"/>
            <w:shd w:val="clear" w:color="auto" w:fill="F2F2F2" w:themeFill="background1" w:themeFillShade="F2"/>
            <w:vAlign w:val="center"/>
          </w:tcPr>
          <w:p w14:paraId="7A22FB61" w14:textId="1491D53B" w:rsidR="004071CA" w:rsidRPr="00FB3D74" w:rsidRDefault="004071CA" w:rsidP="00942E95">
            <w:pPr>
              <w:rPr>
                <w:rFonts w:cs="Arial"/>
                <w:b/>
                <w:bCs/>
                <w:sz w:val="16"/>
                <w:szCs w:val="16"/>
              </w:rPr>
            </w:pPr>
            <w:r w:rsidRPr="00FB3D74">
              <w:rPr>
                <w:rFonts w:cs="Arial"/>
                <w:b/>
                <w:bCs/>
                <w:sz w:val="16"/>
                <w:szCs w:val="16"/>
              </w:rPr>
              <w:t>Objetivo Anual</w:t>
            </w:r>
            <w:r w:rsidR="00C760EC" w:rsidRPr="00FB3D74">
              <w:rPr>
                <w:rFonts w:cs="Arial"/>
                <w:b/>
                <w:bCs/>
                <w:sz w:val="16"/>
                <w:szCs w:val="16"/>
              </w:rPr>
              <w:t>.</w:t>
            </w:r>
          </w:p>
        </w:tc>
        <w:tc>
          <w:tcPr>
            <w:tcW w:w="4992" w:type="dxa"/>
            <w:shd w:val="clear" w:color="auto" w:fill="F2F2F2" w:themeFill="background1" w:themeFillShade="F2"/>
            <w:vAlign w:val="center"/>
          </w:tcPr>
          <w:p w14:paraId="2B129FF1" w14:textId="77777777" w:rsidR="004071CA" w:rsidRPr="00FB3D74" w:rsidRDefault="004071CA" w:rsidP="00942E95">
            <w:pPr>
              <w:rPr>
                <w:rFonts w:cs="Arial"/>
                <w:sz w:val="16"/>
                <w:szCs w:val="16"/>
              </w:rPr>
            </w:pPr>
            <w:r w:rsidRPr="00FB3D74">
              <w:rPr>
                <w:rFonts w:cs="Arial"/>
                <w:sz w:val="16"/>
                <w:szCs w:val="16"/>
              </w:rPr>
              <w:t>El Estado de Colima abate el rezago educativo.</w:t>
            </w:r>
          </w:p>
        </w:tc>
      </w:tr>
      <w:tr w:rsidR="004071CA" w:rsidRPr="00FB3D74" w14:paraId="39FF405E" w14:textId="77777777" w:rsidTr="00942E95">
        <w:trPr>
          <w:trHeight w:val="20"/>
        </w:trPr>
        <w:tc>
          <w:tcPr>
            <w:tcW w:w="3823" w:type="dxa"/>
            <w:shd w:val="clear" w:color="auto" w:fill="F2F2F2" w:themeFill="background1" w:themeFillShade="F2"/>
            <w:vAlign w:val="center"/>
          </w:tcPr>
          <w:p w14:paraId="6F108859" w14:textId="77777777" w:rsidR="004071CA" w:rsidRPr="00FB3D74" w:rsidRDefault="004071CA" w:rsidP="00C760EC">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684BAB80" w14:textId="77777777" w:rsidR="004071CA" w:rsidRPr="00FB3D74" w:rsidRDefault="004071CA" w:rsidP="00C760EC">
            <w:pPr>
              <w:jc w:val="center"/>
              <w:rPr>
                <w:rFonts w:cs="Arial"/>
                <w:sz w:val="16"/>
                <w:szCs w:val="16"/>
              </w:rPr>
            </w:pPr>
            <w:r w:rsidRPr="00FB3D74">
              <w:rPr>
                <w:rFonts w:cs="Arial"/>
                <w:b/>
                <w:bCs/>
                <w:sz w:val="16"/>
                <w:szCs w:val="16"/>
              </w:rPr>
              <w:t>Metas</w:t>
            </w:r>
          </w:p>
        </w:tc>
      </w:tr>
      <w:tr w:rsidR="004071CA" w:rsidRPr="00FB3D74" w14:paraId="1D2A9C07" w14:textId="77777777" w:rsidTr="00942E95">
        <w:trPr>
          <w:trHeight w:val="20"/>
        </w:trPr>
        <w:tc>
          <w:tcPr>
            <w:tcW w:w="3823" w:type="dxa"/>
            <w:vAlign w:val="center"/>
          </w:tcPr>
          <w:p w14:paraId="10551B16" w14:textId="77777777" w:rsidR="004071CA" w:rsidRPr="00FB3D74" w:rsidRDefault="004071CA" w:rsidP="00942E95">
            <w:pPr>
              <w:rPr>
                <w:rFonts w:cs="Arial"/>
                <w:sz w:val="16"/>
                <w:szCs w:val="16"/>
              </w:rPr>
            </w:pPr>
            <w:r w:rsidRPr="00FB3D74">
              <w:rPr>
                <w:rFonts w:cs="Arial"/>
                <w:sz w:val="16"/>
                <w:szCs w:val="16"/>
              </w:rPr>
              <w:t>Estudios acreditados y certificados.</w:t>
            </w:r>
          </w:p>
        </w:tc>
        <w:tc>
          <w:tcPr>
            <w:tcW w:w="4992" w:type="dxa"/>
            <w:vAlign w:val="center"/>
          </w:tcPr>
          <w:p w14:paraId="2BFCD2AA" w14:textId="6B8F4501" w:rsidR="004071CA" w:rsidRPr="00FB3D74" w:rsidRDefault="004071CA" w:rsidP="00942E95">
            <w:pPr>
              <w:rPr>
                <w:rFonts w:cs="Arial"/>
                <w:sz w:val="16"/>
                <w:szCs w:val="16"/>
              </w:rPr>
            </w:pPr>
            <w:r w:rsidRPr="00FB3D74">
              <w:rPr>
                <w:rFonts w:cs="Arial"/>
                <w:sz w:val="16"/>
                <w:szCs w:val="16"/>
              </w:rPr>
              <w:t>Entregar el 100 por ciento de 4</w:t>
            </w:r>
            <w:r w:rsidR="00DB22BE" w:rsidRPr="00FB3D74">
              <w:rPr>
                <w:rFonts w:cs="Arial"/>
                <w:sz w:val="16"/>
                <w:szCs w:val="16"/>
              </w:rPr>
              <w:t>,</w:t>
            </w:r>
            <w:r w:rsidRPr="00FB3D74">
              <w:rPr>
                <w:rFonts w:cs="Arial"/>
                <w:sz w:val="16"/>
                <w:szCs w:val="16"/>
              </w:rPr>
              <w:t>000 constancias y certificados.</w:t>
            </w:r>
          </w:p>
        </w:tc>
      </w:tr>
      <w:tr w:rsidR="004071CA" w:rsidRPr="00FB3D74" w14:paraId="7EFA4354" w14:textId="77777777" w:rsidTr="00942E95">
        <w:trPr>
          <w:trHeight w:val="20"/>
        </w:trPr>
        <w:tc>
          <w:tcPr>
            <w:tcW w:w="3823" w:type="dxa"/>
            <w:shd w:val="clear" w:color="auto" w:fill="F2F2F2" w:themeFill="background1" w:themeFillShade="F2"/>
            <w:vAlign w:val="center"/>
          </w:tcPr>
          <w:p w14:paraId="06B06AF9" w14:textId="39AE016A" w:rsidR="004071CA" w:rsidRPr="00FB3D74" w:rsidRDefault="004071CA" w:rsidP="00942E95">
            <w:pPr>
              <w:rPr>
                <w:rFonts w:cs="Arial"/>
                <w:b/>
                <w:bCs/>
                <w:sz w:val="16"/>
                <w:szCs w:val="16"/>
              </w:rPr>
            </w:pPr>
            <w:r w:rsidRPr="00FB3D74">
              <w:rPr>
                <w:rFonts w:cs="Arial"/>
                <w:b/>
                <w:bCs/>
                <w:sz w:val="16"/>
                <w:szCs w:val="16"/>
              </w:rPr>
              <w:t>Número de Programa Presupuestal</w:t>
            </w:r>
            <w:r w:rsidR="00C760EC" w:rsidRPr="00FB3D74">
              <w:rPr>
                <w:rFonts w:cs="Arial"/>
                <w:b/>
                <w:bCs/>
                <w:sz w:val="16"/>
                <w:szCs w:val="16"/>
              </w:rPr>
              <w:t>.</w:t>
            </w:r>
          </w:p>
        </w:tc>
        <w:tc>
          <w:tcPr>
            <w:tcW w:w="4992" w:type="dxa"/>
            <w:shd w:val="clear" w:color="auto" w:fill="F2F2F2" w:themeFill="background1" w:themeFillShade="F2"/>
            <w:vAlign w:val="center"/>
          </w:tcPr>
          <w:p w14:paraId="39048F4D" w14:textId="6679C958" w:rsidR="004071CA" w:rsidRPr="00FB3D74" w:rsidRDefault="004071CA" w:rsidP="00942E95">
            <w:pPr>
              <w:rPr>
                <w:rFonts w:cs="Arial"/>
                <w:b/>
                <w:bCs/>
                <w:sz w:val="16"/>
                <w:szCs w:val="16"/>
              </w:rPr>
            </w:pPr>
            <w:r w:rsidRPr="00FB3D74">
              <w:rPr>
                <w:rFonts w:cs="Arial"/>
                <w:b/>
                <w:bCs/>
                <w:sz w:val="16"/>
                <w:szCs w:val="16"/>
              </w:rPr>
              <w:t>83</w:t>
            </w:r>
            <w:r w:rsidR="00C760EC" w:rsidRPr="00FB3D74">
              <w:rPr>
                <w:rFonts w:cs="Arial"/>
                <w:b/>
                <w:bCs/>
                <w:sz w:val="16"/>
                <w:szCs w:val="16"/>
              </w:rPr>
              <w:t>.</w:t>
            </w:r>
          </w:p>
        </w:tc>
      </w:tr>
      <w:tr w:rsidR="004071CA" w:rsidRPr="00FB3D74" w14:paraId="58D7B8AF" w14:textId="77777777" w:rsidTr="00942E95">
        <w:trPr>
          <w:trHeight w:val="20"/>
        </w:trPr>
        <w:tc>
          <w:tcPr>
            <w:tcW w:w="3823" w:type="dxa"/>
            <w:shd w:val="clear" w:color="auto" w:fill="F2F2F2" w:themeFill="background1" w:themeFillShade="F2"/>
            <w:vAlign w:val="center"/>
          </w:tcPr>
          <w:p w14:paraId="61F5DCDB" w14:textId="63791633" w:rsidR="004071CA" w:rsidRPr="00FB3D74" w:rsidRDefault="004071CA" w:rsidP="00942E95">
            <w:pPr>
              <w:rPr>
                <w:rFonts w:cs="Arial"/>
                <w:b/>
                <w:bCs/>
                <w:sz w:val="16"/>
                <w:szCs w:val="16"/>
              </w:rPr>
            </w:pPr>
            <w:r w:rsidRPr="00FB3D74">
              <w:rPr>
                <w:rFonts w:cs="Arial"/>
                <w:b/>
                <w:bCs/>
                <w:sz w:val="16"/>
                <w:szCs w:val="16"/>
              </w:rPr>
              <w:t>Dependencia/Organismo</w:t>
            </w:r>
            <w:r w:rsidR="00C760EC" w:rsidRPr="00FB3D74">
              <w:rPr>
                <w:rFonts w:cs="Arial"/>
                <w:b/>
                <w:bCs/>
                <w:sz w:val="16"/>
                <w:szCs w:val="16"/>
              </w:rPr>
              <w:t>.</w:t>
            </w:r>
          </w:p>
        </w:tc>
        <w:tc>
          <w:tcPr>
            <w:tcW w:w="4992" w:type="dxa"/>
            <w:shd w:val="clear" w:color="auto" w:fill="F2F2F2" w:themeFill="background1" w:themeFillShade="F2"/>
            <w:vAlign w:val="center"/>
          </w:tcPr>
          <w:p w14:paraId="3026BAC4" w14:textId="77777777" w:rsidR="004071CA" w:rsidRPr="00FB3D74" w:rsidRDefault="004071CA" w:rsidP="00942E95">
            <w:pPr>
              <w:tabs>
                <w:tab w:val="left" w:pos="397"/>
              </w:tabs>
              <w:rPr>
                <w:rFonts w:cs="Arial"/>
                <w:b/>
                <w:bCs/>
                <w:sz w:val="16"/>
                <w:szCs w:val="16"/>
              </w:rPr>
            </w:pPr>
            <w:r w:rsidRPr="00FB3D74">
              <w:rPr>
                <w:rFonts w:cs="Arial"/>
                <w:b/>
                <w:bCs/>
                <w:sz w:val="16"/>
                <w:szCs w:val="16"/>
              </w:rPr>
              <w:t>Consejería Jurídica del Poder Ejecutivo del Estado.</w:t>
            </w:r>
          </w:p>
        </w:tc>
      </w:tr>
      <w:tr w:rsidR="004071CA" w:rsidRPr="00FB3D74" w14:paraId="5F0D0923" w14:textId="77777777" w:rsidTr="00942E95">
        <w:trPr>
          <w:trHeight w:val="20"/>
        </w:trPr>
        <w:tc>
          <w:tcPr>
            <w:tcW w:w="3823" w:type="dxa"/>
            <w:shd w:val="clear" w:color="auto" w:fill="F2F2F2" w:themeFill="background1" w:themeFillShade="F2"/>
            <w:vAlign w:val="center"/>
          </w:tcPr>
          <w:p w14:paraId="66D4F65A" w14:textId="37558270" w:rsidR="004071CA" w:rsidRPr="00FB3D74" w:rsidRDefault="004071CA" w:rsidP="00942E95">
            <w:pPr>
              <w:rPr>
                <w:rFonts w:cs="Arial"/>
                <w:b/>
                <w:bCs/>
                <w:sz w:val="16"/>
                <w:szCs w:val="16"/>
              </w:rPr>
            </w:pPr>
            <w:r w:rsidRPr="00FB3D74">
              <w:rPr>
                <w:rFonts w:cs="Arial"/>
                <w:b/>
                <w:bCs/>
                <w:sz w:val="16"/>
                <w:szCs w:val="16"/>
              </w:rPr>
              <w:t>Objetivo Anual</w:t>
            </w:r>
            <w:r w:rsidR="00C760EC" w:rsidRPr="00FB3D74">
              <w:rPr>
                <w:rFonts w:cs="Arial"/>
                <w:b/>
                <w:bCs/>
                <w:sz w:val="16"/>
                <w:szCs w:val="16"/>
              </w:rPr>
              <w:t>.</w:t>
            </w:r>
          </w:p>
        </w:tc>
        <w:tc>
          <w:tcPr>
            <w:tcW w:w="4992" w:type="dxa"/>
            <w:shd w:val="clear" w:color="auto" w:fill="F2F2F2" w:themeFill="background1" w:themeFillShade="F2"/>
            <w:vAlign w:val="center"/>
          </w:tcPr>
          <w:p w14:paraId="12FBC04D" w14:textId="77777777" w:rsidR="004071CA" w:rsidRPr="00FB3D74" w:rsidRDefault="004071CA" w:rsidP="00942E95">
            <w:pPr>
              <w:rPr>
                <w:rFonts w:cs="Arial"/>
                <w:sz w:val="16"/>
                <w:szCs w:val="16"/>
              </w:rPr>
            </w:pPr>
            <w:r w:rsidRPr="00FB3D74">
              <w:rPr>
                <w:rFonts w:cs="Arial"/>
                <w:sz w:val="16"/>
                <w:szCs w:val="16"/>
              </w:rPr>
              <w:t>La Consejería Jurídica del Poder Ejecutivo del Estado representa, asesora y defiende jurídicamente a la persona titular del Poder Ejecutivo Estatal y valida jurídicamente todos los documentos que suscribe la misma.</w:t>
            </w:r>
          </w:p>
        </w:tc>
      </w:tr>
      <w:tr w:rsidR="004071CA" w:rsidRPr="00FB3D74" w14:paraId="23B9E67B" w14:textId="77777777" w:rsidTr="00942E95">
        <w:trPr>
          <w:trHeight w:val="20"/>
        </w:trPr>
        <w:tc>
          <w:tcPr>
            <w:tcW w:w="3823" w:type="dxa"/>
            <w:shd w:val="clear" w:color="auto" w:fill="F2F2F2" w:themeFill="background1" w:themeFillShade="F2"/>
            <w:vAlign w:val="center"/>
          </w:tcPr>
          <w:p w14:paraId="12246247" w14:textId="77777777" w:rsidR="004071CA" w:rsidRPr="00FB3D74" w:rsidRDefault="004071CA" w:rsidP="00C760EC">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18DAFA1D" w14:textId="77777777" w:rsidR="004071CA" w:rsidRPr="00FB3D74" w:rsidRDefault="004071CA" w:rsidP="00C760EC">
            <w:pPr>
              <w:jc w:val="center"/>
              <w:rPr>
                <w:rFonts w:cs="Arial"/>
                <w:sz w:val="16"/>
                <w:szCs w:val="16"/>
              </w:rPr>
            </w:pPr>
            <w:r w:rsidRPr="00FB3D74">
              <w:rPr>
                <w:rFonts w:cs="Arial"/>
                <w:b/>
                <w:bCs/>
                <w:sz w:val="16"/>
                <w:szCs w:val="16"/>
              </w:rPr>
              <w:t>Metas</w:t>
            </w:r>
          </w:p>
        </w:tc>
      </w:tr>
      <w:tr w:rsidR="004071CA" w:rsidRPr="00FB3D74" w14:paraId="53695092" w14:textId="77777777" w:rsidTr="00942E95">
        <w:trPr>
          <w:trHeight w:val="20"/>
        </w:trPr>
        <w:tc>
          <w:tcPr>
            <w:tcW w:w="3823" w:type="dxa"/>
            <w:vAlign w:val="center"/>
          </w:tcPr>
          <w:p w14:paraId="2DCBBC26" w14:textId="77777777" w:rsidR="004071CA" w:rsidRPr="00FB3D74" w:rsidRDefault="004071CA" w:rsidP="00942E95">
            <w:pPr>
              <w:rPr>
                <w:rFonts w:cs="Arial"/>
                <w:sz w:val="16"/>
                <w:szCs w:val="16"/>
              </w:rPr>
            </w:pPr>
            <w:r w:rsidRPr="00FB3D74">
              <w:rPr>
                <w:rFonts w:cs="Arial"/>
                <w:sz w:val="16"/>
                <w:szCs w:val="16"/>
              </w:rPr>
              <w:t>Ejecutivo Estatal Legalmente representado.</w:t>
            </w:r>
          </w:p>
        </w:tc>
        <w:tc>
          <w:tcPr>
            <w:tcW w:w="4992" w:type="dxa"/>
            <w:vAlign w:val="center"/>
          </w:tcPr>
          <w:p w14:paraId="7BFDD1DF" w14:textId="77777777" w:rsidR="004071CA" w:rsidRPr="00FB3D74" w:rsidRDefault="004071CA" w:rsidP="00942E95">
            <w:pPr>
              <w:rPr>
                <w:rFonts w:cs="Arial"/>
                <w:sz w:val="16"/>
                <w:szCs w:val="16"/>
              </w:rPr>
            </w:pPr>
            <w:r w:rsidRPr="00FB3D74">
              <w:rPr>
                <w:rFonts w:cs="Arial"/>
                <w:sz w:val="16"/>
                <w:szCs w:val="16"/>
              </w:rPr>
              <w:t>Representar jurídicamente en el 100 por ciento de los juicios al Ejecutivo Estatal.</w:t>
            </w:r>
          </w:p>
        </w:tc>
      </w:tr>
      <w:tr w:rsidR="004071CA" w:rsidRPr="00FB3D74" w14:paraId="2B5A61E2" w14:textId="77777777" w:rsidTr="00942E95">
        <w:trPr>
          <w:trHeight w:val="20"/>
        </w:trPr>
        <w:tc>
          <w:tcPr>
            <w:tcW w:w="3823" w:type="dxa"/>
            <w:vAlign w:val="center"/>
          </w:tcPr>
          <w:p w14:paraId="0A44D4EC" w14:textId="77777777" w:rsidR="004071CA" w:rsidRPr="00FB3D74" w:rsidRDefault="004071CA" w:rsidP="00942E95">
            <w:pPr>
              <w:rPr>
                <w:rFonts w:cs="Arial"/>
                <w:sz w:val="16"/>
                <w:szCs w:val="16"/>
              </w:rPr>
            </w:pPr>
            <w:r w:rsidRPr="00FB3D74">
              <w:rPr>
                <w:rFonts w:cs="Arial"/>
                <w:sz w:val="16"/>
                <w:szCs w:val="16"/>
              </w:rPr>
              <w:t>Actividades legislativas impulsadas.</w:t>
            </w:r>
          </w:p>
        </w:tc>
        <w:tc>
          <w:tcPr>
            <w:tcW w:w="4992" w:type="dxa"/>
            <w:vAlign w:val="center"/>
          </w:tcPr>
          <w:p w14:paraId="0DA91A15" w14:textId="77777777" w:rsidR="004071CA" w:rsidRPr="00FB3D74" w:rsidRDefault="004071CA" w:rsidP="00942E95">
            <w:pPr>
              <w:rPr>
                <w:rFonts w:cs="Arial"/>
                <w:sz w:val="16"/>
                <w:szCs w:val="16"/>
              </w:rPr>
            </w:pPr>
            <w:r w:rsidRPr="00FB3D74">
              <w:rPr>
                <w:rFonts w:cs="Arial"/>
                <w:sz w:val="16"/>
                <w:szCs w:val="16"/>
              </w:rPr>
              <w:t>Atender el 100 por ciento de los asuntos legislativos por la Consejería Jurídica del Poder Ejecutivo.</w:t>
            </w:r>
          </w:p>
        </w:tc>
      </w:tr>
      <w:tr w:rsidR="004071CA" w:rsidRPr="00FB3D74" w14:paraId="4F7E08C5" w14:textId="77777777" w:rsidTr="00942E95">
        <w:trPr>
          <w:trHeight w:val="20"/>
        </w:trPr>
        <w:tc>
          <w:tcPr>
            <w:tcW w:w="3823" w:type="dxa"/>
            <w:vAlign w:val="center"/>
          </w:tcPr>
          <w:p w14:paraId="4569F52A" w14:textId="77777777" w:rsidR="004071CA" w:rsidRPr="00FB3D74" w:rsidRDefault="004071CA" w:rsidP="00942E95">
            <w:pPr>
              <w:rPr>
                <w:rFonts w:cs="Arial"/>
                <w:sz w:val="16"/>
                <w:szCs w:val="16"/>
              </w:rPr>
            </w:pPr>
            <w:r w:rsidRPr="00FB3D74">
              <w:rPr>
                <w:rFonts w:cs="Arial"/>
                <w:sz w:val="16"/>
                <w:szCs w:val="16"/>
              </w:rPr>
              <w:t>Contratos y procedimientos administrativos referentes al Ejecutivo Estatal atendidos.</w:t>
            </w:r>
          </w:p>
        </w:tc>
        <w:tc>
          <w:tcPr>
            <w:tcW w:w="4992" w:type="dxa"/>
            <w:vAlign w:val="center"/>
          </w:tcPr>
          <w:p w14:paraId="0CEF32D7" w14:textId="77777777" w:rsidR="004071CA" w:rsidRPr="00FB3D74" w:rsidRDefault="004071CA" w:rsidP="00942E95">
            <w:pPr>
              <w:rPr>
                <w:rFonts w:cs="Arial"/>
                <w:sz w:val="16"/>
                <w:szCs w:val="16"/>
              </w:rPr>
            </w:pPr>
            <w:r w:rsidRPr="00FB3D74">
              <w:rPr>
                <w:rFonts w:cs="Arial"/>
                <w:sz w:val="16"/>
                <w:szCs w:val="16"/>
              </w:rPr>
              <w:t>Atender el 100 por ciento de asuntos de Contratos y Procedimientos Administrativos atendidos.</w:t>
            </w:r>
          </w:p>
        </w:tc>
      </w:tr>
      <w:tr w:rsidR="004071CA" w:rsidRPr="00FB3D74" w14:paraId="76557CD6" w14:textId="77777777" w:rsidTr="00942E95">
        <w:trPr>
          <w:trHeight w:val="20"/>
        </w:trPr>
        <w:tc>
          <w:tcPr>
            <w:tcW w:w="3823" w:type="dxa"/>
            <w:vAlign w:val="center"/>
          </w:tcPr>
          <w:p w14:paraId="31233CEB" w14:textId="77777777" w:rsidR="004071CA" w:rsidRPr="00FB3D74" w:rsidRDefault="004071CA" w:rsidP="00942E95">
            <w:pPr>
              <w:rPr>
                <w:rFonts w:cs="Arial"/>
                <w:sz w:val="16"/>
                <w:szCs w:val="16"/>
              </w:rPr>
            </w:pPr>
            <w:r w:rsidRPr="00FB3D74">
              <w:rPr>
                <w:rFonts w:cs="Arial"/>
                <w:sz w:val="16"/>
                <w:szCs w:val="16"/>
              </w:rPr>
              <w:t>Representación legal a la ciudadanía realizada.</w:t>
            </w:r>
          </w:p>
        </w:tc>
        <w:tc>
          <w:tcPr>
            <w:tcW w:w="4992" w:type="dxa"/>
            <w:vAlign w:val="center"/>
          </w:tcPr>
          <w:p w14:paraId="2FE4C48F" w14:textId="77777777" w:rsidR="004071CA" w:rsidRPr="00FB3D74" w:rsidRDefault="004071CA" w:rsidP="00942E95">
            <w:pPr>
              <w:rPr>
                <w:rFonts w:cs="Arial"/>
                <w:sz w:val="16"/>
                <w:szCs w:val="16"/>
              </w:rPr>
            </w:pPr>
            <w:r w:rsidRPr="00FB3D74">
              <w:rPr>
                <w:rFonts w:cs="Arial"/>
                <w:sz w:val="16"/>
                <w:szCs w:val="16"/>
              </w:rPr>
              <w:t>Representar jurídicamente en el 100 por ciento de los juicios.</w:t>
            </w:r>
          </w:p>
        </w:tc>
      </w:tr>
      <w:tr w:rsidR="004071CA" w:rsidRPr="00FB3D74" w14:paraId="1C38D963" w14:textId="77777777" w:rsidTr="00942E95">
        <w:trPr>
          <w:trHeight w:val="20"/>
        </w:trPr>
        <w:tc>
          <w:tcPr>
            <w:tcW w:w="3823" w:type="dxa"/>
            <w:vAlign w:val="center"/>
          </w:tcPr>
          <w:p w14:paraId="48A3043E" w14:textId="77777777" w:rsidR="004071CA" w:rsidRPr="00FB3D74" w:rsidRDefault="004071CA" w:rsidP="00942E95">
            <w:pPr>
              <w:rPr>
                <w:rFonts w:cs="Arial"/>
                <w:sz w:val="16"/>
                <w:szCs w:val="16"/>
              </w:rPr>
            </w:pPr>
            <w:r w:rsidRPr="00FB3D74">
              <w:rPr>
                <w:rFonts w:cs="Arial"/>
                <w:sz w:val="16"/>
                <w:szCs w:val="16"/>
              </w:rPr>
              <w:t>Implementación de Acciones sobre Transparencia y rendición de cuentas de las actividades gubernamentales implementadas.</w:t>
            </w:r>
          </w:p>
        </w:tc>
        <w:tc>
          <w:tcPr>
            <w:tcW w:w="4992" w:type="dxa"/>
            <w:vAlign w:val="center"/>
          </w:tcPr>
          <w:p w14:paraId="30E6AAF2" w14:textId="77777777" w:rsidR="004071CA" w:rsidRPr="00FB3D74" w:rsidRDefault="004071CA" w:rsidP="00942E95">
            <w:pPr>
              <w:rPr>
                <w:rFonts w:cs="Arial"/>
                <w:sz w:val="16"/>
                <w:szCs w:val="16"/>
              </w:rPr>
            </w:pPr>
            <w:r w:rsidRPr="00FB3D74">
              <w:rPr>
                <w:rFonts w:cs="Arial"/>
                <w:sz w:val="16"/>
                <w:szCs w:val="16"/>
              </w:rPr>
              <w:t>Atender el 100 por ciento (100) solicitudes atendidas.</w:t>
            </w:r>
          </w:p>
        </w:tc>
      </w:tr>
      <w:tr w:rsidR="004071CA" w:rsidRPr="00FB3D74" w14:paraId="31D4C123" w14:textId="77777777" w:rsidTr="00942E95">
        <w:trPr>
          <w:trHeight w:val="20"/>
        </w:trPr>
        <w:tc>
          <w:tcPr>
            <w:tcW w:w="3823" w:type="dxa"/>
            <w:vAlign w:val="center"/>
          </w:tcPr>
          <w:p w14:paraId="4BF86BC7" w14:textId="77777777" w:rsidR="004071CA" w:rsidRPr="00FB3D74" w:rsidRDefault="004071CA" w:rsidP="00942E95">
            <w:pPr>
              <w:rPr>
                <w:rFonts w:cs="Arial"/>
                <w:sz w:val="16"/>
                <w:szCs w:val="16"/>
              </w:rPr>
            </w:pPr>
            <w:r w:rsidRPr="00FB3D74">
              <w:rPr>
                <w:rFonts w:cs="Arial"/>
                <w:sz w:val="16"/>
                <w:szCs w:val="16"/>
              </w:rPr>
              <w:t>Dependencias de la Administración Pública del Estado con la Consejería Jurídica coordinadas jurídicamente.</w:t>
            </w:r>
          </w:p>
        </w:tc>
        <w:tc>
          <w:tcPr>
            <w:tcW w:w="4992" w:type="dxa"/>
            <w:vAlign w:val="center"/>
          </w:tcPr>
          <w:p w14:paraId="144B8FB5" w14:textId="77777777" w:rsidR="004071CA" w:rsidRPr="00FB3D74" w:rsidRDefault="004071CA" w:rsidP="00942E95">
            <w:pPr>
              <w:rPr>
                <w:rFonts w:cs="Arial"/>
                <w:sz w:val="16"/>
                <w:szCs w:val="16"/>
              </w:rPr>
            </w:pPr>
            <w:r w:rsidRPr="00FB3D74">
              <w:rPr>
                <w:rFonts w:cs="Arial"/>
                <w:sz w:val="16"/>
                <w:szCs w:val="16"/>
              </w:rPr>
              <w:t>Atender el 100 por ciento de asuntos por parte de las unidades jurídicas.</w:t>
            </w:r>
          </w:p>
        </w:tc>
      </w:tr>
      <w:tr w:rsidR="004071CA" w:rsidRPr="00FB3D74" w14:paraId="508EE4F7" w14:textId="77777777" w:rsidTr="00942E95">
        <w:trPr>
          <w:trHeight w:val="20"/>
        </w:trPr>
        <w:tc>
          <w:tcPr>
            <w:tcW w:w="3823" w:type="dxa"/>
            <w:shd w:val="clear" w:color="auto" w:fill="F2F2F2" w:themeFill="background1" w:themeFillShade="F2"/>
            <w:vAlign w:val="center"/>
          </w:tcPr>
          <w:p w14:paraId="4A021FE6" w14:textId="692E19D2" w:rsidR="004071CA" w:rsidRPr="00FB3D74" w:rsidRDefault="004071CA" w:rsidP="00942E95">
            <w:pPr>
              <w:rPr>
                <w:rFonts w:cs="Arial"/>
                <w:b/>
                <w:bCs/>
                <w:sz w:val="16"/>
                <w:szCs w:val="16"/>
              </w:rPr>
            </w:pPr>
            <w:r w:rsidRPr="00FB3D74">
              <w:rPr>
                <w:rFonts w:cs="Arial"/>
                <w:b/>
                <w:bCs/>
                <w:sz w:val="16"/>
                <w:szCs w:val="16"/>
              </w:rPr>
              <w:t>Número de Programa Presupuestal</w:t>
            </w:r>
            <w:r w:rsidR="00C760EC" w:rsidRPr="00FB3D74">
              <w:rPr>
                <w:rFonts w:cs="Arial"/>
                <w:b/>
                <w:bCs/>
                <w:sz w:val="16"/>
                <w:szCs w:val="16"/>
              </w:rPr>
              <w:t>.</w:t>
            </w:r>
          </w:p>
        </w:tc>
        <w:tc>
          <w:tcPr>
            <w:tcW w:w="4992" w:type="dxa"/>
            <w:shd w:val="clear" w:color="auto" w:fill="F2F2F2" w:themeFill="background1" w:themeFillShade="F2"/>
            <w:vAlign w:val="center"/>
          </w:tcPr>
          <w:p w14:paraId="4E8E9FA2" w14:textId="2D144B74" w:rsidR="004071CA" w:rsidRPr="00FB3D74" w:rsidRDefault="004071CA" w:rsidP="00942E95">
            <w:pPr>
              <w:rPr>
                <w:rFonts w:cs="Arial"/>
                <w:b/>
                <w:bCs/>
                <w:sz w:val="16"/>
                <w:szCs w:val="16"/>
              </w:rPr>
            </w:pPr>
            <w:r w:rsidRPr="00FB3D74">
              <w:rPr>
                <w:rFonts w:cs="Arial"/>
                <w:b/>
                <w:bCs/>
                <w:sz w:val="16"/>
                <w:szCs w:val="16"/>
              </w:rPr>
              <w:t>84</w:t>
            </w:r>
            <w:r w:rsidR="00C760EC" w:rsidRPr="00FB3D74">
              <w:rPr>
                <w:rFonts w:cs="Arial"/>
                <w:b/>
                <w:bCs/>
                <w:sz w:val="16"/>
                <w:szCs w:val="16"/>
              </w:rPr>
              <w:t>.</w:t>
            </w:r>
          </w:p>
        </w:tc>
      </w:tr>
      <w:tr w:rsidR="004071CA" w:rsidRPr="00FB3D74" w14:paraId="39CE4981" w14:textId="77777777" w:rsidTr="00942E95">
        <w:trPr>
          <w:trHeight w:val="20"/>
        </w:trPr>
        <w:tc>
          <w:tcPr>
            <w:tcW w:w="3823" w:type="dxa"/>
            <w:shd w:val="clear" w:color="auto" w:fill="F2F2F2" w:themeFill="background1" w:themeFillShade="F2"/>
            <w:vAlign w:val="center"/>
          </w:tcPr>
          <w:p w14:paraId="14F2ACC7" w14:textId="28A179DD" w:rsidR="004071CA" w:rsidRPr="00FB3D74" w:rsidRDefault="004071CA" w:rsidP="00942E95">
            <w:pPr>
              <w:rPr>
                <w:rFonts w:cs="Arial"/>
                <w:b/>
                <w:bCs/>
                <w:sz w:val="16"/>
                <w:szCs w:val="16"/>
              </w:rPr>
            </w:pPr>
            <w:r w:rsidRPr="00FB3D74">
              <w:rPr>
                <w:rFonts w:cs="Arial"/>
                <w:b/>
                <w:bCs/>
                <w:sz w:val="16"/>
                <w:szCs w:val="16"/>
              </w:rPr>
              <w:t>Dependencia/Organismo</w:t>
            </w:r>
            <w:r w:rsidR="00C760EC" w:rsidRPr="00FB3D74">
              <w:rPr>
                <w:rFonts w:cs="Arial"/>
                <w:b/>
                <w:bCs/>
                <w:sz w:val="16"/>
                <w:szCs w:val="16"/>
              </w:rPr>
              <w:t>.</w:t>
            </w:r>
          </w:p>
        </w:tc>
        <w:tc>
          <w:tcPr>
            <w:tcW w:w="4992" w:type="dxa"/>
            <w:shd w:val="clear" w:color="auto" w:fill="F2F2F2" w:themeFill="background1" w:themeFillShade="F2"/>
            <w:vAlign w:val="center"/>
          </w:tcPr>
          <w:p w14:paraId="3CDB07FD" w14:textId="77777777" w:rsidR="004071CA" w:rsidRPr="00FB3D74" w:rsidRDefault="004071CA" w:rsidP="00942E95">
            <w:pPr>
              <w:tabs>
                <w:tab w:val="left" w:pos="397"/>
              </w:tabs>
              <w:rPr>
                <w:rFonts w:cs="Arial"/>
                <w:b/>
                <w:bCs/>
                <w:sz w:val="16"/>
                <w:szCs w:val="16"/>
              </w:rPr>
            </w:pPr>
            <w:r w:rsidRPr="00FB3D74">
              <w:rPr>
                <w:rFonts w:cs="Arial"/>
                <w:b/>
                <w:bCs/>
                <w:sz w:val="16"/>
                <w:szCs w:val="16"/>
              </w:rPr>
              <w:t>Colegio Nacional de Educación Profesional Técnica del Estado de Colima.</w:t>
            </w:r>
          </w:p>
        </w:tc>
      </w:tr>
      <w:tr w:rsidR="004071CA" w:rsidRPr="00FB3D74" w14:paraId="261CD729" w14:textId="77777777" w:rsidTr="00942E95">
        <w:trPr>
          <w:trHeight w:val="20"/>
        </w:trPr>
        <w:tc>
          <w:tcPr>
            <w:tcW w:w="3823" w:type="dxa"/>
            <w:shd w:val="clear" w:color="auto" w:fill="F2F2F2" w:themeFill="background1" w:themeFillShade="F2"/>
            <w:vAlign w:val="center"/>
          </w:tcPr>
          <w:p w14:paraId="39E6B67A" w14:textId="55CCCE54" w:rsidR="004071CA" w:rsidRPr="00FB3D74" w:rsidRDefault="004071CA" w:rsidP="00942E95">
            <w:pPr>
              <w:rPr>
                <w:rFonts w:cs="Arial"/>
                <w:b/>
                <w:bCs/>
                <w:sz w:val="16"/>
                <w:szCs w:val="16"/>
              </w:rPr>
            </w:pPr>
            <w:r w:rsidRPr="00FB3D74">
              <w:rPr>
                <w:rFonts w:cs="Arial"/>
                <w:b/>
                <w:bCs/>
                <w:sz w:val="16"/>
                <w:szCs w:val="16"/>
              </w:rPr>
              <w:t>Objetivo Anual</w:t>
            </w:r>
            <w:r w:rsidR="00C760EC" w:rsidRPr="00FB3D74">
              <w:rPr>
                <w:rFonts w:cs="Arial"/>
                <w:b/>
                <w:bCs/>
                <w:sz w:val="16"/>
                <w:szCs w:val="16"/>
              </w:rPr>
              <w:t>.</w:t>
            </w:r>
          </w:p>
        </w:tc>
        <w:tc>
          <w:tcPr>
            <w:tcW w:w="4992" w:type="dxa"/>
            <w:shd w:val="clear" w:color="auto" w:fill="F2F2F2" w:themeFill="background1" w:themeFillShade="F2"/>
            <w:vAlign w:val="center"/>
          </w:tcPr>
          <w:p w14:paraId="62F32D47" w14:textId="13F92A16" w:rsidR="004071CA" w:rsidRPr="00FB3D74" w:rsidRDefault="004071CA" w:rsidP="00942E95">
            <w:pPr>
              <w:rPr>
                <w:rFonts w:cs="Arial"/>
                <w:sz w:val="16"/>
                <w:szCs w:val="16"/>
              </w:rPr>
            </w:pPr>
            <w:r w:rsidRPr="00FB3D74">
              <w:rPr>
                <w:rFonts w:cs="Arial"/>
                <w:sz w:val="16"/>
                <w:szCs w:val="16"/>
              </w:rPr>
              <w:t xml:space="preserve">La población de 15 a 17 años del Estado de Colima supera limitaciones de cobertura, permanencia y </w:t>
            </w:r>
            <w:r w:rsidR="00DB22BE" w:rsidRPr="00FB3D74">
              <w:rPr>
                <w:rFonts w:cs="Arial"/>
                <w:sz w:val="16"/>
                <w:szCs w:val="16"/>
              </w:rPr>
              <w:t xml:space="preserve">calidad </w:t>
            </w:r>
            <w:r w:rsidRPr="00FB3D74">
              <w:rPr>
                <w:rFonts w:cs="Arial"/>
                <w:sz w:val="16"/>
                <w:szCs w:val="16"/>
              </w:rPr>
              <w:t>en Educación Media Superior.</w:t>
            </w:r>
          </w:p>
        </w:tc>
      </w:tr>
      <w:tr w:rsidR="004071CA" w:rsidRPr="00FB3D74" w14:paraId="33082E2F" w14:textId="77777777" w:rsidTr="00942E95">
        <w:trPr>
          <w:trHeight w:val="20"/>
        </w:trPr>
        <w:tc>
          <w:tcPr>
            <w:tcW w:w="3823" w:type="dxa"/>
            <w:shd w:val="clear" w:color="auto" w:fill="F2F2F2" w:themeFill="background1" w:themeFillShade="F2"/>
            <w:vAlign w:val="center"/>
          </w:tcPr>
          <w:p w14:paraId="3B76F59E" w14:textId="77777777" w:rsidR="004071CA" w:rsidRPr="00FB3D74" w:rsidRDefault="004071CA" w:rsidP="00C760EC">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5DB9914D" w14:textId="77777777" w:rsidR="004071CA" w:rsidRPr="00FB3D74" w:rsidRDefault="004071CA" w:rsidP="00C760EC">
            <w:pPr>
              <w:jc w:val="center"/>
              <w:rPr>
                <w:rFonts w:cs="Arial"/>
                <w:sz w:val="16"/>
                <w:szCs w:val="16"/>
              </w:rPr>
            </w:pPr>
            <w:r w:rsidRPr="00FB3D74">
              <w:rPr>
                <w:rFonts w:cs="Arial"/>
                <w:b/>
                <w:bCs/>
                <w:sz w:val="16"/>
                <w:szCs w:val="16"/>
              </w:rPr>
              <w:t>Metas</w:t>
            </w:r>
          </w:p>
        </w:tc>
      </w:tr>
      <w:tr w:rsidR="004071CA" w:rsidRPr="00FB3D74" w14:paraId="4AC2DF26" w14:textId="77777777" w:rsidTr="00942E95">
        <w:trPr>
          <w:trHeight w:val="20"/>
        </w:trPr>
        <w:tc>
          <w:tcPr>
            <w:tcW w:w="3823" w:type="dxa"/>
            <w:vAlign w:val="center"/>
          </w:tcPr>
          <w:p w14:paraId="5BE09A8A" w14:textId="4832ECDA" w:rsidR="004071CA" w:rsidRPr="00FB3D74" w:rsidRDefault="004071CA" w:rsidP="00942E95">
            <w:pPr>
              <w:rPr>
                <w:rFonts w:cs="Arial"/>
                <w:sz w:val="16"/>
                <w:szCs w:val="16"/>
              </w:rPr>
            </w:pPr>
            <w:r w:rsidRPr="00FB3D74">
              <w:rPr>
                <w:rFonts w:cs="Arial"/>
                <w:sz w:val="16"/>
                <w:szCs w:val="16"/>
              </w:rPr>
              <w:t xml:space="preserve">Alumnos de </w:t>
            </w:r>
            <w:r w:rsidR="00DB22BE" w:rsidRPr="00FB3D74">
              <w:rPr>
                <w:rFonts w:cs="Arial"/>
                <w:sz w:val="16"/>
                <w:szCs w:val="16"/>
              </w:rPr>
              <w:t xml:space="preserve">Educación Media Superior </w:t>
            </w:r>
            <w:r w:rsidRPr="00FB3D74">
              <w:rPr>
                <w:rFonts w:cs="Arial"/>
                <w:sz w:val="16"/>
                <w:szCs w:val="16"/>
              </w:rPr>
              <w:t>atendidos.</w:t>
            </w:r>
          </w:p>
        </w:tc>
        <w:tc>
          <w:tcPr>
            <w:tcW w:w="4992" w:type="dxa"/>
            <w:vAlign w:val="center"/>
          </w:tcPr>
          <w:p w14:paraId="52957553" w14:textId="77777777" w:rsidR="004071CA" w:rsidRPr="00FB3D74" w:rsidRDefault="004071CA" w:rsidP="00942E95">
            <w:pPr>
              <w:rPr>
                <w:rFonts w:cs="Arial"/>
                <w:sz w:val="16"/>
                <w:szCs w:val="16"/>
              </w:rPr>
            </w:pPr>
            <w:r w:rsidRPr="00FB3D74">
              <w:rPr>
                <w:rFonts w:cs="Arial"/>
                <w:sz w:val="16"/>
                <w:szCs w:val="16"/>
              </w:rPr>
              <w:t xml:space="preserve">72 por ciento de retención en el Colegio de Educación Profesional Técnica del Estado de Colima (540/748 alumnos inscritos en 2do año de la generación N). </w:t>
            </w:r>
          </w:p>
        </w:tc>
      </w:tr>
      <w:tr w:rsidR="004071CA" w:rsidRPr="00FB3D74" w14:paraId="291BE91B" w14:textId="77777777" w:rsidTr="00942E95">
        <w:trPr>
          <w:trHeight w:val="20"/>
        </w:trPr>
        <w:tc>
          <w:tcPr>
            <w:tcW w:w="3823" w:type="dxa"/>
            <w:vAlign w:val="center"/>
          </w:tcPr>
          <w:p w14:paraId="30F78128" w14:textId="1955FEE4" w:rsidR="004071CA" w:rsidRPr="00FB3D74" w:rsidRDefault="004071CA" w:rsidP="00942E95">
            <w:pPr>
              <w:rPr>
                <w:rFonts w:cs="Arial"/>
                <w:sz w:val="16"/>
                <w:szCs w:val="16"/>
              </w:rPr>
            </w:pPr>
            <w:r w:rsidRPr="00FB3D74">
              <w:rPr>
                <w:rFonts w:cs="Arial"/>
                <w:sz w:val="16"/>
                <w:szCs w:val="16"/>
              </w:rPr>
              <w:t xml:space="preserve">Capacitación de </w:t>
            </w:r>
            <w:r w:rsidR="00DB22BE" w:rsidRPr="00FB3D74">
              <w:rPr>
                <w:rFonts w:cs="Arial"/>
                <w:sz w:val="16"/>
                <w:szCs w:val="16"/>
              </w:rPr>
              <w:t xml:space="preserve">Docentes </w:t>
            </w:r>
            <w:r w:rsidRPr="00FB3D74">
              <w:rPr>
                <w:rFonts w:cs="Arial"/>
                <w:sz w:val="16"/>
                <w:szCs w:val="16"/>
              </w:rPr>
              <w:t>realizadas.</w:t>
            </w:r>
          </w:p>
        </w:tc>
        <w:tc>
          <w:tcPr>
            <w:tcW w:w="4992" w:type="dxa"/>
            <w:vAlign w:val="center"/>
          </w:tcPr>
          <w:p w14:paraId="2222B8E5" w14:textId="77777777" w:rsidR="004071CA" w:rsidRPr="00FB3D74" w:rsidRDefault="004071CA" w:rsidP="00942E95">
            <w:pPr>
              <w:rPr>
                <w:rFonts w:cs="Arial"/>
                <w:sz w:val="16"/>
                <w:szCs w:val="16"/>
              </w:rPr>
            </w:pPr>
            <w:r w:rsidRPr="00FB3D74">
              <w:rPr>
                <w:rFonts w:cs="Arial"/>
                <w:sz w:val="16"/>
                <w:szCs w:val="16"/>
              </w:rPr>
              <w:t xml:space="preserve">77.1 por ciento de docentes frente a grupo capacitados del Colegio de Educación Profesional Técnica del Estado de Colima (81/105). </w:t>
            </w:r>
          </w:p>
        </w:tc>
      </w:tr>
      <w:tr w:rsidR="004071CA" w:rsidRPr="00FB3D74" w14:paraId="708B2499" w14:textId="77777777" w:rsidTr="00942E95">
        <w:trPr>
          <w:trHeight w:val="20"/>
        </w:trPr>
        <w:tc>
          <w:tcPr>
            <w:tcW w:w="3823" w:type="dxa"/>
            <w:vAlign w:val="center"/>
          </w:tcPr>
          <w:p w14:paraId="2ECA8854" w14:textId="77777777" w:rsidR="004071CA" w:rsidRPr="00FB3D74" w:rsidRDefault="004071CA" w:rsidP="00942E95">
            <w:pPr>
              <w:rPr>
                <w:rFonts w:cs="Arial"/>
                <w:sz w:val="16"/>
                <w:szCs w:val="16"/>
              </w:rPr>
            </w:pPr>
            <w:r w:rsidRPr="00FB3D74">
              <w:rPr>
                <w:rFonts w:cs="Arial"/>
                <w:sz w:val="16"/>
                <w:szCs w:val="16"/>
              </w:rPr>
              <w:t>Desempeño de funciones de instituciones de Educación Media Superior, respecto a los programas y seguimiento realizado.</w:t>
            </w:r>
          </w:p>
        </w:tc>
        <w:tc>
          <w:tcPr>
            <w:tcW w:w="4992" w:type="dxa"/>
            <w:vAlign w:val="center"/>
          </w:tcPr>
          <w:p w14:paraId="2ADCB7FD" w14:textId="77777777" w:rsidR="004071CA" w:rsidRPr="00FB3D74" w:rsidRDefault="004071CA" w:rsidP="00942E95">
            <w:pPr>
              <w:rPr>
                <w:rFonts w:cs="Arial"/>
                <w:sz w:val="16"/>
                <w:szCs w:val="16"/>
              </w:rPr>
            </w:pPr>
            <w:r w:rsidRPr="00FB3D74">
              <w:rPr>
                <w:rFonts w:cs="Arial"/>
                <w:sz w:val="16"/>
                <w:szCs w:val="16"/>
              </w:rPr>
              <w:t>Programa Institucional operado en el Colegio de Educación Profesional Técnica del Estado de Colima.</w:t>
            </w:r>
          </w:p>
        </w:tc>
      </w:tr>
      <w:tr w:rsidR="004071CA" w:rsidRPr="00FB3D74" w14:paraId="0B24FE75" w14:textId="77777777" w:rsidTr="00942E95">
        <w:trPr>
          <w:trHeight w:val="20"/>
        </w:trPr>
        <w:tc>
          <w:tcPr>
            <w:tcW w:w="3823" w:type="dxa"/>
            <w:shd w:val="clear" w:color="auto" w:fill="F2F2F2" w:themeFill="background1" w:themeFillShade="F2"/>
            <w:vAlign w:val="center"/>
          </w:tcPr>
          <w:p w14:paraId="2507EA8F" w14:textId="7E9F59EF" w:rsidR="004071CA" w:rsidRPr="00FB3D74" w:rsidRDefault="004071CA" w:rsidP="00942E95">
            <w:pPr>
              <w:rPr>
                <w:rFonts w:cs="Arial"/>
                <w:b/>
                <w:bCs/>
                <w:sz w:val="16"/>
                <w:szCs w:val="16"/>
              </w:rPr>
            </w:pPr>
            <w:r w:rsidRPr="00FB3D74">
              <w:rPr>
                <w:rFonts w:cs="Arial"/>
                <w:b/>
                <w:bCs/>
                <w:sz w:val="16"/>
                <w:szCs w:val="16"/>
              </w:rPr>
              <w:t>Número de Programa Presupuestal</w:t>
            </w:r>
            <w:r w:rsidR="00C760EC" w:rsidRPr="00FB3D74">
              <w:rPr>
                <w:rFonts w:cs="Arial"/>
                <w:b/>
                <w:bCs/>
                <w:sz w:val="16"/>
                <w:szCs w:val="16"/>
              </w:rPr>
              <w:t>.</w:t>
            </w:r>
          </w:p>
        </w:tc>
        <w:tc>
          <w:tcPr>
            <w:tcW w:w="4992" w:type="dxa"/>
            <w:shd w:val="clear" w:color="auto" w:fill="F2F2F2" w:themeFill="background1" w:themeFillShade="F2"/>
            <w:vAlign w:val="center"/>
          </w:tcPr>
          <w:p w14:paraId="3BBE35DC" w14:textId="59CC70F4" w:rsidR="004071CA" w:rsidRPr="00FB3D74" w:rsidRDefault="004071CA" w:rsidP="00942E95">
            <w:pPr>
              <w:rPr>
                <w:rFonts w:cs="Arial"/>
                <w:b/>
                <w:bCs/>
                <w:sz w:val="16"/>
                <w:szCs w:val="16"/>
              </w:rPr>
            </w:pPr>
            <w:r w:rsidRPr="00FB3D74">
              <w:rPr>
                <w:rFonts w:cs="Arial"/>
                <w:b/>
                <w:bCs/>
                <w:sz w:val="16"/>
                <w:szCs w:val="16"/>
              </w:rPr>
              <w:t>85</w:t>
            </w:r>
            <w:r w:rsidR="00C760EC" w:rsidRPr="00FB3D74">
              <w:rPr>
                <w:rFonts w:cs="Arial"/>
                <w:b/>
                <w:bCs/>
                <w:sz w:val="16"/>
                <w:szCs w:val="16"/>
              </w:rPr>
              <w:t>.</w:t>
            </w:r>
          </w:p>
        </w:tc>
      </w:tr>
      <w:tr w:rsidR="004071CA" w:rsidRPr="00FB3D74" w14:paraId="217F0A76" w14:textId="77777777" w:rsidTr="00942E95">
        <w:trPr>
          <w:trHeight w:val="20"/>
        </w:trPr>
        <w:tc>
          <w:tcPr>
            <w:tcW w:w="3823" w:type="dxa"/>
            <w:shd w:val="clear" w:color="auto" w:fill="F2F2F2" w:themeFill="background1" w:themeFillShade="F2"/>
            <w:vAlign w:val="center"/>
          </w:tcPr>
          <w:p w14:paraId="25429790" w14:textId="424A19E3" w:rsidR="004071CA" w:rsidRPr="00FB3D74" w:rsidRDefault="004071CA" w:rsidP="00942E95">
            <w:pPr>
              <w:rPr>
                <w:rFonts w:cs="Arial"/>
                <w:b/>
                <w:bCs/>
                <w:sz w:val="16"/>
                <w:szCs w:val="16"/>
              </w:rPr>
            </w:pPr>
            <w:r w:rsidRPr="00FB3D74">
              <w:rPr>
                <w:rFonts w:cs="Arial"/>
                <w:b/>
                <w:bCs/>
                <w:sz w:val="16"/>
                <w:szCs w:val="16"/>
              </w:rPr>
              <w:t>Dependencia/Organismo</w:t>
            </w:r>
            <w:r w:rsidR="00C760EC" w:rsidRPr="00FB3D74">
              <w:rPr>
                <w:rFonts w:cs="Arial"/>
                <w:b/>
                <w:bCs/>
                <w:sz w:val="16"/>
                <w:szCs w:val="16"/>
              </w:rPr>
              <w:t>.</w:t>
            </w:r>
          </w:p>
        </w:tc>
        <w:tc>
          <w:tcPr>
            <w:tcW w:w="4992" w:type="dxa"/>
            <w:shd w:val="clear" w:color="auto" w:fill="F2F2F2" w:themeFill="background1" w:themeFillShade="F2"/>
            <w:vAlign w:val="center"/>
          </w:tcPr>
          <w:p w14:paraId="06BD269D" w14:textId="77777777" w:rsidR="004071CA" w:rsidRPr="00FB3D74" w:rsidRDefault="004071CA" w:rsidP="00942E95">
            <w:pPr>
              <w:tabs>
                <w:tab w:val="left" w:pos="397"/>
              </w:tabs>
              <w:rPr>
                <w:rFonts w:cs="Arial"/>
                <w:b/>
                <w:bCs/>
                <w:sz w:val="16"/>
                <w:szCs w:val="16"/>
              </w:rPr>
            </w:pPr>
            <w:r w:rsidRPr="00FB3D74">
              <w:rPr>
                <w:rFonts w:cs="Arial"/>
                <w:b/>
                <w:bCs/>
                <w:sz w:val="16"/>
                <w:szCs w:val="16"/>
              </w:rPr>
              <w:t>Instituto Colimense de Radio y Televisión.</w:t>
            </w:r>
          </w:p>
        </w:tc>
      </w:tr>
      <w:tr w:rsidR="004071CA" w:rsidRPr="00FB3D74" w14:paraId="3A07E36E" w14:textId="77777777" w:rsidTr="00942E95">
        <w:trPr>
          <w:trHeight w:val="20"/>
        </w:trPr>
        <w:tc>
          <w:tcPr>
            <w:tcW w:w="3823" w:type="dxa"/>
            <w:shd w:val="clear" w:color="auto" w:fill="F2F2F2" w:themeFill="background1" w:themeFillShade="F2"/>
            <w:vAlign w:val="center"/>
          </w:tcPr>
          <w:p w14:paraId="21C117E7" w14:textId="2FD0013E" w:rsidR="004071CA" w:rsidRPr="00FB3D74" w:rsidRDefault="004071CA" w:rsidP="00942E95">
            <w:pPr>
              <w:rPr>
                <w:rFonts w:cs="Arial"/>
                <w:b/>
                <w:bCs/>
                <w:sz w:val="16"/>
                <w:szCs w:val="16"/>
              </w:rPr>
            </w:pPr>
            <w:r w:rsidRPr="00FB3D74">
              <w:rPr>
                <w:rFonts w:cs="Arial"/>
                <w:b/>
                <w:bCs/>
                <w:sz w:val="16"/>
                <w:szCs w:val="16"/>
              </w:rPr>
              <w:t>Objetivo Anual</w:t>
            </w:r>
            <w:r w:rsidR="00C760EC" w:rsidRPr="00FB3D74">
              <w:rPr>
                <w:rFonts w:cs="Arial"/>
                <w:b/>
                <w:bCs/>
                <w:sz w:val="16"/>
                <w:szCs w:val="16"/>
              </w:rPr>
              <w:t>.</w:t>
            </w:r>
          </w:p>
        </w:tc>
        <w:tc>
          <w:tcPr>
            <w:tcW w:w="4992" w:type="dxa"/>
            <w:shd w:val="clear" w:color="auto" w:fill="F2F2F2" w:themeFill="background1" w:themeFillShade="F2"/>
            <w:vAlign w:val="center"/>
          </w:tcPr>
          <w:p w14:paraId="07BEB3E4" w14:textId="09CB65A0" w:rsidR="004071CA" w:rsidRPr="00FB3D74" w:rsidRDefault="004071CA" w:rsidP="00942E95">
            <w:pPr>
              <w:rPr>
                <w:rFonts w:cs="Arial"/>
                <w:sz w:val="16"/>
                <w:szCs w:val="16"/>
              </w:rPr>
            </w:pPr>
            <w:r w:rsidRPr="00FB3D74">
              <w:rPr>
                <w:rFonts w:cs="Arial"/>
                <w:sz w:val="16"/>
                <w:szCs w:val="16"/>
              </w:rPr>
              <w:t>Lograr una cobertura de la señal de la televisión y radio</w:t>
            </w:r>
            <w:r w:rsidR="00942E95" w:rsidRPr="00FB3D74">
              <w:rPr>
                <w:rFonts w:cs="Arial"/>
                <w:sz w:val="16"/>
                <w:szCs w:val="16"/>
              </w:rPr>
              <w:t xml:space="preserve"> en todo el Estado de Colima,</w:t>
            </w:r>
            <w:r w:rsidRPr="00FB3D74">
              <w:rPr>
                <w:rFonts w:cs="Arial"/>
                <w:sz w:val="16"/>
                <w:szCs w:val="16"/>
              </w:rPr>
              <w:t xml:space="preserve"> para que los contenidos lleguen al mayor número de colimenses y así servir a la población de la entidad.</w:t>
            </w:r>
          </w:p>
        </w:tc>
      </w:tr>
      <w:tr w:rsidR="004071CA" w:rsidRPr="00FB3D74" w14:paraId="784FD10D" w14:textId="77777777" w:rsidTr="00942E95">
        <w:trPr>
          <w:trHeight w:val="20"/>
        </w:trPr>
        <w:tc>
          <w:tcPr>
            <w:tcW w:w="3823" w:type="dxa"/>
            <w:shd w:val="clear" w:color="auto" w:fill="F2F2F2" w:themeFill="background1" w:themeFillShade="F2"/>
            <w:vAlign w:val="center"/>
          </w:tcPr>
          <w:p w14:paraId="5BACD63D" w14:textId="77777777" w:rsidR="004071CA" w:rsidRPr="00FB3D74" w:rsidRDefault="004071CA" w:rsidP="00C760EC">
            <w:pPr>
              <w:jc w:val="cente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10A3D5DA" w14:textId="77777777" w:rsidR="004071CA" w:rsidRPr="00FB3D74" w:rsidRDefault="004071CA" w:rsidP="00C760EC">
            <w:pPr>
              <w:jc w:val="center"/>
              <w:rPr>
                <w:rFonts w:cs="Arial"/>
                <w:sz w:val="16"/>
                <w:szCs w:val="16"/>
              </w:rPr>
            </w:pPr>
            <w:r w:rsidRPr="00FB3D74">
              <w:rPr>
                <w:rFonts w:cs="Arial"/>
                <w:b/>
                <w:bCs/>
                <w:sz w:val="16"/>
                <w:szCs w:val="16"/>
              </w:rPr>
              <w:t>Metas</w:t>
            </w:r>
          </w:p>
        </w:tc>
      </w:tr>
      <w:tr w:rsidR="004071CA" w:rsidRPr="00FB3D74" w14:paraId="056CC8BF" w14:textId="77777777" w:rsidTr="00942E95">
        <w:trPr>
          <w:trHeight w:val="20"/>
        </w:trPr>
        <w:tc>
          <w:tcPr>
            <w:tcW w:w="3823" w:type="dxa"/>
            <w:vAlign w:val="center"/>
          </w:tcPr>
          <w:p w14:paraId="2913DD28" w14:textId="77777777" w:rsidR="004071CA" w:rsidRPr="00FB3D74" w:rsidRDefault="004071CA" w:rsidP="00942E95">
            <w:pPr>
              <w:rPr>
                <w:rFonts w:cs="Arial"/>
                <w:sz w:val="16"/>
                <w:szCs w:val="16"/>
              </w:rPr>
            </w:pPr>
            <w:r w:rsidRPr="00FB3D74">
              <w:rPr>
                <w:rFonts w:cs="Arial"/>
                <w:sz w:val="16"/>
                <w:szCs w:val="16"/>
              </w:rPr>
              <w:lastRenderedPageBreak/>
              <w:t>Programación de calidad acreditada para el gusto de la gente de lo que acontece en el Estado y el país, mediante la radio y la televisión.</w:t>
            </w:r>
          </w:p>
        </w:tc>
        <w:tc>
          <w:tcPr>
            <w:tcW w:w="4992" w:type="dxa"/>
            <w:vAlign w:val="center"/>
          </w:tcPr>
          <w:p w14:paraId="7A17FDB4" w14:textId="5B0668A4" w:rsidR="004071CA" w:rsidRPr="00FB3D74" w:rsidRDefault="004071CA" w:rsidP="00942E95">
            <w:pPr>
              <w:rPr>
                <w:rFonts w:cs="Arial"/>
                <w:sz w:val="16"/>
                <w:szCs w:val="16"/>
              </w:rPr>
            </w:pPr>
            <w:r w:rsidRPr="00FB3D74">
              <w:rPr>
                <w:rFonts w:cs="Arial"/>
                <w:sz w:val="16"/>
                <w:szCs w:val="16"/>
              </w:rPr>
              <w:t>100 por ciento, transmitir el 100 por ciento de 17</w:t>
            </w:r>
            <w:r w:rsidR="00942E95" w:rsidRPr="00FB3D74">
              <w:rPr>
                <w:rFonts w:cs="Arial"/>
                <w:sz w:val="16"/>
                <w:szCs w:val="16"/>
              </w:rPr>
              <w:t>,</w:t>
            </w:r>
            <w:r w:rsidRPr="00FB3D74">
              <w:rPr>
                <w:rFonts w:cs="Arial"/>
                <w:sz w:val="16"/>
                <w:szCs w:val="16"/>
              </w:rPr>
              <w:t>520 horas de programas de radio y televisión en el Estado.</w:t>
            </w:r>
          </w:p>
        </w:tc>
      </w:tr>
      <w:tr w:rsidR="004071CA" w:rsidRPr="00FB3D74" w14:paraId="50512665" w14:textId="77777777" w:rsidTr="00942E95">
        <w:trPr>
          <w:trHeight w:val="20"/>
        </w:trPr>
        <w:tc>
          <w:tcPr>
            <w:tcW w:w="3823" w:type="dxa"/>
            <w:shd w:val="clear" w:color="auto" w:fill="F2F2F2" w:themeFill="background1" w:themeFillShade="F2"/>
            <w:vAlign w:val="center"/>
          </w:tcPr>
          <w:p w14:paraId="395DFFA9" w14:textId="77777777" w:rsidR="004071CA" w:rsidRPr="00FB3D74" w:rsidRDefault="004071CA" w:rsidP="00942E95">
            <w:pPr>
              <w:rPr>
                <w:rFonts w:cs="Arial"/>
                <w:b/>
                <w:bCs/>
                <w:sz w:val="16"/>
                <w:szCs w:val="16"/>
              </w:rPr>
            </w:pPr>
            <w:r w:rsidRPr="00FB3D74">
              <w:rPr>
                <w:rFonts w:cs="Arial"/>
                <w:b/>
                <w:bCs/>
                <w:sz w:val="16"/>
                <w:szCs w:val="16"/>
              </w:rPr>
              <w:t>Número de Programa Presupuestal</w:t>
            </w:r>
          </w:p>
        </w:tc>
        <w:tc>
          <w:tcPr>
            <w:tcW w:w="4992" w:type="dxa"/>
            <w:shd w:val="clear" w:color="auto" w:fill="F2F2F2" w:themeFill="background1" w:themeFillShade="F2"/>
            <w:vAlign w:val="center"/>
          </w:tcPr>
          <w:p w14:paraId="6625B9AE" w14:textId="77777777" w:rsidR="004071CA" w:rsidRPr="00FB3D74" w:rsidRDefault="004071CA" w:rsidP="00942E95">
            <w:pPr>
              <w:rPr>
                <w:rFonts w:cs="Arial"/>
                <w:b/>
                <w:bCs/>
                <w:sz w:val="16"/>
                <w:szCs w:val="16"/>
              </w:rPr>
            </w:pPr>
            <w:r w:rsidRPr="00FB3D74">
              <w:rPr>
                <w:rFonts w:cs="Arial"/>
                <w:b/>
                <w:bCs/>
                <w:sz w:val="16"/>
                <w:szCs w:val="16"/>
              </w:rPr>
              <w:t>90</w:t>
            </w:r>
          </w:p>
        </w:tc>
      </w:tr>
      <w:tr w:rsidR="004071CA" w:rsidRPr="00FB3D74" w14:paraId="365E399E" w14:textId="77777777" w:rsidTr="00942E95">
        <w:trPr>
          <w:trHeight w:val="20"/>
        </w:trPr>
        <w:tc>
          <w:tcPr>
            <w:tcW w:w="3823" w:type="dxa"/>
            <w:shd w:val="clear" w:color="auto" w:fill="F2F2F2" w:themeFill="background1" w:themeFillShade="F2"/>
            <w:vAlign w:val="center"/>
          </w:tcPr>
          <w:p w14:paraId="543AD6E5" w14:textId="77777777" w:rsidR="004071CA" w:rsidRPr="00FB3D74" w:rsidRDefault="004071CA" w:rsidP="00942E95">
            <w:pPr>
              <w:rPr>
                <w:rFonts w:cs="Arial"/>
                <w:b/>
                <w:bCs/>
                <w:sz w:val="16"/>
                <w:szCs w:val="16"/>
              </w:rPr>
            </w:pPr>
            <w:r w:rsidRPr="00FB3D74">
              <w:rPr>
                <w:rFonts w:cs="Arial"/>
                <w:b/>
                <w:bCs/>
                <w:sz w:val="16"/>
                <w:szCs w:val="16"/>
              </w:rPr>
              <w:t>Dependencia/Organismo</w:t>
            </w:r>
          </w:p>
        </w:tc>
        <w:tc>
          <w:tcPr>
            <w:tcW w:w="4992" w:type="dxa"/>
            <w:shd w:val="clear" w:color="auto" w:fill="F2F2F2" w:themeFill="background1" w:themeFillShade="F2"/>
            <w:vAlign w:val="center"/>
          </w:tcPr>
          <w:p w14:paraId="7052DFBD" w14:textId="77777777" w:rsidR="004071CA" w:rsidRPr="00FB3D74" w:rsidRDefault="004071CA" w:rsidP="00942E95">
            <w:pPr>
              <w:tabs>
                <w:tab w:val="left" w:pos="397"/>
              </w:tabs>
              <w:rPr>
                <w:rFonts w:cs="Arial"/>
                <w:b/>
                <w:bCs/>
                <w:sz w:val="16"/>
                <w:szCs w:val="16"/>
              </w:rPr>
            </w:pPr>
            <w:r w:rsidRPr="00FB3D74">
              <w:rPr>
                <w:rFonts w:cs="Arial"/>
                <w:b/>
                <w:bCs/>
                <w:sz w:val="16"/>
                <w:szCs w:val="16"/>
              </w:rPr>
              <w:t>Consejo Estatal para la Prevención y Atención a la Violencia Familiar</w:t>
            </w:r>
          </w:p>
        </w:tc>
      </w:tr>
      <w:tr w:rsidR="004071CA" w:rsidRPr="00FB3D74" w14:paraId="3B6B4841" w14:textId="77777777" w:rsidTr="00942E95">
        <w:trPr>
          <w:trHeight w:val="20"/>
        </w:trPr>
        <w:tc>
          <w:tcPr>
            <w:tcW w:w="3823" w:type="dxa"/>
            <w:shd w:val="clear" w:color="auto" w:fill="F2F2F2" w:themeFill="background1" w:themeFillShade="F2"/>
            <w:vAlign w:val="center"/>
          </w:tcPr>
          <w:p w14:paraId="57D521DD" w14:textId="77777777" w:rsidR="004071CA" w:rsidRPr="00FB3D74" w:rsidRDefault="004071CA" w:rsidP="00942E95">
            <w:pPr>
              <w:rPr>
                <w:rFonts w:cs="Arial"/>
                <w:b/>
                <w:bCs/>
                <w:sz w:val="16"/>
                <w:szCs w:val="16"/>
              </w:rPr>
            </w:pPr>
            <w:r w:rsidRPr="00FB3D74">
              <w:rPr>
                <w:rFonts w:cs="Arial"/>
                <w:b/>
                <w:bCs/>
                <w:sz w:val="16"/>
                <w:szCs w:val="16"/>
              </w:rPr>
              <w:t>Objetivo Anual</w:t>
            </w:r>
          </w:p>
        </w:tc>
        <w:tc>
          <w:tcPr>
            <w:tcW w:w="4992" w:type="dxa"/>
            <w:shd w:val="clear" w:color="auto" w:fill="F2F2F2" w:themeFill="background1" w:themeFillShade="F2"/>
            <w:vAlign w:val="center"/>
          </w:tcPr>
          <w:p w14:paraId="2680EF5B" w14:textId="4BEFEF1C" w:rsidR="004071CA" w:rsidRPr="00FB3D74" w:rsidRDefault="004071CA" w:rsidP="00942E95">
            <w:pPr>
              <w:rPr>
                <w:rFonts w:cs="Arial"/>
                <w:sz w:val="16"/>
                <w:szCs w:val="16"/>
              </w:rPr>
            </w:pPr>
            <w:r w:rsidRPr="00FB3D74">
              <w:rPr>
                <w:rFonts w:cs="Arial"/>
                <w:sz w:val="16"/>
                <w:szCs w:val="16"/>
              </w:rPr>
              <w:t xml:space="preserve">Las personas en situación de violencia familiar reciben del </w:t>
            </w:r>
            <w:r w:rsidR="00942E95" w:rsidRPr="00FB3D74">
              <w:rPr>
                <w:rFonts w:cs="Arial"/>
                <w:sz w:val="16"/>
                <w:szCs w:val="16"/>
              </w:rPr>
              <w:t xml:space="preserve">Consejo Estatal para la Prevención y Atención a la Violencia Familiar </w:t>
            </w:r>
            <w:r w:rsidRPr="00FB3D74">
              <w:rPr>
                <w:rFonts w:cs="Arial"/>
                <w:sz w:val="16"/>
                <w:szCs w:val="16"/>
              </w:rPr>
              <w:t>la atención metodológica especializada para su erradicación o en su caso para impulsar la procuración de la sanción por la violencia.</w:t>
            </w:r>
          </w:p>
        </w:tc>
      </w:tr>
      <w:tr w:rsidR="004071CA" w:rsidRPr="00FB3D74" w14:paraId="27DB8669" w14:textId="77777777" w:rsidTr="00942E95">
        <w:trPr>
          <w:trHeight w:val="20"/>
        </w:trPr>
        <w:tc>
          <w:tcPr>
            <w:tcW w:w="3823" w:type="dxa"/>
            <w:shd w:val="clear" w:color="auto" w:fill="F2F2F2" w:themeFill="background1" w:themeFillShade="F2"/>
            <w:vAlign w:val="center"/>
          </w:tcPr>
          <w:p w14:paraId="1DBFC96C" w14:textId="77777777" w:rsidR="004071CA" w:rsidRPr="00FB3D74" w:rsidRDefault="004071CA" w:rsidP="00942E95">
            <w:pP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619EE59C" w14:textId="77777777" w:rsidR="004071CA" w:rsidRPr="00FB3D74" w:rsidRDefault="004071CA" w:rsidP="00942E95">
            <w:pPr>
              <w:rPr>
                <w:rFonts w:cs="Arial"/>
                <w:sz w:val="16"/>
                <w:szCs w:val="16"/>
              </w:rPr>
            </w:pPr>
            <w:r w:rsidRPr="00FB3D74">
              <w:rPr>
                <w:rFonts w:cs="Arial"/>
                <w:b/>
                <w:bCs/>
                <w:sz w:val="16"/>
                <w:szCs w:val="16"/>
              </w:rPr>
              <w:t>Metas</w:t>
            </w:r>
          </w:p>
        </w:tc>
      </w:tr>
      <w:tr w:rsidR="004071CA" w:rsidRPr="00FB3D74" w14:paraId="6A7225F3" w14:textId="77777777" w:rsidTr="00942E95">
        <w:trPr>
          <w:trHeight w:val="20"/>
        </w:trPr>
        <w:tc>
          <w:tcPr>
            <w:tcW w:w="3823" w:type="dxa"/>
            <w:vAlign w:val="center"/>
          </w:tcPr>
          <w:p w14:paraId="2BC043D6" w14:textId="77777777" w:rsidR="004071CA" w:rsidRPr="00FB3D74" w:rsidRDefault="004071CA" w:rsidP="00942E95">
            <w:pPr>
              <w:rPr>
                <w:rFonts w:cs="Arial"/>
                <w:sz w:val="16"/>
                <w:szCs w:val="16"/>
              </w:rPr>
            </w:pPr>
            <w:r w:rsidRPr="00FB3D74">
              <w:rPr>
                <w:rFonts w:cs="Arial"/>
                <w:sz w:val="16"/>
                <w:szCs w:val="16"/>
              </w:rPr>
              <w:t>Cobertura de atención a personas receptoras y generadoras de violencia familiar en el Estado mantenida.</w:t>
            </w:r>
          </w:p>
        </w:tc>
        <w:tc>
          <w:tcPr>
            <w:tcW w:w="4992" w:type="dxa"/>
            <w:vAlign w:val="center"/>
          </w:tcPr>
          <w:p w14:paraId="09F72C7B" w14:textId="77777777" w:rsidR="004071CA" w:rsidRPr="00FB3D74" w:rsidRDefault="004071CA" w:rsidP="00942E95">
            <w:pPr>
              <w:rPr>
                <w:rFonts w:cs="Arial"/>
                <w:sz w:val="16"/>
                <w:szCs w:val="16"/>
              </w:rPr>
            </w:pPr>
            <w:r w:rsidRPr="00FB3D74">
              <w:rPr>
                <w:rFonts w:cs="Arial"/>
                <w:sz w:val="16"/>
                <w:szCs w:val="16"/>
              </w:rPr>
              <w:t>Realizar 254 actividades de prevención y procuración de la sanción de la violencia.</w:t>
            </w:r>
          </w:p>
        </w:tc>
      </w:tr>
      <w:tr w:rsidR="004071CA" w:rsidRPr="00FB3D74" w14:paraId="30C36F7D" w14:textId="77777777" w:rsidTr="00942E95">
        <w:trPr>
          <w:trHeight w:val="20"/>
        </w:trPr>
        <w:tc>
          <w:tcPr>
            <w:tcW w:w="3823" w:type="dxa"/>
            <w:shd w:val="clear" w:color="auto" w:fill="F2F2F2" w:themeFill="background1" w:themeFillShade="F2"/>
            <w:vAlign w:val="center"/>
          </w:tcPr>
          <w:p w14:paraId="3826CF1E" w14:textId="77777777" w:rsidR="004071CA" w:rsidRPr="00FB3D74" w:rsidRDefault="004071CA" w:rsidP="00942E95">
            <w:pPr>
              <w:rPr>
                <w:rFonts w:cs="Arial"/>
                <w:b/>
                <w:bCs/>
                <w:sz w:val="16"/>
                <w:szCs w:val="16"/>
              </w:rPr>
            </w:pPr>
            <w:r w:rsidRPr="00FB3D74">
              <w:rPr>
                <w:rFonts w:cs="Arial"/>
                <w:b/>
                <w:bCs/>
                <w:sz w:val="16"/>
                <w:szCs w:val="16"/>
              </w:rPr>
              <w:t>Número de Programa Presupuestal</w:t>
            </w:r>
          </w:p>
        </w:tc>
        <w:tc>
          <w:tcPr>
            <w:tcW w:w="4992" w:type="dxa"/>
            <w:shd w:val="clear" w:color="auto" w:fill="F2F2F2" w:themeFill="background1" w:themeFillShade="F2"/>
            <w:vAlign w:val="center"/>
          </w:tcPr>
          <w:p w14:paraId="43E484B2" w14:textId="77777777" w:rsidR="004071CA" w:rsidRPr="00FB3D74" w:rsidRDefault="004071CA" w:rsidP="00942E95">
            <w:pPr>
              <w:rPr>
                <w:rFonts w:cs="Arial"/>
                <w:b/>
                <w:bCs/>
                <w:sz w:val="16"/>
                <w:szCs w:val="16"/>
              </w:rPr>
            </w:pPr>
            <w:r w:rsidRPr="00FB3D74">
              <w:rPr>
                <w:rFonts w:cs="Arial"/>
                <w:b/>
                <w:bCs/>
                <w:sz w:val="16"/>
                <w:szCs w:val="16"/>
              </w:rPr>
              <w:t>93</w:t>
            </w:r>
          </w:p>
        </w:tc>
      </w:tr>
      <w:tr w:rsidR="004071CA" w:rsidRPr="00FB3D74" w14:paraId="21345A51" w14:textId="77777777" w:rsidTr="00942E95">
        <w:trPr>
          <w:trHeight w:val="20"/>
        </w:trPr>
        <w:tc>
          <w:tcPr>
            <w:tcW w:w="3823" w:type="dxa"/>
            <w:shd w:val="clear" w:color="auto" w:fill="F2F2F2" w:themeFill="background1" w:themeFillShade="F2"/>
            <w:vAlign w:val="center"/>
          </w:tcPr>
          <w:p w14:paraId="5498EB8C" w14:textId="77777777" w:rsidR="004071CA" w:rsidRPr="00FB3D74" w:rsidRDefault="004071CA" w:rsidP="00942E95">
            <w:pPr>
              <w:rPr>
                <w:rFonts w:cs="Arial"/>
                <w:b/>
                <w:bCs/>
                <w:sz w:val="16"/>
                <w:szCs w:val="16"/>
              </w:rPr>
            </w:pPr>
            <w:r w:rsidRPr="00FB3D74">
              <w:rPr>
                <w:rFonts w:cs="Arial"/>
                <w:b/>
                <w:bCs/>
                <w:sz w:val="16"/>
                <w:szCs w:val="16"/>
              </w:rPr>
              <w:t>Dependencia/Organismo</w:t>
            </w:r>
          </w:p>
        </w:tc>
        <w:tc>
          <w:tcPr>
            <w:tcW w:w="4992" w:type="dxa"/>
            <w:shd w:val="clear" w:color="auto" w:fill="F2F2F2" w:themeFill="background1" w:themeFillShade="F2"/>
            <w:vAlign w:val="center"/>
          </w:tcPr>
          <w:p w14:paraId="09912B3C" w14:textId="77777777" w:rsidR="004071CA" w:rsidRPr="00FB3D74" w:rsidRDefault="004071CA" w:rsidP="00942E95">
            <w:pPr>
              <w:tabs>
                <w:tab w:val="left" w:pos="397"/>
              </w:tabs>
              <w:rPr>
                <w:rFonts w:cs="Arial"/>
                <w:b/>
                <w:bCs/>
                <w:sz w:val="16"/>
                <w:szCs w:val="16"/>
              </w:rPr>
            </w:pPr>
            <w:r w:rsidRPr="00FB3D74">
              <w:rPr>
                <w:rFonts w:cs="Arial"/>
                <w:b/>
                <w:bCs/>
                <w:sz w:val="16"/>
                <w:szCs w:val="16"/>
              </w:rPr>
              <w:t>Procuraduría de Protección de Niñas, Niños y Adolescentes</w:t>
            </w:r>
          </w:p>
        </w:tc>
      </w:tr>
      <w:tr w:rsidR="004071CA" w:rsidRPr="00FB3D74" w14:paraId="068D7837" w14:textId="77777777" w:rsidTr="00942E95">
        <w:trPr>
          <w:trHeight w:val="20"/>
        </w:trPr>
        <w:tc>
          <w:tcPr>
            <w:tcW w:w="3823" w:type="dxa"/>
            <w:shd w:val="clear" w:color="auto" w:fill="F2F2F2" w:themeFill="background1" w:themeFillShade="F2"/>
            <w:vAlign w:val="center"/>
          </w:tcPr>
          <w:p w14:paraId="70798DC5" w14:textId="77777777" w:rsidR="004071CA" w:rsidRPr="00FB3D74" w:rsidRDefault="004071CA" w:rsidP="00942E95">
            <w:pPr>
              <w:rPr>
                <w:rFonts w:cs="Arial"/>
                <w:b/>
                <w:bCs/>
                <w:sz w:val="16"/>
                <w:szCs w:val="16"/>
              </w:rPr>
            </w:pPr>
            <w:r w:rsidRPr="00FB3D74">
              <w:rPr>
                <w:rFonts w:cs="Arial"/>
                <w:b/>
                <w:bCs/>
                <w:sz w:val="16"/>
                <w:szCs w:val="16"/>
              </w:rPr>
              <w:t>Objetivo Anual</w:t>
            </w:r>
          </w:p>
        </w:tc>
        <w:tc>
          <w:tcPr>
            <w:tcW w:w="4992" w:type="dxa"/>
            <w:shd w:val="clear" w:color="auto" w:fill="F2F2F2" w:themeFill="background1" w:themeFillShade="F2"/>
            <w:vAlign w:val="center"/>
          </w:tcPr>
          <w:p w14:paraId="0240AF30" w14:textId="77777777" w:rsidR="004071CA" w:rsidRPr="00FB3D74" w:rsidRDefault="004071CA" w:rsidP="00942E95">
            <w:pPr>
              <w:rPr>
                <w:rFonts w:cs="Arial"/>
                <w:sz w:val="16"/>
                <w:szCs w:val="16"/>
              </w:rPr>
            </w:pPr>
            <w:r w:rsidRPr="00FB3D74">
              <w:rPr>
                <w:rFonts w:cs="Arial"/>
                <w:sz w:val="16"/>
                <w:szCs w:val="16"/>
              </w:rPr>
              <w:t>Las NNA en situación de vulneración de derechos cuentan con la protección y restitución de sus derechos conforme a la competencia de PRONNNA.</w:t>
            </w:r>
          </w:p>
        </w:tc>
      </w:tr>
      <w:tr w:rsidR="004071CA" w:rsidRPr="00FB3D74" w14:paraId="5B20C06A" w14:textId="77777777" w:rsidTr="00942E95">
        <w:trPr>
          <w:trHeight w:val="20"/>
        </w:trPr>
        <w:tc>
          <w:tcPr>
            <w:tcW w:w="3823" w:type="dxa"/>
            <w:shd w:val="clear" w:color="auto" w:fill="F2F2F2" w:themeFill="background1" w:themeFillShade="F2"/>
            <w:vAlign w:val="center"/>
          </w:tcPr>
          <w:p w14:paraId="7C499D29" w14:textId="77777777" w:rsidR="004071CA" w:rsidRPr="00FB3D74" w:rsidRDefault="004071CA" w:rsidP="00942E95">
            <w:pP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2F1F3428" w14:textId="77777777" w:rsidR="004071CA" w:rsidRPr="00FB3D74" w:rsidRDefault="004071CA" w:rsidP="00942E95">
            <w:pPr>
              <w:rPr>
                <w:rFonts w:cs="Arial"/>
                <w:sz w:val="16"/>
                <w:szCs w:val="16"/>
              </w:rPr>
            </w:pPr>
            <w:r w:rsidRPr="00FB3D74">
              <w:rPr>
                <w:rFonts w:cs="Arial"/>
                <w:b/>
                <w:bCs/>
                <w:sz w:val="16"/>
                <w:szCs w:val="16"/>
              </w:rPr>
              <w:t>Metas</w:t>
            </w:r>
          </w:p>
        </w:tc>
      </w:tr>
      <w:tr w:rsidR="004071CA" w:rsidRPr="00FB3D74" w14:paraId="19610C68" w14:textId="77777777" w:rsidTr="00942E95">
        <w:trPr>
          <w:trHeight w:val="20"/>
        </w:trPr>
        <w:tc>
          <w:tcPr>
            <w:tcW w:w="3823" w:type="dxa"/>
            <w:vAlign w:val="center"/>
          </w:tcPr>
          <w:p w14:paraId="12829334" w14:textId="77777777" w:rsidR="004071CA" w:rsidRPr="00FB3D74" w:rsidRDefault="004071CA" w:rsidP="00942E95">
            <w:pPr>
              <w:rPr>
                <w:rFonts w:cs="Arial"/>
                <w:sz w:val="16"/>
                <w:szCs w:val="16"/>
              </w:rPr>
            </w:pPr>
            <w:r w:rsidRPr="00FB3D74">
              <w:rPr>
                <w:rFonts w:cs="Arial"/>
                <w:sz w:val="16"/>
                <w:szCs w:val="16"/>
              </w:rPr>
              <w:t>Servicios de atención integral para la protección y restitución de los derechos de NNA entregados.</w:t>
            </w:r>
          </w:p>
        </w:tc>
        <w:tc>
          <w:tcPr>
            <w:tcW w:w="4992" w:type="dxa"/>
            <w:vAlign w:val="center"/>
          </w:tcPr>
          <w:p w14:paraId="3655EC8F" w14:textId="77777777" w:rsidR="004071CA" w:rsidRPr="00FB3D74" w:rsidRDefault="004071CA" w:rsidP="00942E95">
            <w:pPr>
              <w:rPr>
                <w:rFonts w:cs="Arial"/>
                <w:sz w:val="16"/>
                <w:szCs w:val="16"/>
              </w:rPr>
            </w:pPr>
            <w:r w:rsidRPr="00FB3D74">
              <w:rPr>
                <w:rFonts w:cs="Arial"/>
                <w:sz w:val="16"/>
                <w:szCs w:val="16"/>
              </w:rPr>
              <w:t>Alcanzar 24678 acciones a favor de NNA.</w:t>
            </w:r>
          </w:p>
        </w:tc>
      </w:tr>
      <w:tr w:rsidR="004071CA" w:rsidRPr="00FB3D74" w14:paraId="32CE25DD" w14:textId="77777777" w:rsidTr="00942E95">
        <w:trPr>
          <w:trHeight w:val="20"/>
        </w:trPr>
        <w:tc>
          <w:tcPr>
            <w:tcW w:w="3823" w:type="dxa"/>
            <w:shd w:val="clear" w:color="auto" w:fill="F2F2F2" w:themeFill="background1" w:themeFillShade="F2"/>
            <w:vAlign w:val="center"/>
          </w:tcPr>
          <w:p w14:paraId="3B25BF2F" w14:textId="77777777" w:rsidR="004071CA" w:rsidRPr="00FB3D74" w:rsidRDefault="004071CA" w:rsidP="00942E95">
            <w:pPr>
              <w:rPr>
                <w:rFonts w:cs="Arial"/>
                <w:b/>
                <w:bCs/>
                <w:sz w:val="16"/>
                <w:szCs w:val="16"/>
              </w:rPr>
            </w:pPr>
            <w:r w:rsidRPr="00FB3D74">
              <w:rPr>
                <w:rFonts w:cs="Arial"/>
                <w:b/>
                <w:bCs/>
                <w:sz w:val="16"/>
                <w:szCs w:val="16"/>
              </w:rPr>
              <w:t>Número de Programa Presupuestal</w:t>
            </w:r>
          </w:p>
        </w:tc>
        <w:tc>
          <w:tcPr>
            <w:tcW w:w="4992" w:type="dxa"/>
            <w:shd w:val="clear" w:color="auto" w:fill="F2F2F2" w:themeFill="background1" w:themeFillShade="F2"/>
            <w:vAlign w:val="center"/>
          </w:tcPr>
          <w:p w14:paraId="322439E7" w14:textId="77777777" w:rsidR="004071CA" w:rsidRPr="00FB3D74" w:rsidRDefault="004071CA" w:rsidP="00942E95">
            <w:pPr>
              <w:rPr>
                <w:rFonts w:cs="Arial"/>
                <w:b/>
                <w:bCs/>
                <w:sz w:val="16"/>
                <w:szCs w:val="16"/>
              </w:rPr>
            </w:pPr>
            <w:r w:rsidRPr="00FB3D74">
              <w:rPr>
                <w:rFonts w:cs="Arial"/>
                <w:b/>
                <w:bCs/>
                <w:sz w:val="16"/>
                <w:szCs w:val="16"/>
              </w:rPr>
              <w:t>94</w:t>
            </w:r>
          </w:p>
        </w:tc>
      </w:tr>
      <w:tr w:rsidR="004071CA" w:rsidRPr="00FB3D74" w14:paraId="33A4D8BC" w14:textId="77777777" w:rsidTr="00942E95">
        <w:trPr>
          <w:trHeight w:val="20"/>
        </w:trPr>
        <w:tc>
          <w:tcPr>
            <w:tcW w:w="3823" w:type="dxa"/>
            <w:shd w:val="clear" w:color="auto" w:fill="F2F2F2" w:themeFill="background1" w:themeFillShade="F2"/>
            <w:vAlign w:val="center"/>
          </w:tcPr>
          <w:p w14:paraId="298F6C0C" w14:textId="77777777" w:rsidR="004071CA" w:rsidRPr="00FB3D74" w:rsidRDefault="004071CA" w:rsidP="00942E95">
            <w:pPr>
              <w:rPr>
                <w:rFonts w:cs="Arial"/>
                <w:b/>
                <w:bCs/>
                <w:sz w:val="16"/>
                <w:szCs w:val="16"/>
              </w:rPr>
            </w:pPr>
            <w:r w:rsidRPr="00FB3D74">
              <w:rPr>
                <w:rFonts w:cs="Arial"/>
                <w:b/>
                <w:bCs/>
                <w:sz w:val="16"/>
                <w:szCs w:val="16"/>
              </w:rPr>
              <w:t>Dependencia/Organismo</w:t>
            </w:r>
          </w:p>
        </w:tc>
        <w:tc>
          <w:tcPr>
            <w:tcW w:w="4992" w:type="dxa"/>
            <w:shd w:val="clear" w:color="auto" w:fill="F2F2F2" w:themeFill="background1" w:themeFillShade="F2"/>
            <w:vAlign w:val="center"/>
          </w:tcPr>
          <w:p w14:paraId="7E30DD40" w14:textId="77777777" w:rsidR="004071CA" w:rsidRPr="00FB3D74" w:rsidRDefault="004071CA" w:rsidP="00942E95">
            <w:pPr>
              <w:tabs>
                <w:tab w:val="left" w:pos="397"/>
              </w:tabs>
              <w:rPr>
                <w:rFonts w:cs="Arial"/>
                <w:b/>
                <w:bCs/>
                <w:sz w:val="16"/>
                <w:szCs w:val="16"/>
              </w:rPr>
            </w:pPr>
            <w:r w:rsidRPr="00FB3D74">
              <w:rPr>
                <w:rFonts w:cs="Arial"/>
                <w:b/>
                <w:bCs/>
                <w:sz w:val="16"/>
                <w:szCs w:val="16"/>
              </w:rPr>
              <w:t>Secretaría de Infraestructura, Desarrollo Urbano y Movilidad.</w:t>
            </w:r>
          </w:p>
        </w:tc>
      </w:tr>
      <w:tr w:rsidR="004071CA" w:rsidRPr="00FB3D74" w14:paraId="43A7F8FB" w14:textId="77777777" w:rsidTr="00942E95">
        <w:trPr>
          <w:trHeight w:val="20"/>
        </w:trPr>
        <w:tc>
          <w:tcPr>
            <w:tcW w:w="3823" w:type="dxa"/>
            <w:shd w:val="clear" w:color="auto" w:fill="F2F2F2" w:themeFill="background1" w:themeFillShade="F2"/>
            <w:vAlign w:val="center"/>
          </w:tcPr>
          <w:p w14:paraId="561B8122" w14:textId="77777777" w:rsidR="004071CA" w:rsidRPr="00FB3D74" w:rsidRDefault="004071CA" w:rsidP="00942E95">
            <w:pPr>
              <w:rPr>
                <w:rFonts w:cs="Arial"/>
                <w:b/>
                <w:bCs/>
                <w:sz w:val="16"/>
                <w:szCs w:val="16"/>
              </w:rPr>
            </w:pPr>
            <w:r w:rsidRPr="00FB3D74">
              <w:rPr>
                <w:rFonts w:cs="Arial"/>
                <w:b/>
                <w:bCs/>
                <w:sz w:val="16"/>
                <w:szCs w:val="16"/>
              </w:rPr>
              <w:t>Objetivo Anual</w:t>
            </w:r>
          </w:p>
        </w:tc>
        <w:tc>
          <w:tcPr>
            <w:tcW w:w="4992" w:type="dxa"/>
            <w:shd w:val="clear" w:color="auto" w:fill="F2F2F2" w:themeFill="background1" w:themeFillShade="F2"/>
            <w:vAlign w:val="center"/>
          </w:tcPr>
          <w:p w14:paraId="7835D136" w14:textId="77777777" w:rsidR="004071CA" w:rsidRPr="00FB3D74" w:rsidRDefault="004071CA" w:rsidP="00942E95">
            <w:pPr>
              <w:rPr>
                <w:rFonts w:cs="Arial"/>
                <w:sz w:val="16"/>
                <w:szCs w:val="16"/>
              </w:rPr>
            </w:pPr>
            <w:r w:rsidRPr="00FB3D74">
              <w:rPr>
                <w:rFonts w:cs="Arial"/>
                <w:sz w:val="16"/>
                <w:szCs w:val="16"/>
              </w:rPr>
              <w:t>La población del Estado de Colima cuenta con mayor y mejor infraestructura económica para impulsar el desarrollo integral de la entidad.</w:t>
            </w:r>
          </w:p>
        </w:tc>
      </w:tr>
      <w:tr w:rsidR="004071CA" w:rsidRPr="00FB3D74" w14:paraId="227C4D8F" w14:textId="77777777" w:rsidTr="00942E95">
        <w:trPr>
          <w:trHeight w:val="20"/>
        </w:trPr>
        <w:tc>
          <w:tcPr>
            <w:tcW w:w="3823" w:type="dxa"/>
            <w:shd w:val="clear" w:color="auto" w:fill="F2F2F2" w:themeFill="background1" w:themeFillShade="F2"/>
            <w:vAlign w:val="center"/>
          </w:tcPr>
          <w:p w14:paraId="1E079279" w14:textId="77777777" w:rsidR="004071CA" w:rsidRPr="00FB3D74" w:rsidRDefault="004071CA" w:rsidP="00942E95">
            <w:pP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238AE4E8" w14:textId="77777777" w:rsidR="004071CA" w:rsidRPr="00FB3D74" w:rsidRDefault="004071CA" w:rsidP="00942E95">
            <w:pPr>
              <w:rPr>
                <w:rFonts w:cs="Arial"/>
                <w:sz w:val="16"/>
                <w:szCs w:val="16"/>
              </w:rPr>
            </w:pPr>
            <w:r w:rsidRPr="00FB3D74">
              <w:rPr>
                <w:rFonts w:cs="Arial"/>
                <w:b/>
                <w:bCs/>
                <w:sz w:val="16"/>
                <w:szCs w:val="16"/>
              </w:rPr>
              <w:t>Metas</w:t>
            </w:r>
          </w:p>
        </w:tc>
      </w:tr>
      <w:tr w:rsidR="004071CA" w:rsidRPr="00FB3D74" w14:paraId="75D7CB41" w14:textId="77777777" w:rsidTr="00942E95">
        <w:trPr>
          <w:trHeight w:val="20"/>
        </w:trPr>
        <w:tc>
          <w:tcPr>
            <w:tcW w:w="3823" w:type="dxa"/>
            <w:vMerge w:val="restart"/>
            <w:vAlign w:val="center"/>
          </w:tcPr>
          <w:p w14:paraId="15B8200C" w14:textId="77777777" w:rsidR="004071CA" w:rsidRPr="00FB3D74" w:rsidRDefault="004071CA" w:rsidP="00942E95">
            <w:pPr>
              <w:rPr>
                <w:rFonts w:cs="Arial"/>
                <w:sz w:val="16"/>
                <w:szCs w:val="16"/>
              </w:rPr>
            </w:pPr>
            <w:r w:rsidRPr="00FB3D74">
              <w:rPr>
                <w:rFonts w:cs="Arial"/>
                <w:sz w:val="16"/>
                <w:szCs w:val="16"/>
              </w:rPr>
              <w:t>Estudios, informes y proyectos ejecutivos realizados.</w:t>
            </w:r>
          </w:p>
        </w:tc>
        <w:tc>
          <w:tcPr>
            <w:tcW w:w="4992" w:type="dxa"/>
            <w:vAlign w:val="center"/>
          </w:tcPr>
          <w:p w14:paraId="53B22F92" w14:textId="77777777" w:rsidR="004071CA" w:rsidRPr="00FB3D74" w:rsidRDefault="004071CA" w:rsidP="00942E95">
            <w:pPr>
              <w:rPr>
                <w:rFonts w:cs="Arial"/>
                <w:sz w:val="16"/>
                <w:szCs w:val="16"/>
              </w:rPr>
            </w:pPr>
            <w:r w:rsidRPr="00FB3D74">
              <w:rPr>
                <w:rFonts w:cs="Arial"/>
                <w:sz w:val="16"/>
                <w:szCs w:val="16"/>
              </w:rPr>
              <w:t>Elaborar el 100 por ciento de estudios, informes y proyectos ejecutivos programados.</w:t>
            </w:r>
          </w:p>
        </w:tc>
      </w:tr>
      <w:tr w:rsidR="004071CA" w:rsidRPr="00FB3D74" w14:paraId="0542F1D9" w14:textId="77777777" w:rsidTr="00942E95">
        <w:trPr>
          <w:trHeight w:val="20"/>
        </w:trPr>
        <w:tc>
          <w:tcPr>
            <w:tcW w:w="3823" w:type="dxa"/>
            <w:vMerge/>
            <w:vAlign w:val="center"/>
          </w:tcPr>
          <w:p w14:paraId="729D66EF" w14:textId="77777777" w:rsidR="004071CA" w:rsidRPr="00FB3D74" w:rsidRDefault="004071CA" w:rsidP="00942E95">
            <w:pPr>
              <w:rPr>
                <w:rFonts w:cs="Arial"/>
                <w:sz w:val="16"/>
                <w:szCs w:val="16"/>
              </w:rPr>
            </w:pPr>
          </w:p>
        </w:tc>
        <w:tc>
          <w:tcPr>
            <w:tcW w:w="4992" w:type="dxa"/>
            <w:vAlign w:val="center"/>
          </w:tcPr>
          <w:p w14:paraId="1B82D570" w14:textId="77777777" w:rsidR="004071CA" w:rsidRPr="00FB3D74" w:rsidRDefault="004071CA" w:rsidP="00942E95">
            <w:pPr>
              <w:rPr>
                <w:rFonts w:cs="Arial"/>
                <w:sz w:val="16"/>
                <w:szCs w:val="16"/>
              </w:rPr>
            </w:pPr>
            <w:r w:rsidRPr="00FB3D74">
              <w:rPr>
                <w:rFonts w:cs="Arial"/>
                <w:sz w:val="16"/>
                <w:szCs w:val="16"/>
              </w:rPr>
              <w:t>Realizar el 100 por ciento de los estudios y proyectos contratados.</w:t>
            </w:r>
          </w:p>
        </w:tc>
      </w:tr>
      <w:tr w:rsidR="004071CA" w:rsidRPr="00FB3D74" w14:paraId="7D28D575" w14:textId="77777777" w:rsidTr="00942E95">
        <w:trPr>
          <w:trHeight w:val="20"/>
        </w:trPr>
        <w:tc>
          <w:tcPr>
            <w:tcW w:w="3823" w:type="dxa"/>
            <w:vMerge/>
            <w:vAlign w:val="center"/>
          </w:tcPr>
          <w:p w14:paraId="7444C23C" w14:textId="77777777" w:rsidR="004071CA" w:rsidRPr="00FB3D74" w:rsidRDefault="004071CA" w:rsidP="00942E95">
            <w:pPr>
              <w:rPr>
                <w:rFonts w:cs="Arial"/>
                <w:sz w:val="16"/>
                <w:szCs w:val="16"/>
              </w:rPr>
            </w:pPr>
          </w:p>
        </w:tc>
        <w:tc>
          <w:tcPr>
            <w:tcW w:w="4992" w:type="dxa"/>
            <w:vAlign w:val="center"/>
          </w:tcPr>
          <w:p w14:paraId="0CDC5EAD" w14:textId="77777777" w:rsidR="004071CA" w:rsidRPr="00FB3D74" w:rsidRDefault="004071CA" w:rsidP="00942E95">
            <w:pPr>
              <w:rPr>
                <w:rFonts w:cs="Arial"/>
                <w:sz w:val="16"/>
                <w:szCs w:val="16"/>
              </w:rPr>
            </w:pPr>
            <w:r w:rsidRPr="00FB3D74">
              <w:rPr>
                <w:rFonts w:cs="Arial"/>
                <w:sz w:val="16"/>
                <w:szCs w:val="16"/>
              </w:rPr>
              <w:t>Realizar el 100 por ciento de estudios, informes y proyectos ejecutivos programados.</w:t>
            </w:r>
          </w:p>
        </w:tc>
      </w:tr>
      <w:tr w:rsidR="004071CA" w:rsidRPr="00FB3D74" w14:paraId="178A3C2F" w14:textId="77777777" w:rsidTr="00942E95">
        <w:trPr>
          <w:trHeight w:val="20"/>
        </w:trPr>
        <w:tc>
          <w:tcPr>
            <w:tcW w:w="3823" w:type="dxa"/>
            <w:vAlign w:val="center"/>
          </w:tcPr>
          <w:p w14:paraId="2291D5B4" w14:textId="77777777" w:rsidR="004071CA" w:rsidRPr="00FB3D74" w:rsidRDefault="004071CA" w:rsidP="00942E95">
            <w:pPr>
              <w:rPr>
                <w:rFonts w:cs="Arial"/>
                <w:sz w:val="16"/>
                <w:szCs w:val="16"/>
              </w:rPr>
            </w:pPr>
            <w:r w:rsidRPr="00FB3D74">
              <w:rPr>
                <w:rFonts w:cs="Arial"/>
                <w:sz w:val="16"/>
                <w:szCs w:val="16"/>
              </w:rPr>
              <w:t>Obras de infraestructura complementaria para el desarrollo económico ejecutadas.</w:t>
            </w:r>
          </w:p>
        </w:tc>
        <w:tc>
          <w:tcPr>
            <w:tcW w:w="4992" w:type="dxa"/>
            <w:vAlign w:val="center"/>
          </w:tcPr>
          <w:p w14:paraId="4FC018F5" w14:textId="77777777" w:rsidR="004071CA" w:rsidRPr="00FB3D74" w:rsidRDefault="004071CA" w:rsidP="00942E95">
            <w:pPr>
              <w:rPr>
                <w:rFonts w:cs="Arial"/>
                <w:sz w:val="16"/>
                <w:szCs w:val="16"/>
              </w:rPr>
            </w:pPr>
            <w:r w:rsidRPr="00FB3D74">
              <w:rPr>
                <w:rFonts w:cs="Arial"/>
                <w:sz w:val="16"/>
                <w:szCs w:val="16"/>
              </w:rPr>
              <w:t>Lograr el 100 por ciento de ejecución de las obras programadas.</w:t>
            </w:r>
          </w:p>
        </w:tc>
      </w:tr>
      <w:tr w:rsidR="004071CA" w:rsidRPr="00FB3D74" w14:paraId="5170758D" w14:textId="77777777" w:rsidTr="00942E95">
        <w:trPr>
          <w:trHeight w:val="20"/>
        </w:trPr>
        <w:tc>
          <w:tcPr>
            <w:tcW w:w="3823" w:type="dxa"/>
            <w:shd w:val="clear" w:color="auto" w:fill="F2F2F2" w:themeFill="background1" w:themeFillShade="F2"/>
            <w:vAlign w:val="center"/>
          </w:tcPr>
          <w:p w14:paraId="2D338E00" w14:textId="77777777" w:rsidR="004071CA" w:rsidRPr="00FB3D74" w:rsidRDefault="004071CA" w:rsidP="00942E95">
            <w:pPr>
              <w:rPr>
                <w:rFonts w:cs="Arial"/>
                <w:b/>
                <w:bCs/>
                <w:sz w:val="16"/>
                <w:szCs w:val="16"/>
              </w:rPr>
            </w:pPr>
            <w:r w:rsidRPr="00FB3D74">
              <w:rPr>
                <w:rFonts w:cs="Arial"/>
                <w:b/>
                <w:bCs/>
                <w:sz w:val="16"/>
                <w:szCs w:val="16"/>
              </w:rPr>
              <w:t>Número de Programa Presupuestal</w:t>
            </w:r>
          </w:p>
        </w:tc>
        <w:tc>
          <w:tcPr>
            <w:tcW w:w="4992" w:type="dxa"/>
            <w:shd w:val="clear" w:color="auto" w:fill="F2F2F2" w:themeFill="background1" w:themeFillShade="F2"/>
            <w:vAlign w:val="center"/>
          </w:tcPr>
          <w:p w14:paraId="2DDB4EF2" w14:textId="77777777" w:rsidR="004071CA" w:rsidRPr="00FB3D74" w:rsidRDefault="004071CA" w:rsidP="00942E95">
            <w:pPr>
              <w:rPr>
                <w:rFonts w:cs="Arial"/>
                <w:b/>
                <w:bCs/>
                <w:sz w:val="16"/>
                <w:szCs w:val="16"/>
              </w:rPr>
            </w:pPr>
            <w:r w:rsidRPr="00FB3D74">
              <w:rPr>
                <w:rFonts w:cs="Arial"/>
                <w:b/>
                <w:bCs/>
                <w:sz w:val="16"/>
                <w:szCs w:val="16"/>
              </w:rPr>
              <w:t>96</w:t>
            </w:r>
          </w:p>
        </w:tc>
      </w:tr>
      <w:tr w:rsidR="004071CA" w:rsidRPr="00FB3D74" w14:paraId="0B08CB3D" w14:textId="77777777" w:rsidTr="00942E95">
        <w:trPr>
          <w:trHeight w:val="20"/>
        </w:trPr>
        <w:tc>
          <w:tcPr>
            <w:tcW w:w="3823" w:type="dxa"/>
            <w:shd w:val="clear" w:color="auto" w:fill="F2F2F2" w:themeFill="background1" w:themeFillShade="F2"/>
            <w:vAlign w:val="center"/>
          </w:tcPr>
          <w:p w14:paraId="625A81AE" w14:textId="77777777" w:rsidR="004071CA" w:rsidRPr="00FB3D74" w:rsidRDefault="004071CA" w:rsidP="00942E95">
            <w:pPr>
              <w:rPr>
                <w:rFonts w:cs="Arial"/>
                <w:b/>
                <w:bCs/>
                <w:sz w:val="16"/>
                <w:szCs w:val="16"/>
              </w:rPr>
            </w:pPr>
            <w:r w:rsidRPr="00FB3D74">
              <w:rPr>
                <w:rFonts w:cs="Arial"/>
                <w:b/>
                <w:bCs/>
                <w:sz w:val="16"/>
                <w:szCs w:val="16"/>
              </w:rPr>
              <w:t>Dependencia/Organismo</w:t>
            </w:r>
          </w:p>
        </w:tc>
        <w:tc>
          <w:tcPr>
            <w:tcW w:w="4992" w:type="dxa"/>
            <w:shd w:val="clear" w:color="auto" w:fill="F2F2F2" w:themeFill="background1" w:themeFillShade="F2"/>
            <w:vAlign w:val="center"/>
          </w:tcPr>
          <w:p w14:paraId="452DD9C9" w14:textId="77777777" w:rsidR="004071CA" w:rsidRPr="00FB3D74" w:rsidRDefault="004071CA" w:rsidP="00942E95">
            <w:pPr>
              <w:tabs>
                <w:tab w:val="left" w:pos="397"/>
              </w:tabs>
              <w:rPr>
                <w:rFonts w:cs="Arial"/>
                <w:b/>
                <w:bCs/>
                <w:sz w:val="16"/>
                <w:szCs w:val="16"/>
              </w:rPr>
            </w:pPr>
            <w:r w:rsidRPr="00FB3D74">
              <w:rPr>
                <w:rFonts w:cs="Arial"/>
                <w:b/>
                <w:bCs/>
                <w:sz w:val="16"/>
                <w:szCs w:val="16"/>
              </w:rPr>
              <w:t>Secretaría de Infraestructura, Desarrollo Urbano y Movilidad.</w:t>
            </w:r>
          </w:p>
        </w:tc>
      </w:tr>
      <w:tr w:rsidR="004071CA" w:rsidRPr="00FB3D74" w14:paraId="771229F2" w14:textId="77777777" w:rsidTr="00942E95">
        <w:trPr>
          <w:trHeight w:val="20"/>
        </w:trPr>
        <w:tc>
          <w:tcPr>
            <w:tcW w:w="3823" w:type="dxa"/>
            <w:shd w:val="clear" w:color="auto" w:fill="F2F2F2" w:themeFill="background1" w:themeFillShade="F2"/>
            <w:vAlign w:val="center"/>
          </w:tcPr>
          <w:p w14:paraId="6B69A71E" w14:textId="77777777" w:rsidR="004071CA" w:rsidRPr="00FB3D74" w:rsidRDefault="004071CA" w:rsidP="00942E95">
            <w:pPr>
              <w:rPr>
                <w:rFonts w:cs="Arial"/>
                <w:b/>
                <w:bCs/>
                <w:sz w:val="16"/>
                <w:szCs w:val="16"/>
              </w:rPr>
            </w:pPr>
            <w:r w:rsidRPr="00FB3D74">
              <w:rPr>
                <w:rFonts w:cs="Arial"/>
                <w:b/>
                <w:bCs/>
                <w:sz w:val="16"/>
                <w:szCs w:val="16"/>
              </w:rPr>
              <w:t>Objetivo Anual</w:t>
            </w:r>
          </w:p>
        </w:tc>
        <w:tc>
          <w:tcPr>
            <w:tcW w:w="4992" w:type="dxa"/>
            <w:shd w:val="clear" w:color="auto" w:fill="F2F2F2" w:themeFill="background1" w:themeFillShade="F2"/>
            <w:vAlign w:val="center"/>
          </w:tcPr>
          <w:p w14:paraId="4F3D206F" w14:textId="77777777" w:rsidR="004071CA" w:rsidRPr="00FB3D74" w:rsidRDefault="004071CA" w:rsidP="00942E95">
            <w:pPr>
              <w:rPr>
                <w:rFonts w:cs="Arial"/>
                <w:sz w:val="16"/>
                <w:szCs w:val="16"/>
              </w:rPr>
            </w:pPr>
            <w:r w:rsidRPr="00FB3D74">
              <w:rPr>
                <w:rFonts w:cs="Arial"/>
                <w:sz w:val="16"/>
                <w:szCs w:val="16"/>
              </w:rPr>
              <w:t>La población con mayor rezago social cuenta con mayor y mejor infraestructura necesaria para el desarrollo social del estado.</w:t>
            </w:r>
          </w:p>
        </w:tc>
      </w:tr>
      <w:tr w:rsidR="004071CA" w:rsidRPr="00FB3D74" w14:paraId="5D05FD78" w14:textId="77777777" w:rsidTr="00942E95">
        <w:trPr>
          <w:trHeight w:val="20"/>
        </w:trPr>
        <w:tc>
          <w:tcPr>
            <w:tcW w:w="3823" w:type="dxa"/>
            <w:shd w:val="clear" w:color="auto" w:fill="F2F2F2" w:themeFill="background1" w:themeFillShade="F2"/>
            <w:vAlign w:val="center"/>
          </w:tcPr>
          <w:p w14:paraId="0EE03123" w14:textId="77777777" w:rsidR="004071CA" w:rsidRPr="00FB3D74" w:rsidRDefault="004071CA" w:rsidP="00942E95">
            <w:pP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49C9C7E2" w14:textId="77777777" w:rsidR="004071CA" w:rsidRPr="00FB3D74" w:rsidRDefault="004071CA" w:rsidP="00942E95">
            <w:pPr>
              <w:rPr>
                <w:rFonts w:cs="Arial"/>
                <w:sz w:val="16"/>
                <w:szCs w:val="16"/>
              </w:rPr>
            </w:pPr>
            <w:r w:rsidRPr="00FB3D74">
              <w:rPr>
                <w:rFonts w:cs="Arial"/>
                <w:b/>
                <w:bCs/>
                <w:sz w:val="16"/>
                <w:szCs w:val="16"/>
              </w:rPr>
              <w:t>Metas</w:t>
            </w:r>
          </w:p>
        </w:tc>
      </w:tr>
      <w:tr w:rsidR="004071CA" w:rsidRPr="00FB3D74" w14:paraId="2177B382" w14:textId="77777777" w:rsidTr="00942E95">
        <w:trPr>
          <w:trHeight w:val="20"/>
        </w:trPr>
        <w:tc>
          <w:tcPr>
            <w:tcW w:w="3823" w:type="dxa"/>
            <w:vMerge w:val="restart"/>
            <w:vAlign w:val="center"/>
          </w:tcPr>
          <w:p w14:paraId="49D9D2AA" w14:textId="77777777" w:rsidR="004071CA" w:rsidRPr="00FB3D74" w:rsidRDefault="004071CA" w:rsidP="00942E95">
            <w:pPr>
              <w:rPr>
                <w:rFonts w:cs="Arial"/>
                <w:sz w:val="16"/>
                <w:szCs w:val="16"/>
              </w:rPr>
            </w:pPr>
            <w:r w:rsidRPr="00FB3D74">
              <w:rPr>
                <w:rFonts w:cs="Arial"/>
                <w:sz w:val="16"/>
                <w:szCs w:val="16"/>
              </w:rPr>
              <w:t>Estudios, informes y proyectos ejecutivos realizados.</w:t>
            </w:r>
          </w:p>
        </w:tc>
        <w:tc>
          <w:tcPr>
            <w:tcW w:w="4992" w:type="dxa"/>
            <w:vAlign w:val="center"/>
          </w:tcPr>
          <w:p w14:paraId="44739714" w14:textId="77777777" w:rsidR="004071CA" w:rsidRPr="00FB3D74" w:rsidRDefault="004071CA" w:rsidP="00942E95">
            <w:pPr>
              <w:rPr>
                <w:rFonts w:cs="Arial"/>
                <w:sz w:val="16"/>
                <w:szCs w:val="16"/>
              </w:rPr>
            </w:pPr>
            <w:r w:rsidRPr="00FB3D74">
              <w:rPr>
                <w:rFonts w:cs="Arial"/>
                <w:sz w:val="16"/>
                <w:szCs w:val="16"/>
              </w:rPr>
              <w:t>Elaborar el 100 por ciento de estudios, informes y proyectos ejecutivos programados.</w:t>
            </w:r>
          </w:p>
        </w:tc>
      </w:tr>
      <w:tr w:rsidR="004071CA" w:rsidRPr="00FB3D74" w14:paraId="1E175682" w14:textId="77777777" w:rsidTr="00942E95">
        <w:trPr>
          <w:trHeight w:val="20"/>
        </w:trPr>
        <w:tc>
          <w:tcPr>
            <w:tcW w:w="3823" w:type="dxa"/>
            <w:vMerge/>
            <w:vAlign w:val="center"/>
          </w:tcPr>
          <w:p w14:paraId="082E4285" w14:textId="77777777" w:rsidR="004071CA" w:rsidRPr="00FB3D74" w:rsidRDefault="004071CA" w:rsidP="00942E95">
            <w:pPr>
              <w:rPr>
                <w:rFonts w:cs="Arial"/>
                <w:sz w:val="16"/>
                <w:szCs w:val="16"/>
              </w:rPr>
            </w:pPr>
          </w:p>
        </w:tc>
        <w:tc>
          <w:tcPr>
            <w:tcW w:w="4992" w:type="dxa"/>
            <w:vAlign w:val="center"/>
          </w:tcPr>
          <w:p w14:paraId="71BA95F2" w14:textId="77777777" w:rsidR="004071CA" w:rsidRPr="00FB3D74" w:rsidRDefault="004071CA" w:rsidP="00942E95">
            <w:pPr>
              <w:rPr>
                <w:rFonts w:cs="Arial"/>
                <w:sz w:val="16"/>
                <w:szCs w:val="16"/>
              </w:rPr>
            </w:pPr>
            <w:r w:rsidRPr="00FB3D74">
              <w:rPr>
                <w:rFonts w:cs="Arial"/>
                <w:sz w:val="16"/>
                <w:szCs w:val="16"/>
              </w:rPr>
              <w:t>Realizar el 100 por ciento de los estudios y proyectos contratados.</w:t>
            </w:r>
          </w:p>
        </w:tc>
      </w:tr>
      <w:tr w:rsidR="004071CA" w:rsidRPr="00FB3D74" w14:paraId="703A8DA5" w14:textId="77777777" w:rsidTr="00942E95">
        <w:trPr>
          <w:trHeight w:val="20"/>
        </w:trPr>
        <w:tc>
          <w:tcPr>
            <w:tcW w:w="3823" w:type="dxa"/>
            <w:vMerge/>
            <w:vAlign w:val="center"/>
          </w:tcPr>
          <w:p w14:paraId="005E7ACB" w14:textId="77777777" w:rsidR="004071CA" w:rsidRPr="00FB3D74" w:rsidRDefault="004071CA" w:rsidP="00942E95">
            <w:pPr>
              <w:rPr>
                <w:rFonts w:cs="Arial"/>
                <w:sz w:val="16"/>
                <w:szCs w:val="16"/>
              </w:rPr>
            </w:pPr>
          </w:p>
        </w:tc>
        <w:tc>
          <w:tcPr>
            <w:tcW w:w="4992" w:type="dxa"/>
            <w:vAlign w:val="center"/>
          </w:tcPr>
          <w:p w14:paraId="43996EC0" w14:textId="77777777" w:rsidR="004071CA" w:rsidRPr="00FB3D74" w:rsidRDefault="004071CA" w:rsidP="00942E95">
            <w:pPr>
              <w:rPr>
                <w:rFonts w:cs="Arial"/>
                <w:sz w:val="16"/>
                <w:szCs w:val="16"/>
              </w:rPr>
            </w:pPr>
            <w:r w:rsidRPr="00FB3D74">
              <w:rPr>
                <w:rFonts w:cs="Arial"/>
                <w:sz w:val="16"/>
                <w:szCs w:val="16"/>
              </w:rPr>
              <w:t>Realizar el 100 por ciento de estudios, informes y proyectos ejecutivos programados.</w:t>
            </w:r>
          </w:p>
        </w:tc>
      </w:tr>
      <w:tr w:rsidR="004071CA" w:rsidRPr="00FB3D74" w14:paraId="02DB5511" w14:textId="77777777" w:rsidTr="00942E95">
        <w:trPr>
          <w:trHeight w:val="20"/>
        </w:trPr>
        <w:tc>
          <w:tcPr>
            <w:tcW w:w="3823" w:type="dxa"/>
            <w:vAlign w:val="center"/>
          </w:tcPr>
          <w:p w14:paraId="1158EFA0" w14:textId="77777777" w:rsidR="004071CA" w:rsidRPr="00FB3D74" w:rsidRDefault="004071CA" w:rsidP="00942E95">
            <w:pPr>
              <w:rPr>
                <w:rFonts w:cs="Arial"/>
                <w:sz w:val="16"/>
                <w:szCs w:val="16"/>
              </w:rPr>
            </w:pPr>
            <w:r w:rsidRPr="00FB3D74">
              <w:rPr>
                <w:rFonts w:cs="Arial"/>
                <w:sz w:val="16"/>
                <w:szCs w:val="16"/>
              </w:rPr>
              <w:t>Obras de calidad y espacios para la vivienda ejecutada.</w:t>
            </w:r>
          </w:p>
        </w:tc>
        <w:tc>
          <w:tcPr>
            <w:tcW w:w="4992" w:type="dxa"/>
            <w:vAlign w:val="center"/>
          </w:tcPr>
          <w:p w14:paraId="1BED8A32" w14:textId="77777777" w:rsidR="004071CA" w:rsidRPr="00FB3D74" w:rsidRDefault="004071CA" w:rsidP="00942E95">
            <w:pPr>
              <w:rPr>
                <w:rFonts w:cs="Arial"/>
                <w:sz w:val="16"/>
                <w:szCs w:val="16"/>
              </w:rPr>
            </w:pPr>
            <w:r w:rsidRPr="00FB3D74">
              <w:rPr>
                <w:rFonts w:cs="Arial"/>
                <w:sz w:val="16"/>
                <w:szCs w:val="16"/>
              </w:rPr>
              <w:t>Población con carencia de calidad y espacios para la vivienda.</w:t>
            </w:r>
          </w:p>
        </w:tc>
      </w:tr>
      <w:tr w:rsidR="004071CA" w:rsidRPr="00FB3D74" w14:paraId="1CA408A9" w14:textId="77777777" w:rsidTr="00942E95">
        <w:trPr>
          <w:trHeight w:val="20"/>
        </w:trPr>
        <w:tc>
          <w:tcPr>
            <w:tcW w:w="3823" w:type="dxa"/>
            <w:vAlign w:val="center"/>
          </w:tcPr>
          <w:p w14:paraId="335B29CB" w14:textId="77777777" w:rsidR="004071CA" w:rsidRPr="00FB3D74" w:rsidRDefault="004071CA" w:rsidP="00942E95">
            <w:pPr>
              <w:rPr>
                <w:rFonts w:cs="Arial"/>
                <w:sz w:val="16"/>
                <w:szCs w:val="16"/>
              </w:rPr>
            </w:pPr>
            <w:r w:rsidRPr="00FB3D74">
              <w:rPr>
                <w:rFonts w:cs="Arial"/>
                <w:sz w:val="16"/>
                <w:szCs w:val="16"/>
              </w:rPr>
              <w:t>Infraestructura complementaria para el desarrollo social ejecutada.</w:t>
            </w:r>
          </w:p>
        </w:tc>
        <w:tc>
          <w:tcPr>
            <w:tcW w:w="4992" w:type="dxa"/>
            <w:vAlign w:val="center"/>
          </w:tcPr>
          <w:p w14:paraId="4B5F2890" w14:textId="77777777" w:rsidR="004071CA" w:rsidRPr="00FB3D74" w:rsidRDefault="004071CA" w:rsidP="00942E95">
            <w:pPr>
              <w:rPr>
                <w:rFonts w:cs="Arial"/>
                <w:sz w:val="16"/>
                <w:szCs w:val="16"/>
              </w:rPr>
            </w:pPr>
            <w:r w:rsidRPr="00FB3D74">
              <w:rPr>
                <w:rFonts w:cs="Arial"/>
                <w:sz w:val="16"/>
                <w:szCs w:val="16"/>
              </w:rPr>
              <w:t>Ejecución del 100 por ciento de las obras de Infraestructura complementaria para el desarrollo social programadas.</w:t>
            </w:r>
          </w:p>
        </w:tc>
      </w:tr>
      <w:tr w:rsidR="004071CA" w:rsidRPr="00FB3D74" w14:paraId="6275E472" w14:textId="77777777" w:rsidTr="00942E95">
        <w:trPr>
          <w:trHeight w:val="20"/>
        </w:trPr>
        <w:tc>
          <w:tcPr>
            <w:tcW w:w="3823" w:type="dxa"/>
            <w:vAlign w:val="center"/>
          </w:tcPr>
          <w:p w14:paraId="5BED07E5" w14:textId="77777777" w:rsidR="004071CA" w:rsidRPr="00FB3D74" w:rsidRDefault="004071CA" w:rsidP="00942E95">
            <w:pPr>
              <w:rPr>
                <w:rFonts w:cs="Arial"/>
                <w:sz w:val="16"/>
                <w:szCs w:val="16"/>
              </w:rPr>
            </w:pPr>
          </w:p>
        </w:tc>
        <w:tc>
          <w:tcPr>
            <w:tcW w:w="4992" w:type="dxa"/>
            <w:vAlign w:val="center"/>
          </w:tcPr>
          <w:p w14:paraId="2F54C77D" w14:textId="77777777" w:rsidR="004071CA" w:rsidRPr="00FB3D74" w:rsidRDefault="004071CA" w:rsidP="00942E95">
            <w:pPr>
              <w:rPr>
                <w:rFonts w:cs="Arial"/>
                <w:sz w:val="16"/>
                <w:szCs w:val="16"/>
              </w:rPr>
            </w:pPr>
          </w:p>
        </w:tc>
      </w:tr>
      <w:tr w:rsidR="004071CA" w:rsidRPr="00FB3D74" w14:paraId="671E2834" w14:textId="77777777" w:rsidTr="00942E95">
        <w:trPr>
          <w:trHeight w:val="20"/>
        </w:trPr>
        <w:tc>
          <w:tcPr>
            <w:tcW w:w="3823" w:type="dxa"/>
            <w:shd w:val="clear" w:color="auto" w:fill="F2F2F2" w:themeFill="background1" w:themeFillShade="F2"/>
            <w:vAlign w:val="center"/>
          </w:tcPr>
          <w:p w14:paraId="5FC9C1AE" w14:textId="77777777" w:rsidR="004071CA" w:rsidRPr="00FB3D74" w:rsidRDefault="004071CA" w:rsidP="00942E95">
            <w:pPr>
              <w:rPr>
                <w:rFonts w:cs="Arial"/>
                <w:b/>
                <w:bCs/>
                <w:sz w:val="16"/>
                <w:szCs w:val="16"/>
              </w:rPr>
            </w:pPr>
            <w:r w:rsidRPr="00FB3D74">
              <w:rPr>
                <w:rFonts w:cs="Arial"/>
                <w:b/>
                <w:bCs/>
                <w:sz w:val="16"/>
                <w:szCs w:val="16"/>
              </w:rPr>
              <w:t>Número de Programa Presupuestal</w:t>
            </w:r>
          </w:p>
        </w:tc>
        <w:tc>
          <w:tcPr>
            <w:tcW w:w="4992" w:type="dxa"/>
            <w:shd w:val="clear" w:color="auto" w:fill="F2F2F2" w:themeFill="background1" w:themeFillShade="F2"/>
            <w:vAlign w:val="center"/>
          </w:tcPr>
          <w:p w14:paraId="5A180900" w14:textId="77777777" w:rsidR="004071CA" w:rsidRPr="00FB3D74" w:rsidRDefault="004071CA" w:rsidP="00942E95">
            <w:pPr>
              <w:rPr>
                <w:rFonts w:cs="Arial"/>
                <w:b/>
                <w:bCs/>
                <w:sz w:val="16"/>
                <w:szCs w:val="16"/>
              </w:rPr>
            </w:pPr>
            <w:r w:rsidRPr="00FB3D74">
              <w:rPr>
                <w:rFonts w:cs="Arial"/>
                <w:b/>
                <w:bCs/>
                <w:sz w:val="16"/>
                <w:szCs w:val="16"/>
              </w:rPr>
              <w:t>98</w:t>
            </w:r>
          </w:p>
        </w:tc>
      </w:tr>
      <w:tr w:rsidR="004071CA" w:rsidRPr="00FB3D74" w14:paraId="7D53F724" w14:textId="77777777" w:rsidTr="00942E95">
        <w:trPr>
          <w:trHeight w:val="20"/>
        </w:trPr>
        <w:tc>
          <w:tcPr>
            <w:tcW w:w="3823" w:type="dxa"/>
            <w:shd w:val="clear" w:color="auto" w:fill="F2F2F2" w:themeFill="background1" w:themeFillShade="F2"/>
            <w:vAlign w:val="center"/>
          </w:tcPr>
          <w:p w14:paraId="0AF93F9D" w14:textId="77777777" w:rsidR="004071CA" w:rsidRPr="00FB3D74" w:rsidRDefault="004071CA" w:rsidP="00942E95">
            <w:pPr>
              <w:rPr>
                <w:rFonts w:cs="Arial"/>
                <w:b/>
                <w:bCs/>
                <w:sz w:val="16"/>
                <w:szCs w:val="16"/>
              </w:rPr>
            </w:pPr>
            <w:r w:rsidRPr="00FB3D74">
              <w:rPr>
                <w:rFonts w:cs="Arial"/>
                <w:b/>
                <w:bCs/>
                <w:sz w:val="16"/>
                <w:szCs w:val="16"/>
              </w:rPr>
              <w:t>Dependencia/Organismo</w:t>
            </w:r>
          </w:p>
        </w:tc>
        <w:tc>
          <w:tcPr>
            <w:tcW w:w="4992" w:type="dxa"/>
            <w:shd w:val="clear" w:color="auto" w:fill="F2F2F2" w:themeFill="background1" w:themeFillShade="F2"/>
            <w:vAlign w:val="center"/>
          </w:tcPr>
          <w:p w14:paraId="170A3305" w14:textId="77777777" w:rsidR="004071CA" w:rsidRPr="00FB3D74" w:rsidRDefault="004071CA" w:rsidP="00942E95">
            <w:pPr>
              <w:tabs>
                <w:tab w:val="left" w:pos="397"/>
              </w:tabs>
              <w:rPr>
                <w:rFonts w:cs="Arial"/>
                <w:b/>
                <w:bCs/>
                <w:sz w:val="16"/>
                <w:szCs w:val="16"/>
              </w:rPr>
            </w:pPr>
            <w:r w:rsidRPr="00FB3D74">
              <w:rPr>
                <w:rFonts w:cs="Arial"/>
                <w:b/>
                <w:bCs/>
                <w:sz w:val="16"/>
                <w:szCs w:val="16"/>
              </w:rPr>
              <w:t>Secretaría de Infraestructura, Desarrollo Urbano y Movilidad.</w:t>
            </w:r>
          </w:p>
        </w:tc>
      </w:tr>
      <w:tr w:rsidR="004071CA" w:rsidRPr="00FB3D74" w14:paraId="29A78E8D" w14:textId="77777777" w:rsidTr="00942E95">
        <w:trPr>
          <w:trHeight w:val="20"/>
        </w:trPr>
        <w:tc>
          <w:tcPr>
            <w:tcW w:w="3823" w:type="dxa"/>
            <w:shd w:val="clear" w:color="auto" w:fill="F2F2F2" w:themeFill="background1" w:themeFillShade="F2"/>
            <w:vAlign w:val="center"/>
          </w:tcPr>
          <w:p w14:paraId="193D265A" w14:textId="77777777" w:rsidR="004071CA" w:rsidRPr="00FB3D74" w:rsidRDefault="004071CA" w:rsidP="00942E95">
            <w:pPr>
              <w:rPr>
                <w:rFonts w:cs="Arial"/>
                <w:b/>
                <w:bCs/>
                <w:sz w:val="16"/>
                <w:szCs w:val="16"/>
              </w:rPr>
            </w:pPr>
            <w:r w:rsidRPr="00FB3D74">
              <w:rPr>
                <w:rFonts w:cs="Arial"/>
                <w:b/>
                <w:bCs/>
                <w:sz w:val="16"/>
                <w:szCs w:val="16"/>
              </w:rPr>
              <w:t>Objetivo Anual</w:t>
            </w:r>
          </w:p>
        </w:tc>
        <w:tc>
          <w:tcPr>
            <w:tcW w:w="4992" w:type="dxa"/>
            <w:shd w:val="clear" w:color="auto" w:fill="F2F2F2" w:themeFill="background1" w:themeFillShade="F2"/>
            <w:vAlign w:val="center"/>
          </w:tcPr>
          <w:p w14:paraId="59F5115A" w14:textId="77777777" w:rsidR="004071CA" w:rsidRPr="00FB3D74" w:rsidRDefault="004071CA" w:rsidP="00942E95">
            <w:pPr>
              <w:rPr>
                <w:rFonts w:cs="Arial"/>
                <w:sz w:val="16"/>
                <w:szCs w:val="16"/>
              </w:rPr>
            </w:pPr>
            <w:r w:rsidRPr="00FB3D74">
              <w:rPr>
                <w:rFonts w:cs="Arial"/>
                <w:sz w:val="16"/>
                <w:szCs w:val="16"/>
              </w:rPr>
              <w:t>La infraestructura carretera a cargo de Gobierno del Estado es eficiente.</w:t>
            </w:r>
          </w:p>
        </w:tc>
      </w:tr>
      <w:tr w:rsidR="004071CA" w:rsidRPr="00FB3D74" w14:paraId="3FF2E315" w14:textId="77777777" w:rsidTr="00942E95">
        <w:trPr>
          <w:trHeight w:val="20"/>
        </w:trPr>
        <w:tc>
          <w:tcPr>
            <w:tcW w:w="3823" w:type="dxa"/>
            <w:shd w:val="clear" w:color="auto" w:fill="F2F2F2" w:themeFill="background1" w:themeFillShade="F2"/>
            <w:vAlign w:val="center"/>
          </w:tcPr>
          <w:p w14:paraId="1C147D6F" w14:textId="77777777" w:rsidR="004071CA" w:rsidRPr="00FB3D74" w:rsidRDefault="004071CA" w:rsidP="00942E95">
            <w:pP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591CC65E" w14:textId="77777777" w:rsidR="004071CA" w:rsidRPr="00FB3D74" w:rsidRDefault="004071CA" w:rsidP="00942E95">
            <w:pPr>
              <w:rPr>
                <w:rFonts w:cs="Arial"/>
                <w:sz w:val="16"/>
                <w:szCs w:val="16"/>
              </w:rPr>
            </w:pPr>
            <w:r w:rsidRPr="00FB3D74">
              <w:rPr>
                <w:rFonts w:cs="Arial"/>
                <w:b/>
                <w:bCs/>
                <w:sz w:val="16"/>
                <w:szCs w:val="16"/>
              </w:rPr>
              <w:t>Metas</w:t>
            </w:r>
          </w:p>
        </w:tc>
      </w:tr>
      <w:tr w:rsidR="004071CA" w:rsidRPr="00FB3D74" w14:paraId="07258755" w14:textId="77777777" w:rsidTr="00942E95">
        <w:trPr>
          <w:trHeight w:val="20"/>
        </w:trPr>
        <w:tc>
          <w:tcPr>
            <w:tcW w:w="3823" w:type="dxa"/>
            <w:vMerge w:val="restart"/>
            <w:vAlign w:val="center"/>
          </w:tcPr>
          <w:p w14:paraId="63FE7BC9" w14:textId="77777777" w:rsidR="004071CA" w:rsidRPr="00FB3D74" w:rsidRDefault="004071CA" w:rsidP="00942E95">
            <w:pPr>
              <w:rPr>
                <w:rFonts w:cs="Arial"/>
                <w:sz w:val="16"/>
                <w:szCs w:val="16"/>
              </w:rPr>
            </w:pPr>
            <w:r w:rsidRPr="00FB3D74">
              <w:rPr>
                <w:rFonts w:cs="Arial"/>
                <w:sz w:val="16"/>
                <w:szCs w:val="16"/>
              </w:rPr>
              <w:t>Estudios, informes y proyectos ejecutivos realizados.</w:t>
            </w:r>
          </w:p>
        </w:tc>
        <w:tc>
          <w:tcPr>
            <w:tcW w:w="4992" w:type="dxa"/>
            <w:vAlign w:val="center"/>
          </w:tcPr>
          <w:p w14:paraId="34DFC216" w14:textId="77777777" w:rsidR="004071CA" w:rsidRPr="00FB3D74" w:rsidRDefault="004071CA" w:rsidP="00942E95">
            <w:pPr>
              <w:rPr>
                <w:rFonts w:cs="Arial"/>
                <w:sz w:val="16"/>
                <w:szCs w:val="16"/>
              </w:rPr>
            </w:pPr>
            <w:r w:rsidRPr="00FB3D74">
              <w:rPr>
                <w:rFonts w:cs="Arial"/>
                <w:sz w:val="16"/>
                <w:szCs w:val="16"/>
              </w:rPr>
              <w:t>Elaborar el 100 por ciento de estudios, informes y proyectos ejecutivos programados.</w:t>
            </w:r>
          </w:p>
        </w:tc>
      </w:tr>
      <w:tr w:rsidR="004071CA" w:rsidRPr="00FB3D74" w14:paraId="60DC5074" w14:textId="77777777" w:rsidTr="00942E95">
        <w:trPr>
          <w:trHeight w:val="20"/>
        </w:trPr>
        <w:tc>
          <w:tcPr>
            <w:tcW w:w="3823" w:type="dxa"/>
            <w:vMerge/>
            <w:vAlign w:val="center"/>
          </w:tcPr>
          <w:p w14:paraId="45C58A57" w14:textId="77777777" w:rsidR="004071CA" w:rsidRPr="00FB3D74" w:rsidRDefault="004071CA" w:rsidP="00942E95">
            <w:pPr>
              <w:rPr>
                <w:rFonts w:cs="Arial"/>
                <w:sz w:val="16"/>
                <w:szCs w:val="16"/>
              </w:rPr>
            </w:pPr>
          </w:p>
        </w:tc>
        <w:tc>
          <w:tcPr>
            <w:tcW w:w="4992" w:type="dxa"/>
            <w:vAlign w:val="center"/>
          </w:tcPr>
          <w:p w14:paraId="465909DD" w14:textId="77777777" w:rsidR="004071CA" w:rsidRPr="00FB3D74" w:rsidRDefault="004071CA" w:rsidP="00942E95">
            <w:pPr>
              <w:rPr>
                <w:rFonts w:cs="Arial"/>
                <w:sz w:val="16"/>
                <w:szCs w:val="16"/>
              </w:rPr>
            </w:pPr>
            <w:r w:rsidRPr="00FB3D74">
              <w:rPr>
                <w:rFonts w:cs="Arial"/>
                <w:sz w:val="16"/>
                <w:szCs w:val="16"/>
              </w:rPr>
              <w:t>Realizar el 100 por ciento de los estudios y proyectos contratados.</w:t>
            </w:r>
          </w:p>
        </w:tc>
      </w:tr>
      <w:tr w:rsidR="004071CA" w:rsidRPr="00FB3D74" w14:paraId="7E84419C" w14:textId="77777777" w:rsidTr="00942E95">
        <w:trPr>
          <w:trHeight w:val="20"/>
        </w:trPr>
        <w:tc>
          <w:tcPr>
            <w:tcW w:w="3823" w:type="dxa"/>
            <w:vMerge/>
            <w:vAlign w:val="center"/>
          </w:tcPr>
          <w:p w14:paraId="7F0764ED" w14:textId="77777777" w:rsidR="004071CA" w:rsidRPr="00FB3D74" w:rsidRDefault="004071CA" w:rsidP="00942E95">
            <w:pPr>
              <w:rPr>
                <w:rFonts w:cs="Arial"/>
                <w:sz w:val="16"/>
                <w:szCs w:val="16"/>
              </w:rPr>
            </w:pPr>
          </w:p>
        </w:tc>
        <w:tc>
          <w:tcPr>
            <w:tcW w:w="4992" w:type="dxa"/>
            <w:vAlign w:val="center"/>
          </w:tcPr>
          <w:p w14:paraId="59B7E2CA" w14:textId="77777777" w:rsidR="004071CA" w:rsidRPr="00FB3D74" w:rsidRDefault="004071CA" w:rsidP="00942E95">
            <w:pPr>
              <w:rPr>
                <w:rFonts w:cs="Arial"/>
                <w:sz w:val="16"/>
                <w:szCs w:val="16"/>
              </w:rPr>
            </w:pPr>
            <w:r w:rsidRPr="00FB3D74">
              <w:rPr>
                <w:rFonts w:cs="Arial"/>
                <w:sz w:val="16"/>
                <w:szCs w:val="16"/>
              </w:rPr>
              <w:t>Realizar el 100 por ciento de estudios, informes y proyectos ejecutivos programados.</w:t>
            </w:r>
          </w:p>
        </w:tc>
      </w:tr>
      <w:tr w:rsidR="004071CA" w:rsidRPr="00FB3D74" w14:paraId="62DAB82A" w14:textId="77777777" w:rsidTr="00942E95">
        <w:trPr>
          <w:trHeight w:val="20"/>
        </w:trPr>
        <w:tc>
          <w:tcPr>
            <w:tcW w:w="3823" w:type="dxa"/>
            <w:vAlign w:val="center"/>
          </w:tcPr>
          <w:p w14:paraId="32D602E5" w14:textId="77777777" w:rsidR="004071CA" w:rsidRPr="00FB3D74" w:rsidRDefault="004071CA" w:rsidP="00942E95">
            <w:pPr>
              <w:rPr>
                <w:rFonts w:cs="Arial"/>
                <w:sz w:val="16"/>
                <w:szCs w:val="16"/>
              </w:rPr>
            </w:pPr>
            <w:r w:rsidRPr="00FB3D74">
              <w:rPr>
                <w:rFonts w:cs="Arial"/>
                <w:sz w:val="16"/>
                <w:szCs w:val="16"/>
              </w:rPr>
              <w:t>Infraestructura carretera ejecutada.</w:t>
            </w:r>
          </w:p>
        </w:tc>
        <w:tc>
          <w:tcPr>
            <w:tcW w:w="4992" w:type="dxa"/>
            <w:vAlign w:val="center"/>
          </w:tcPr>
          <w:p w14:paraId="5739E388" w14:textId="77777777" w:rsidR="004071CA" w:rsidRPr="00FB3D74" w:rsidRDefault="004071CA" w:rsidP="00942E95">
            <w:pPr>
              <w:rPr>
                <w:rFonts w:cs="Arial"/>
                <w:sz w:val="16"/>
                <w:szCs w:val="16"/>
              </w:rPr>
            </w:pPr>
            <w:r w:rsidRPr="00FB3D74">
              <w:rPr>
                <w:rFonts w:cs="Arial"/>
                <w:sz w:val="16"/>
                <w:szCs w:val="16"/>
              </w:rPr>
              <w:t>Ejecutar el 100 por ciento de la inversión autorizada.</w:t>
            </w:r>
          </w:p>
        </w:tc>
      </w:tr>
      <w:tr w:rsidR="004071CA" w:rsidRPr="00FB3D74" w14:paraId="022DAEDA" w14:textId="77777777" w:rsidTr="00942E95">
        <w:trPr>
          <w:trHeight w:val="20"/>
        </w:trPr>
        <w:tc>
          <w:tcPr>
            <w:tcW w:w="3823" w:type="dxa"/>
            <w:shd w:val="clear" w:color="auto" w:fill="F2F2F2" w:themeFill="background1" w:themeFillShade="F2"/>
            <w:vAlign w:val="center"/>
          </w:tcPr>
          <w:p w14:paraId="7BD80257" w14:textId="77777777" w:rsidR="004071CA" w:rsidRPr="00FB3D74" w:rsidRDefault="004071CA" w:rsidP="00942E95">
            <w:pPr>
              <w:rPr>
                <w:rFonts w:cs="Arial"/>
                <w:b/>
                <w:bCs/>
                <w:sz w:val="16"/>
                <w:szCs w:val="16"/>
              </w:rPr>
            </w:pPr>
            <w:r w:rsidRPr="00FB3D74">
              <w:rPr>
                <w:rFonts w:cs="Arial"/>
                <w:b/>
                <w:bCs/>
                <w:sz w:val="16"/>
                <w:szCs w:val="16"/>
              </w:rPr>
              <w:t>Número de Programa Presupuestal</w:t>
            </w:r>
          </w:p>
        </w:tc>
        <w:tc>
          <w:tcPr>
            <w:tcW w:w="4992" w:type="dxa"/>
            <w:shd w:val="clear" w:color="auto" w:fill="F2F2F2" w:themeFill="background1" w:themeFillShade="F2"/>
            <w:vAlign w:val="center"/>
          </w:tcPr>
          <w:p w14:paraId="28DEB0B4" w14:textId="77777777" w:rsidR="004071CA" w:rsidRPr="00FB3D74" w:rsidRDefault="004071CA" w:rsidP="00942E95">
            <w:pPr>
              <w:rPr>
                <w:rFonts w:cs="Arial"/>
                <w:b/>
                <w:bCs/>
                <w:sz w:val="16"/>
                <w:szCs w:val="16"/>
              </w:rPr>
            </w:pPr>
            <w:r w:rsidRPr="00FB3D74">
              <w:rPr>
                <w:rFonts w:cs="Arial"/>
                <w:b/>
                <w:bCs/>
                <w:sz w:val="16"/>
                <w:szCs w:val="16"/>
              </w:rPr>
              <w:t>99</w:t>
            </w:r>
          </w:p>
        </w:tc>
      </w:tr>
      <w:tr w:rsidR="004071CA" w:rsidRPr="00FB3D74" w14:paraId="4E24039A" w14:textId="77777777" w:rsidTr="00942E95">
        <w:trPr>
          <w:trHeight w:val="20"/>
        </w:trPr>
        <w:tc>
          <w:tcPr>
            <w:tcW w:w="3823" w:type="dxa"/>
            <w:shd w:val="clear" w:color="auto" w:fill="F2F2F2" w:themeFill="background1" w:themeFillShade="F2"/>
            <w:vAlign w:val="center"/>
          </w:tcPr>
          <w:p w14:paraId="2D99A349" w14:textId="77777777" w:rsidR="004071CA" w:rsidRPr="00FB3D74" w:rsidRDefault="004071CA" w:rsidP="00942E95">
            <w:pPr>
              <w:rPr>
                <w:rFonts w:cs="Arial"/>
                <w:b/>
                <w:bCs/>
                <w:sz w:val="16"/>
                <w:szCs w:val="16"/>
              </w:rPr>
            </w:pPr>
            <w:r w:rsidRPr="00FB3D74">
              <w:rPr>
                <w:rFonts w:cs="Arial"/>
                <w:b/>
                <w:bCs/>
                <w:sz w:val="16"/>
                <w:szCs w:val="16"/>
              </w:rPr>
              <w:t>Dependencia/Organismo</w:t>
            </w:r>
          </w:p>
        </w:tc>
        <w:tc>
          <w:tcPr>
            <w:tcW w:w="4992" w:type="dxa"/>
            <w:shd w:val="clear" w:color="auto" w:fill="F2F2F2" w:themeFill="background1" w:themeFillShade="F2"/>
            <w:vAlign w:val="center"/>
          </w:tcPr>
          <w:p w14:paraId="7A19E2F0" w14:textId="77777777" w:rsidR="004071CA" w:rsidRPr="00FB3D74" w:rsidRDefault="004071CA" w:rsidP="00942E95">
            <w:pPr>
              <w:tabs>
                <w:tab w:val="left" w:pos="397"/>
              </w:tabs>
              <w:rPr>
                <w:rFonts w:cs="Arial"/>
                <w:b/>
                <w:bCs/>
                <w:sz w:val="16"/>
                <w:szCs w:val="16"/>
              </w:rPr>
            </w:pPr>
            <w:r w:rsidRPr="00FB3D74">
              <w:rPr>
                <w:rFonts w:cs="Arial"/>
                <w:b/>
                <w:bCs/>
                <w:sz w:val="16"/>
                <w:szCs w:val="16"/>
              </w:rPr>
              <w:t>Secretaría de Infraestructura, Desarrollo Urbano y Movilidad.</w:t>
            </w:r>
          </w:p>
        </w:tc>
      </w:tr>
      <w:tr w:rsidR="004071CA" w:rsidRPr="00FB3D74" w14:paraId="1F507723" w14:textId="77777777" w:rsidTr="00942E95">
        <w:trPr>
          <w:trHeight w:val="20"/>
        </w:trPr>
        <w:tc>
          <w:tcPr>
            <w:tcW w:w="3823" w:type="dxa"/>
            <w:shd w:val="clear" w:color="auto" w:fill="F2F2F2" w:themeFill="background1" w:themeFillShade="F2"/>
            <w:vAlign w:val="center"/>
          </w:tcPr>
          <w:p w14:paraId="56AB12DF" w14:textId="77777777" w:rsidR="004071CA" w:rsidRPr="00FB3D74" w:rsidRDefault="004071CA" w:rsidP="00942E95">
            <w:pPr>
              <w:rPr>
                <w:rFonts w:cs="Arial"/>
                <w:b/>
                <w:bCs/>
                <w:sz w:val="16"/>
                <w:szCs w:val="16"/>
              </w:rPr>
            </w:pPr>
            <w:r w:rsidRPr="00FB3D74">
              <w:rPr>
                <w:rFonts w:cs="Arial"/>
                <w:b/>
                <w:bCs/>
                <w:sz w:val="16"/>
                <w:szCs w:val="16"/>
              </w:rPr>
              <w:t>Objetivo Anual</w:t>
            </w:r>
          </w:p>
        </w:tc>
        <w:tc>
          <w:tcPr>
            <w:tcW w:w="4992" w:type="dxa"/>
            <w:shd w:val="clear" w:color="auto" w:fill="F2F2F2" w:themeFill="background1" w:themeFillShade="F2"/>
            <w:vAlign w:val="center"/>
          </w:tcPr>
          <w:p w14:paraId="7BFFCC60" w14:textId="77777777" w:rsidR="004071CA" w:rsidRPr="00FB3D74" w:rsidRDefault="004071CA" w:rsidP="00942E95">
            <w:pPr>
              <w:rPr>
                <w:rFonts w:cs="Arial"/>
                <w:sz w:val="16"/>
                <w:szCs w:val="16"/>
              </w:rPr>
            </w:pPr>
            <w:r w:rsidRPr="00FB3D74">
              <w:rPr>
                <w:rFonts w:cs="Arial"/>
                <w:sz w:val="16"/>
                <w:szCs w:val="16"/>
              </w:rPr>
              <w:t>La entidad estatal cuenta con los instrumentos de planeación y ordenamiento territorial para un desarrollo urbano sostenible, congruente con las estrategias nacionales en la materia.</w:t>
            </w:r>
          </w:p>
        </w:tc>
      </w:tr>
      <w:tr w:rsidR="004071CA" w:rsidRPr="00FB3D74" w14:paraId="14308B64" w14:textId="77777777" w:rsidTr="00942E95">
        <w:trPr>
          <w:trHeight w:val="20"/>
        </w:trPr>
        <w:tc>
          <w:tcPr>
            <w:tcW w:w="3823" w:type="dxa"/>
            <w:shd w:val="clear" w:color="auto" w:fill="F2F2F2" w:themeFill="background1" w:themeFillShade="F2"/>
            <w:vAlign w:val="center"/>
          </w:tcPr>
          <w:p w14:paraId="6CF741B8" w14:textId="77777777" w:rsidR="004071CA" w:rsidRPr="00FB3D74" w:rsidRDefault="004071CA" w:rsidP="00942E95">
            <w:pPr>
              <w:rPr>
                <w:rFonts w:cs="Arial"/>
                <w:sz w:val="16"/>
                <w:szCs w:val="16"/>
              </w:rPr>
            </w:pPr>
            <w:r w:rsidRPr="00FB3D74">
              <w:rPr>
                <w:rFonts w:cs="Arial"/>
                <w:b/>
                <w:bCs/>
                <w:sz w:val="16"/>
                <w:szCs w:val="16"/>
              </w:rPr>
              <w:t>Estrategias</w:t>
            </w:r>
          </w:p>
        </w:tc>
        <w:tc>
          <w:tcPr>
            <w:tcW w:w="4992" w:type="dxa"/>
            <w:shd w:val="clear" w:color="auto" w:fill="F2F2F2" w:themeFill="background1" w:themeFillShade="F2"/>
            <w:vAlign w:val="center"/>
          </w:tcPr>
          <w:p w14:paraId="64A11F09" w14:textId="77777777" w:rsidR="004071CA" w:rsidRPr="00FB3D74" w:rsidRDefault="004071CA" w:rsidP="00942E95">
            <w:pPr>
              <w:rPr>
                <w:rFonts w:cs="Arial"/>
                <w:sz w:val="16"/>
                <w:szCs w:val="16"/>
              </w:rPr>
            </w:pPr>
            <w:r w:rsidRPr="00FB3D74">
              <w:rPr>
                <w:rFonts w:cs="Arial"/>
                <w:b/>
                <w:bCs/>
                <w:sz w:val="16"/>
                <w:szCs w:val="16"/>
              </w:rPr>
              <w:t>Metas</w:t>
            </w:r>
          </w:p>
        </w:tc>
      </w:tr>
      <w:tr w:rsidR="004071CA" w:rsidRPr="00FB3D74" w14:paraId="692263BB" w14:textId="77777777" w:rsidTr="00942E95">
        <w:trPr>
          <w:trHeight w:val="20"/>
        </w:trPr>
        <w:tc>
          <w:tcPr>
            <w:tcW w:w="3823" w:type="dxa"/>
            <w:vAlign w:val="center"/>
          </w:tcPr>
          <w:p w14:paraId="25603D1E" w14:textId="77777777" w:rsidR="004071CA" w:rsidRPr="00FB3D74" w:rsidRDefault="004071CA" w:rsidP="00942E95">
            <w:pPr>
              <w:rPr>
                <w:rFonts w:cs="Arial"/>
                <w:sz w:val="16"/>
                <w:szCs w:val="16"/>
              </w:rPr>
            </w:pPr>
            <w:r w:rsidRPr="00FB3D74">
              <w:rPr>
                <w:rFonts w:cs="Arial"/>
                <w:sz w:val="16"/>
                <w:szCs w:val="16"/>
              </w:rPr>
              <w:t>Marco normativo en materia ordenamiento territorial y desarrollo urbano actualizado.</w:t>
            </w:r>
          </w:p>
        </w:tc>
        <w:tc>
          <w:tcPr>
            <w:tcW w:w="4992" w:type="dxa"/>
            <w:vAlign w:val="center"/>
          </w:tcPr>
          <w:p w14:paraId="78156DCE" w14:textId="77777777" w:rsidR="004071CA" w:rsidRPr="00FB3D74" w:rsidRDefault="004071CA" w:rsidP="00942E95">
            <w:pPr>
              <w:rPr>
                <w:rFonts w:cs="Arial"/>
                <w:sz w:val="16"/>
                <w:szCs w:val="16"/>
              </w:rPr>
            </w:pPr>
            <w:r w:rsidRPr="00FB3D74">
              <w:rPr>
                <w:rFonts w:cs="Arial"/>
                <w:sz w:val="16"/>
                <w:szCs w:val="16"/>
              </w:rPr>
              <w:t>Realizar el 100 por ciento de las actividades programadas.</w:t>
            </w:r>
          </w:p>
        </w:tc>
      </w:tr>
    </w:tbl>
    <w:p w14:paraId="544AE789" w14:textId="4F5E7128" w:rsidR="003D40E2" w:rsidRPr="0095089D" w:rsidRDefault="0095089D" w:rsidP="0095089D">
      <w:pPr>
        <w:rPr>
          <w:sz w:val="12"/>
          <w:szCs w:val="12"/>
        </w:rPr>
      </w:pPr>
      <w:r>
        <w:t xml:space="preserve">1/ </w:t>
      </w:r>
      <w:r w:rsidRPr="0095089D">
        <w:rPr>
          <w:sz w:val="12"/>
          <w:szCs w:val="12"/>
        </w:rPr>
        <w:t>Los Objetivos se encuentran redactados al nivel propósito de acuerdo a la Metodología del Marco Lógico,</w:t>
      </w:r>
      <w:r>
        <w:rPr>
          <w:sz w:val="12"/>
          <w:szCs w:val="12"/>
        </w:rPr>
        <w:t xml:space="preserve"> </w:t>
      </w:r>
      <w:r w:rsidRPr="0095089D">
        <w:rPr>
          <w:sz w:val="12"/>
          <w:szCs w:val="12"/>
        </w:rPr>
        <w:t>las estrategias y meta</w:t>
      </w:r>
      <w:r>
        <w:rPr>
          <w:sz w:val="12"/>
          <w:szCs w:val="12"/>
        </w:rPr>
        <w:t>s</w:t>
      </w:r>
      <w:r w:rsidRPr="0095089D">
        <w:rPr>
          <w:sz w:val="12"/>
          <w:szCs w:val="12"/>
        </w:rPr>
        <w:t xml:space="preserve"> se pueden consultar en las Matrices de Indicadores para Resultados y las Fichas</w:t>
      </w:r>
      <w:r>
        <w:rPr>
          <w:sz w:val="12"/>
          <w:szCs w:val="12"/>
        </w:rPr>
        <w:t xml:space="preserve"> </w:t>
      </w:r>
      <w:r w:rsidRPr="0095089D">
        <w:rPr>
          <w:sz w:val="12"/>
          <w:szCs w:val="12"/>
        </w:rPr>
        <w:t xml:space="preserve">Técnicas de Indicadores anexas.  </w:t>
      </w:r>
    </w:p>
    <w:p w14:paraId="69B01193" w14:textId="58BF3511" w:rsidR="000F1B6B" w:rsidRDefault="000F1B6B">
      <w:pPr>
        <w:spacing w:after="160" w:line="259" w:lineRule="auto"/>
        <w:jc w:val="left"/>
        <w:rPr>
          <w:rFonts w:eastAsiaTheme="majorEastAsia" w:cs="Arial"/>
          <w:b/>
          <w:szCs w:val="26"/>
        </w:rPr>
      </w:pPr>
    </w:p>
    <w:p w14:paraId="3A63C4D6" w14:textId="77777777" w:rsidR="00382F53" w:rsidRDefault="00382F53">
      <w:pPr>
        <w:spacing w:after="160" w:line="259" w:lineRule="auto"/>
        <w:jc w:val="left"/>
        <w:rPr>
          <w:rFonts w:eastAsiaTheme="majorEastAsia" w:cs="Arial"/>
          <w:b/>
          <w:szCs w:val="26"/>
        </w:rPr>
      </w:pPr>
    </w:p>
    <w:p w14:paraId="58A16316" w14:textId="4605DB04" w:rsidR="003D40E2" w:rsidRPr="00516AFF" w:rsidRDefault="003D40E2" w:rsidP="003D40E2">
      <w:pPr>
        <w:pStyle w:val="Ttulo2"/>
        <w:rPr>
          <w:rFonts w:cs="Arial"/>
        </w:rPr>
      </w:pPr>
      <w:r w:rsidRPr="00516AFF">
        <w:rPr>
          <w:rFonts w:cs="Arial"/>
        </w:rPr>
        <w:t>2.II. Proyecciones de finanzas públicas, considerando las premisas empleadas en los Criterios Generales de Política Económica.</w:t>
      </w:r>
    </w:p>
    <w:p w14:paraId="4263278C" w14:textId="77777777" w:rsidR="003D40E2" w:rsidRPr="00516AFF" w:rsidRDefault="003D40E2" w:rsidP="003D40E2">
      <w:pPr>
        <w:rPr>
          <w:rFonts w:cs="Arial"/>
        </w:rPr>
      </w:pPr>
    </w:p>
    <w:p w14:paraId="70F0F68E" w14:textId="77777777" w:rsidR="003D40E2" w:rsidRPr="00516AFF" w:rsidRDefault="003D40E2" w:rsidP="003D40E2">
      <w:pPr>
        <w:rPr>
          <w:rFonts w:cs="Arial"/>
          <w:b/>
          <w:bCs/>
        </w:rPr>
      </w:pPr>
      <w:r w:rsidRPr="00516AFF">
        <w:rPr>
          <w:rFonts w:cs="Arial"/>
          <w:b/>
          <w:bCs/>
        </w:rPr>
        <w:t xml:space="preserve">Metodología para la proyección de </w:t>
      </w:r>
      <w:r>
        <w:rPr>
          <w:rFonts w:cs="Arial"/>
          <w:b/>
          <w:bCs/>
        </w:rPr>
        <w:t>I</w:t>
      </w:r>
      <w:r w:rsidRPr="00516AFF">
        <w:rPr>
          <w:rFonts w:cs="Arial"/>
          <w:b/>
          <w:bCs/>
        </w:rPr>
        <w:t xml:space="preserve">ngresos y </w:t>
      </w:r>
      <w:r>
        <w:rPr>
          <w:rFonts w:cs="Arial"/>
          <w:b/>
          <w:bCs/>
        </w:rPr>
        <w:t>E</w:t>
      </w:r>
      <w:r w:rsidRPr="00516AFF">
        <w:rPr>
          <w:rFonts w:cs="Arial"/>
          <w:b/>
          <w:bCs/>
        </w:rPr>
        <w:t>gresos</w:t>
      </w:r>
    </w:p>
    <w:p w14:paraId="672F977A" w14:textId="77777777" w:rsidR="003D40E2" w:rsidRPr="00516AFF" w:rsidRDefault="003D40E2" w:rsidP="003D40E2">
      <w:pPr>
        <w:rPr>
          <w:rFonts w:cs="Arial"/>
          <w:b/>
          <w:bCs/>
        </w:rPr>
      </w:pPr>
    </w:p>
    <w:p w14:paraId="27D300C2" w14:textId="334F548B" w:rsidR="003D40E2" w:rsidRPr="00516AFF" w:rsidRDefault="003D40E2" w:rsidP="003D40E2">
      <w:pPr>
        <w:rPr>
          <w:rFonts w:cs="Arial"/>
        </w:rPr>
      </w:pPr>
      <w:r w:rsidRPr="00516AFF">
        <w:rPr>
          <w:rFonts w:cs="Arial"/>
        </w:rPr>
        <w:t xml:space="preserve">La metodología de proyección de ingresos y egresos del </w:t>
      </w:r>
      <w:r w:rsidR="00FE0466">
        <w:rPr>
          <w:rFonts w:cs="Arial"/>
        </w:rPr>
        <w:t>E</w:t>
      </w:r>
      <w:r w:rsidRPr="00516AFF">
        <w:rPr>
          <w:rFonts w:cs="Arial"/>
        </w:rPr>
        <w:t xml:space="preserve">stado de Colima, de conformidad con el Artículo 5 fracción II de la Ley de Disciplina Financiera de las Entidades Federativas y los Municipios, con fundamento en los </w:t>
      </w:r>
      <w:r w:rsidR="0013127D">
        <w:rPr>
          <w:rFonts w:cs="Arial"/>
        </w:rPr>
        <w:t>Pre-</w:t>
      </w:r>
      <w:r w:rsidRPr="00516AFF">
        <w:rPr>
          <w:rFonts w:cs="Arial"/>
        </w:rPr>
        <w:t>Criterios Generales de Política Económica 202</w:t>
      </w:r>
      <w:r w:rsidR="007C24B4">
        <w:rPr>
          <w:rFonts w:cs="Arial"/>
        </w:rPr>
        <w:t>5</w:t>
      </w:r>
      <w:r w:rsidRPr="00516AFF">
        <w:rPr>
          <w:rFonts w:cs="Arial"/>
        </w:rPr>
        <w:t>.</w:t>
      </w:r>
    </w:p>
    <w:p w14:paraId="64D0D95B" w14:textId="77777777" w:rsidR="003D40E2" w:rsidRPr="00516AFF" w:rsidRDefault="003D40E2" w:rsidP="003D40E2">
      <w:pPr>
        <w:rPr>
          <w:rFonts w:cs="Arial"/>
        </w:rPr>
      </w:pPr>
    </w:p>
    <w:p w14:paraId="3B2F71D1" w14:textId="77777777" w:rsidR="003D40E2" w:rsidRPr="00516AFF" w:rsidRDefault="003D40E2" w:rsidP="003D40E2">
      <w:pPr>
        <w:rPr>
          <w:rFonts w:cs="Arial"/>
        </w:rPr>
      </w:pPr>
      <w:r w:rsidRPr="00516AFF">
        <w:rPr>
          <w:rFonts w:cs="Arial"/>
        </w:rPr>
        <w:t>La proyección de ingresos y egresos se realiza con base en los siguientes lineamientos generales:</w:t>
      </w:r>
    </w:p>
    <w:p w14:paraId="262E3F23" w14:textId="77777777" w:rsidR="003D40E2" w:rsidRPr="00516AFF" w:rsidRDefault="003D40E2" w:rsidP="003D40E2">
      <w:pPr>
        <w:rPr>
          <w:rFonts w:cs="Arial"/>
        </w:rPr>
      </w:pPr>
    </w:p>
    <w:p w14:paraId="5738DDE2" w14:textId="4FC91A75" w:rsidR="003D40E2" w:rsidRPr="00516AFF" w:rsidRDefault="003D40E2" w:rsidP="003D40E2">
      <w:pPr>
        <w:pStyle w:val="Prrafodelista"/>
        <w:numPr>
          <w:ilvl w:val="0"/>
          <w:numId w:val="16"/>
        </w:numPr>
        <w:rPr>
          <w:rFonts w:cs="Arial"/>
        </w:rPr>
      </w:pPr>
      <w:r w:rsidRPr="00516AFF">
        <w:rPr>
          <w:rFonts w:cs="Arial"/>
        </w:rPr>
        <w:t>Para 202</w:t>
      </w:r>
      <w:r w:rsidR="000F1B6B">
        <w:rPr>
          <w:rFonts w:cs="Arial"/>
        </w:rPr>
        <w:t>5</w:t>
      </w:r>
      <w:r w:rsidRPr="00516AFF">
        <w:rPr>
          <w:rFonts w:cs="Arial"/>
        </w:rPr>
        <w:t xml:space="preserve"> se estima incrementar la recaudación de impuestos en un porcentaje</w:t>
      </w:r>
      <w:r w:rsidR="00CF7790">
        <w:rPr>
          <w:rFonts w:cs="Arial"/>
        </w:rPr>
        <w:t xml:space="preserve"> real </w:t>
      </w:r>
      <w:r w:rsidRPr="00516AFF">
        <w:rPr>
          <w:rFonts w:cs="Arial"/>
        </w:rPr>
        <w:t xml:space="preserve">similar al crecimiento del Producto Interno Bruto Nacional.  </w:t>
      </w:r>
    </w:p>
    <w:p w14:paraId="3BA4FB79" w14:textId="57566926" w:rsidR="003D40E2" w:rsidRPr="00516AFF" w:rsidRDefault="003D40E2" w:rsidP="003D40E2">
      <w:pPr>
        <w:pStyle w:val="Prrafodelista"/>
        <w:numPr>
          <w:ilvl w:val="0"/>
          <w:numId w:val="16"/>
        </w:numPr>
        <w:rPr>
          <w:rFonts w:cs="Arial"/>
        </w:rPr>
      </w:pPr>
      <w:r w:rsidRPr="00516AFF">
        <w:rPr>
          <w:rFonts w:cs="Arial"/>
        </w:rPr>
        <w:t xml:space="preserve">Para el cálculo de las proyecciones de ingresos se consideró el crecimiento puntual del PIB y así como la inflación estimada en los </w:t>
      </w:r>
      <w:r w:rsidR="0013127D">
        <w:rPr>
          <w:rFonts w:cs="Arial"/>
        </w:rPr>
        <w:t>Pre-</w:t>
      </w:r>
      <w:r w:rsidRPr="00516AFF">
        <w:rPr>
          <w:rFonts w:cs="Arial"/>
        </w:rPr>
        <w:t>C</w:t>
      </w:r>
      <w:r>
        <w:rPr>
          <w:rFonts w:cs="Arial"/>
        </w:rPr>
        <w:t xml:space="preserve">riterios </w:t>
      </w:r>
      <w:r w:rsidRPr="00516AFF">
        <w:rPr>
          <w:rFonts w:cs="Arial"/>
        </w:rPr>
        <w:t>G</w:t>
      </w:r>
      <w:r>
        <w:rPr>
          <w:rFonts w:cs="Arial"/>
        </w:rPr>
        <w:t xml:space="preserve">enerales de </w:t>
      </w:r>
      <w:r w:rsidRPr="00516AFF">
        <w:rPr>
          <w:rFonts w:cs="Arial"/>
        </w:rPr>
        <w:t>P</w:t>
      </w:r>
      <w:r>
        <w:rPr>
          <w:rFonts w:cs="Arial"/>
        </w:rPr>
        <w:t xml:space="preserve">olítica </w:t>
      </w:r>
      <w:r w:rsidRPr="00516AFF">
        <w:rPr>
          <w:rFonts w:cs="Arial"/>
        </w:rPr>
        <w:t>E</w:t>
      </w:r>
      <w:r>
        <w:rPr>
          <w:rFonts w:cs="Arial"/>
        </w:rPr>
        <w:t xml:space="preserve">conómica </w:t>
      </w:r>
      <w:r w:rsidRPr="00516AFF">
        <w:rPr>
          <w:rFonts w:cs="Arial"/>
        </w:rPr>
        <w:t>202</w:t>
      </w:r>
      <w:r w:rsidR="000F1B6B">
        <w:rPr>
          <w:rFonts w:cs="Arial"/>
        </w:rPr>
        <w:t>5</w:t>
      </w:r>
      <w:r>
        <w:rPr>
          <w:rFonts w:cs="Arial"/>
        </w:rPr>
        <w:t>.</w:t>
      </w:r>
    </w:p>
    <w:p w14:paraId="435018AA" w14:textId="21D5553D" w:rsidR="003D40E2" w:rsidRPr="00516AFF" w:rsidRDefault="003D40E2" w:rsidP="003D40E2">
      <w:pPr>
        <w:pStyle w:val="Prrafodelista"/>
        <w:numPr>
          <w:ilvl w:val="0"/>
          <w:numId w:val="16"/>
        </w:numPr>
        <w:rPr>
          <w:rFonts w:cs="Arial"/>
        </w:rPr>
      </w:pPr>
      <w:r w:rsidRPr="00516AFF">
        <w:rPr>
          <w:rFonts w:cs="Arial"/>
        </w:rPr>
        <w:t xml:space="preserve">El </w:t>
      </w:r>
      <w:r>
        <w:rPr>
          <w:rFonts w:cs="Arial"/>
        </w:rPr>
        <w:t>G</w:t>
      </w:r>
      <w:r w:rsidRPr="00516AFF">
        <w:rPr>
          <w:rFonts w:cs="Arial"/>
        </w:rPr>
        <w:t xml:space="preserve">asto </w:t>
      </w:r>
      <w:r>
        <w:rPr>
          <w:rFonts w:cs="Arial"/>
        </w:rPr>
        <w:t>N</w:t>
      </w:r>
      <w:r w:rsidRPr="00516AFF">
        <w:rPr>
          <w:rFonts w:cs="Arial"/>
        </w:rPr>
        <w:t xml:space="preserve">o </w:t>
      </w:r>
      <w:r>
        <w:rPr>
          <w:rFonts w:cs="Arial"/>
        </w:rPr>
        <w:t>E</w:t>
      </w:r>
      <w:r w:rsidR="00FE0466">
        <w:rPr>
          <w:rFonts w:cs="Arial"/>
        </w:rPr>
        <w:t xml:space="preserve">tiquetado en esta ocasión solo incrementa en </w:t>
      </w:r>
      <w:r w:rsidRPr="00516AFF">
        <w:rPr>
          <w:rFonts w:cs="Arial"/>
        </w:rPr>
        <w:t xml:space="preserve">términos del </w:t>
      </w:r>
      <w:r w:rsidR="00FE0466">
        <w:rPr>
          <w:rFonts w:cs="Arial"/>
        </w:rPr>
        <w:t>promedio histórico de recepción de recursos federales</w:t>
      </w:r>
      <w:r w:rsidRPr="00516AFF">
        <w:rPr>
          <w:rFonts w:cs="Arial"/>
        </w:rPr>
        <w:t xml:space="preserve">. </w:t>
      </w:r>
    </w:p>
    <w:p w14:paraId="72CF0513" w14:textId="09633107" w:rsidR="003D40E2" w:rsidRPr="00516AFF" w:rsidRDefault="003D40E2" w:rsidP="003D40E2">
      <w:pPr>
        <w:pStyle w:val="Prrafodelista"/>
        <w:numPr>
          <w:ilvl w:val="0"/>
          <w:numId w:val="16"/>
        </w:numPr>
        <w:rPr>
          <w:rFonts w:cs="Arial"/>
        </w:rPr>
      </w:pPr>
      <w:r w:rsidRPr="00516AFF">
        <w:rPr>
          <w:rFonts w:cs="Arial"/>
        </w:rPr>
        <w:t>Los ahorros y economías presupuestarias que se puedan generar durante el Ejercicio Fiscal 202</w:t>
      </w:r>
      <w:r w:rsidR="000F1B6B">
        <w:rPr>
          <w:rFonts w:cs="Arial"/>
        </w:rPr>
        <w:t>5</w:t>
      </w:r>
      <w:r w:rsidRPr="00516AFF">
        <w:rPr>
          <w:rFonts w:cs="Arial"/>
        </w:rPr>
        <w:t xml:space="preserve"> serán destinados a las prioridades del Gobierno en términos de la Ley de Disciplina Financiera de las Entidades Federativas y los Municipios. </w:t>
      </w:r>
    </w:p>
    <w:p w14:paraId="0B02A982" w14:textId="208322A8" w:rsidR="003D40E2" w:rsidRDefault="003D40E2" w:rsidP="003D40E2">
      <w:pPr>
        <w:pStyle w:val="Prrafodelista"/>
        <w:numPr>
          <w:ilvl w:val="0"/>
          <w:numId w:val="16"/>
        </w:numPr>
        <w:rPr>
          <w:rFonts w:cs="Arial"/>
        </w:rPr>
      </w:pPr>
      <w:r w:rsidRPr="00516AFF">
        <w:rPr>
          <w:rFonts w:cs="Arial"/>
        </w:rPr>
        <w:t>No se considera endeudamiento de largo plazo, el endeudamiento de corto plazo lo hace en los términos señalados por la Ley</w:t>
      </w:r>
      <w:r>
        <w:rPr>
          <w:rFonts w:cs="Arial"/>
        </w:rPr>
        <w:t xml:space="preserve"> </w:t>
      </w:r>
      <w:r w:rsidRPr="00516AFF">
        <w:rPr>
          <w:rFonts w:cs="Arial"/>
        </w:rPr>
        <w:t xml:space="preserve">de Disciplina Financiera de las Entidades Federativas y los Municipios y en los casos de insuficiencia de liquidez. </w:t>
      </w:r>
    </w:p>
    <w:p w14:paraId="61D5437F" w14:textId="77777777" w:rsidR="00382F53" w:rsidRPr="00516AFF" w:rsidRDefault="00382F53" w:rsidP="00382F53">
      <w:pPr>
        <w:pStyle w:val="Prrafodelista"/>
        <w:rPr>
          <w:rFonts w:cs="Arial"/>
        </w:rPr>
      </w:pPr>
    </w:p>
    <w:p w14:paraId="71769BD1" w14:textId="77777777" w:rsidR="003D40E2" w:rsidRPr="00516AFF" w:rsidRDefault="003D40E2" w:rsidP="003D40E2">
      <w:pPr>
        <w:pStyle w:val="Ttulo3"/>
        <w:rPr>
          <w:rFonts w:cs="Arial"/>
        </w:rPr>
      </w:pPr>
      <w:r w:rsidRPr="00516AFF">
        <w:rPr>
          <w:rFonts w:cs="Arial"/>
        </w:rPr>
        <w:lastRenderedPageBreak/>
        <w:t>a). Formato 7a) Proyecciones de Ingresos - LDF</w:t>
      </w:r>
    </w:p>
    <w:p w14:paraId="6E448E65" w14:textId="62234C05" w:rsidR="003D40E2" w:rsidRDefault="003D40E2" w:rsidP="003D40E2">
      <w:pPr>
        <w:rPr>
          <w:rFonts w:cs="Arial"/>
          <w:bCs/>
        </w:rPr>
      </w:pPr>
    </w:p>
    <w:tbl>
      <w:tblPr>
        <w:tblW w:w="0" w:type="auto"/>
        <w:tblLayout w:type="fixed"/>
        <w:tblCellMar>
          <w:left w:w="28" w:type="dxa"/>
          <w:right w:w="28" w:type="dxa"/>
        </w:tblCellMar>
        <w:tblLook w:val="04A0" w:firstRow="1" w:lastRow="0" w:firstColumn="1" w:lastColumn="0" w:noHBand="0" w:noVBand="1"/>
      </w:tblPr>
      <w:tblGrid>
        <w:gridCol w:w="2323"/>
        <w:gridCol w:w="1085"/>
        <w:gridCol w:w="1084"/>
        <w:gridCol w:w="1084"/>
        <w:gridCol w:w="1084"/>
        <w:gridCol w:w="1084"/>
        <w:gridCol w:w="1084"/>
      </w:tblGrid>
      <w:tr w:rsidR="009E37EE" w:rsidRPr="009E37EE" w14:paraId="74FD5B34" w14:textId="77777777" w:rsidTr="009E37EE">
        <w:trPr>
          <w:trHeight w:val="20"/>
        </w:trPr>
        <w:tc>
          <w:tcPr>
            <w:tcW w:w="8828" w:type="dxa"/>
            <w:gridSpan w:val="7"/>
            <w:tcBorders>
              <w:top w:val="single" w:sz="4" w:space="0" w:color="auto"/>
              <w:left w:val="single" w:sz="4" w:space="0" w:color="auto"/>
              <w:bottom w:val="nil"/>
              <w:right w:val="single" w:sz="4" w:space="0" w:color="000000"/>
            </w:tcBorders>
            <w:shd w:val="clear" w:color="DDDDDD" w:fill="D9D9D9"/>
            <w:noWrap/>
            <w:vAlign w:val="center"/>
            <w:hideMark/>
          </w:tcPr>
          <w:p w14:paraId="3925AA27" w14:textId="77777777" w:rsidR="009E37EE" w:rsidRPr="009E37EE" w:rsidRDefault="009E37EE" w:rsidP="009E37EE">
            <w:pPr>
              <w:jc w:val="center"/>
              <w:rPr>
                <w:rFonts w:eastAsia="Times New Roman" w:cs="Arial"/>
                <w:b/>
                <w:bCs/>
                <w:color w:val="000000"/>
                <w:sz w:val="14"/>
                <w:szCs w:val="14"/>
              </w:rPr>
            </w:pPr>
            <w:r w:rsidRPr="009E37EE">
              <w:rPr>
                <w:rFonts w:eastAsia="Times New Roman" w:cs="Arial"/>
                <w:b/>
                <w:bCs/>
                <w:color w:val="000000"/>
                <w:sz w:val="14"/>
                <w:szCs w:val="14"/>
              </w:rPr>
              <w:t xml:space="preserve">GOBIERNO DEL ESTADO DE COLIMA </w:t>
            </w:r>
          </w:p>
        </w:tc>
      </w:tr>
      <w:tr w:rsidR="009E37EE" w:rsidRPr="009E37EE" w14:paraId="51ED32B5" w14:textId="77777777" w:rsidTr="009E37EE">
        <w:trPr>
          <w:trHeight w:val="20"/>
        </w:trPr>
        <w:tc>
          <w:tcPr>
            <w:tcW w:w="8828" w:type="dxa"/>
            <w:gridSpan w:val="7"/>
            <w:tcBorders>
              <w:top w:val="nil"/>
              <w:left w:val="single" w:sz="4" w:space="0" w:color="auto"/>
              <w:bottom w:val="nil"/>
              <w:right w:val="single" w:sz="4" w:space="0" w:color="000000"/>
            </w:tcBorders>
            <w:shd w:val="clear" w:color="DDDDDD" w:fill="D9D9D9"/>
            <w:noWrap/>
            <w:vAlign w:val="center"/>
            <w:hideMark/>
          </w:tcPr>
          <w:p w14:paraId="36A0CD35" w14:textId="77777777" w:rsidR="009E37EE" w:rsidRPr="009E37EE" w:rsidRDefault="009E37EE" w:rsidP="009E37EE">
            <w:pPr>
              <w:jc w:val="center"/>
              <w:rPr>
                <w:rFonts w:eastAsia="Times New Roman" w:cs="Arial"/>
                <w:b/>
                <w:bCs/>
                <w:color w:val="000000"/>
                <w:sz w:val="14"/>
                <w:szCs w:val="14"/>
              </w:rPr>
            </w:pPr>
            <w:r w:rsidRPr="009E37EE">
              <w:rPr>
                <w:rFonts w:eastAsia="Times New Roman" w:cs="Arial"/>
                <w:b/>
                <w:bCs/>
                <w:color w:val="000000"/>
                <w:sz w:val="14"/>
                <w:szCs w:val="14"/>
              </w:rPr>
              <w:t>Proyecciones de Ingresos - LDF</w:t>
            </w:r>
          </w:p>
        </w:tc>
      </w:tr>
      <w:tr w:rsidR="009E37EE" w:rsidRPr="009E37EE" w14:paraId="2A7CC516" w14:textId="77777777" w:rsidTr="009E37EE">
        <w:trPr>
          <w:trHeight w:val="20"/>
        </w:trPr>
        <w:tc>
          <w:tcPr>
            <w:tcW w:w="8828" w:type="dxa"/>
            <w:gridSpan w:val="7"/>
            <w:tcBorders>
              <w:top w:val="nil"/>
              <w:left w:val="single" w:sz="4" w:space="0" w:color="auto"/>
              <w:bottom w:val="nil"/>
              <w:right w:val="single" w:sz="4" w:space="0" w:color="000000"/>
            </w:tcBorders>
            <w:shd w:val="clear" w:color="DDDDDD" w:fill="D9D9D9"/>
            <w:noWrap/>
            <w:vAlign w:val="center"/>
            <w:hideMark/>
          </w:tcPr>
          <w:p w14:paraId="13BF3C66" w14:textId="77777777" w:rsidR="009E37EE" w:rsidRPr="009E37EE" w:rsidRDefault="009E37EE" w:rsidP="009E37EE">
            <w:pPr>
              <w:jc w:val="center"/>
              <w:rPr>
                <w:rFonts w:eastAsia="Times New Roman" w:cs="Arial"/>
                <w:b/>
                <w:bCs/>
                <w:color w:val="000000"/>
                <w:sz w:val="14"/>
                <w:szCs w:val="14"/>
              </w:rPr>
            </w:pPr>
            <w:r w:rsidRPr="009E37EE">
              <w:rPr>
                <w:rFonts w:eastAsia="Times New Roman" w:cs="Arial"/>
                <w:b/>
                <w:bCs/>
                <w:color w:val="000000"/>
                <w:sz w:val="14"/>
                <w:szCs w:val="14"/>
              </w:rPr>
              <w:t>(PESOS)</w:t>
            </w:r>
          </w:p>
        </w:tc>
      </w:tr>
      <w:tr w:rsidR="009E37EE" w:rsidRPr="009E37EE" w14:paraId="46AB60AF" w14:textId="77777777" w:rsidTr="009E37EE">
        <w:trPr>
          <w:trHeight w:val="20"/>
        </w:trPr>
        <w:tc>
          <w:tcPr>
            <w:tcW w:w="8828" w:type="dxa"/>
            <w:gridSpan w:val="7"/>
            <w:tcBorders>
              <w:top w:val="nil"/>
              <w:left w:val="single" w:sz="4" w:space="0" w:color="auto"/>
              <w:bottom w:val="single" w:sz="4" w:space="0" w:color="auto"/>
              <w:right w:val="single" w:sz="4" w:space="0" w:color="000000"/>
            </w:tcBorders>
            <w:shd w:val="clear" w:color="DDDDDD" w:fill="D9D9D9"/>
            <w:noWrap/>
            <w:vAlign w:val="center"/>
            <w:hideMark/>
          </w:tcPr>
          <w:p w14:paraId="0FA1A108" w14:textId="77777777" w:rsidR="009E37EE" w:rsidRPr="009E37EE" w:rsidRDefault="009E37EE" w:rsidP="009E37EE">
            <w:pPr>
              <w:jc w:val="center"/>
              <w:rPr>
                <w:rFonts w:eastAsia="Times New Roman" w:cs="Arial"/>
                <w:b/>
                <w:bCs/>
                <w:color w:val="000000"/>
                <w:sz w:val="14"/>
                <w:szCs w:val="14"/>
              </w:rPr>
            </w:pPr>
            <w:r w:rsidRPr="009E37EE">
              <w:rPr>
                <w:rFonts w:eastAsia="Times New Roman" w:cs="Arial"/>
                <w:b/>
                <w:bCs/>
                <w:color w:val="000000"/>
                <w:sz w:val="14"/>
                <w:szCs w:val="14"/>
              </w:rPr>
              <w:t xml:space="preserve">(CIFRAS NOMINALES) </w:t>
            </w:r>
          </w:p>
        </w:tc>
      </w:tr>
      <w:tr w:rsidR="009E37EE" w:rsidRPr="009E37EE" w14:paraId="79B0A455" w14:textId="77777777" w:rsidTr="009E37EE">
        <w:trPr>
          <w:trHeight w:val="20"/>
        </w:trPr>
        <w:tc>
          <w:tcPr>
            <w:tcW w:w="2323" w:type="dxa"/>
            <w:tcBorders>
              <w:top w:val="nil"/>
              <w:left w:val="single" w:sz="4" w:space="0" w:color="auto"/>
              <w:bottom w:val="nil"/>
              <w:right w:val="nil"/>
            </w:tcBorders>
            <w:shd w:val="clear" w:color="DDDDDD" w:fill="D9D9D9"/>
            <w:noWrap/>
            <w:vAlign w:val="center"/>
            <w:hideMark/>
          </w:tcPr>
          <w:p w14:paraId="37A8FCEE" w14:textId="77777777" w:rsidR="009E37EE" w:rsidRPr="009E37EE" w:rsidRDefault="009E37EE" w:rsidP="009E37EE">
            <w:pPr>
              <w:jc w:val="center"/>
              <w:rPr>
                <w:rFonts w:eastAsia="Times New Roman" w:cs="Arial"/>
                <w:b/>
                <w:bCs/>
                <w:color w:val="000000"/>
                <w:sz w:val="14"/>
                <w:szCs w:val="14"/>
              </w:rPr>
            </w:pPr>
            <w:r w:rsidRPr="009E37EE">
              <w:rPr>
                <w:rFonts w:eastAsia="Times New Roman" w:cs="Arial"/>
                <w:b/>
                <w:bCs/>
                <w:color w:val="000000"/>
                <w:sz w:val="14"/>
                <w:szCs w:val="14"/>
              </w:rPr>
              <w:t xml:space="preserve">Concepto </w:t>
            </w:r>
          </w:p>
        </w:tc>
        <w:tc>
          <w:tcPr>
            <w:tcW w:w="1085" w:type="dxa"/>
            <w:tcBorders>
              <w:top w:val="nil"/>
              <w:left w:val="single" w:sz="4" w:space="0" w:color="auto"/>
              <w:bottom w:val="nil"/>
              <w:right w:val="single" w:sz="4" w:space="0" w:color="auto"/>
            </w:tcBorders>
            <w:shd w:val="clear" w:color="DDDDDD" w:fill="D9D9D9"/>
            <w:vAlign w:val="center"/>
            <w:hideMark/>
          </w:tcPr>
          <w:p w14:paraId="68FC0AC1" w14:textId="77777777" w:rsidR="009E37EE" w:rsidRPr="009E37EE" w:rsidRDefault="009E37EE" w:rsidP="009E37EE">
            <w:pPr>
              <w:jc w:val="center"/>
              <w:rPr>
                <w:rFonts w:eastAsia="Times New Roman" w:cs="Arial"/>
                <w:b/>
                <w:bCs/>
                <w:color w:val="000000"/>
                <w:sz w:val="14"/>
                <w:szCs w:val="14"/>
              </w:rPr>
            </w:pPr>
            <w:r w:rsidRPr="009E37EE">
              <w:rPr>
                <w:rFonts w:eastAsia="Times New Roman" w:cs="Arial"/>
                <w:b/>
                <w:bCs/>
                <w:color w:val="000000"/>
                <w:sz w:val="14"/>
                <w:szCs w:val="14"/>
              </w:rPr>
              <w:t>2025</w:t>
            </w:r>
          </w:p>
        </w:tc>
        <w:tc>
          <w:tcPr>
            <w:tcW w:w="1084" w:type="dxa"/>
            <w:tcBorders>
              <w:top w:val="nil"/>
              <w:left w:val="nil"/>
              <w:bottom w:val="nil"/>
              <w:right w:val="single" w:sz="4" w:space="0" w:color="auto"/>
            </w:tcBorders>
            <w:shd w:val="clear" w:color="DDDDDD" w:fill="D9D9D9"/>
            <w:vAlign w:val="center"/>
            <w:hideMark/>
          </w:tcPr>
          <w:p w14:paraId="28357537" w14:textId="77777777" w:rsidR="009E37EE" w:rsidRPr="009E37EE" w:rsidRDefault="009E37EE" w:rsidP="009E37EE">
            <w:pPr>
              <w:jc w:val="center"/>
              <w:rPr>
                <w:rFonts w:eastAsia="Times New Roman" w:cs="Arial"/>
                <w:b/>
                <w:bCs/>
                <w:color w:val="000000"/>
                <w:sz w:val="14"/>
                <w:szCs w:val="14"/>
              </w:rPr>
            </w:pPr>
            <w:r w:rsidRPr="009E37EE">
              <w:rPr>
                <w:rFonts w:eastAsia="Times New Roman" w:cs="Arial"/>
                <w:b/>
                <w:bCs/>
                <w:color w:val="000000"/>
                <w:sz w:val="14"/>
                <w:szCs w:val="14"/>
              </w:rPr>
              <w:t>2026</w:t>
            </w:r>
          </w:p>
        </w:tc>
        <w:tc>
          <w:tcPr>
            <w:tcW w:w="1084" w:type="dxa"/>
            <w:tcBorders>
              <w:top w:val="nil"/>
              <w:left w:val="nil"/>
              <w:bottom w:val="nil"/>
              <w:right w:val="single" w:sz="4" w:space="0" w:color="auto"/>
            </w:tcBorders>
            <w:shd w:val="clear" w:color="DDDDDD" w:fill="D9D9D9"/>
            <w:vAlign w:val="center"/>
            <w:hideMark/>
          </w:tcPr>
          <w:p w14:paraId="25DE966C" w14:textId="77777777" w:rsidR="009E37EE" w:rsidRPr="009E37EE" w:rsidRDefault="009E37EE" w:rsidP="009E37EE">
            <w:pPr>
              <w:jc w:val="center"/>
              <w:rPr>
                <w:rFonts w:eastAsia="Times New Roman" w:cs="Arial"/>
                <w:b/>
                <w:bCs/>
                <w:color w:val="000000"/>
                <w:sz w:val="14"/>
                <w:szCs w:val="14"/>
              </w:rPr>
            </w:pPr>
            <w:r w:rsidRPr="009E37EE">
              <w:rPr>
                <w:rFonts w:eastAsia="Times New Roman" w:cs="Arial"/>
                <w:b/>
                <w:bCs/>
                <w:color w:val="000000"/>
                <w:sz w:val="14"/>
                <w:szCs w:val="14"/>
              </w:rPr>
              <w:t>2027</w:t>
            </w:r>
          </w:p>
        </w:tc>
        <w:tc>
          <w:tcPr>
            <w:tcW w:w="1084" w:type="dxa"/>
            <w:tcBorders>
              <w:top w:val="nil"/>
              <w:left w:val="nil"/>
              <w:bottom w:val="nil"/>
              <w:right w:val="single" w:sz="4" w:space="0" w:color="auto"/>
            </w:tcBorders>
            <w:shd w:val="clear" w:color="DDDDDD" w:fill="D9D9D9"/>
            <w:vAlign w:val="center"/>
            <w:hideMark/>
          </w:tcPr>
          <w:p w14:paraId="673D8619" w14:textId="77777777" w:rsidR="009E37EE" w:rsidRPr="009E37EE" w:rsidRDefault="009E37EE" w:rsidP="009E37EE">
            <w:pPr>
              <w:jc w:val="center"/>
              <w:rPr>
                <w:rFonts w:eastAsia="Times New Roman" w:cs="Arial"/>
                <w:b/>
                <w:bCs/>
                <w:color w:val="000000"/>
                <w:sz w:val="14"/>
                <w:szCs w:val="14"/>
              </w:rPr>
            </w:pPr>
            <w:r w:rsidRPr="009E37EE">
              <w:rPr>
                <w:rFonts w:eastAsia="Times New Roman" w:cs="Arial"/>
                <w:b/>
                <w:bCs/>
                <w:color w:val="000000"/>
                <w:sz w:val="14"/>
                <w:szCs w:val="14"/>
              </w:rPr>
              <w:t>2028</w:t>
            </w:r>
          </w:p>
        </w:tc>
        <w:tc>
          <w:tcPr>
            <w:tcW w:w="1084" w:type="dxa"/>
            <w:tcBorders>
              <w:top w:val="nil"/>
              <w:left w:val="nil"/>
              <w:bottom w:val="nil"/>
              <w:right w:val="single" w:sz="4" w:space="0" w:color="auto"/>
            </w:tcBorders>
            <w:shd w:val="clear" w:color="DDDDDD" w:fill="D9D9D9"/>
            <w:vAlign w:val="center"/>
            <w:hideMark/>
          </w:tcPr>
          <w:p w14:paraId="3E4E5741" w14:textId="77777777" w:rsidR="009E37EE" w:rsidRPr="009E37EE" w:rsidRDefault="009E37EE" w:rsidP="009E37EE">
            <w:pPr>
              <w:jc w:val="center"/>
              <w:rPr>
                <w:rFonts w:eastAsia="Times New Roman" w:cs="Arial"/>
                <w:b/>
                <w:bCs/>
                <w:color w:val="000000"/>
                <w:sz w:val="14"/>
                <w:szCs w:val="14"/>
              </w:rPr>
            </w:pPr>
            <w:r w:rsidRPr="009E37EE">
              <w:rPr>
                <w:rFonts w:eastAsia="Times New Roman" w:cs="Arial"/>
                <w:b/>
                <w:bCs/>
                <w:color w:val="000000"/>
                <w:sz w:val="14"/>
                <w:szCs w:val="14"/>
              </w:rPr>
              <w:t>2029</w:t>
            </w:r>
          </w:p>
        </w:tc>
        <w:tc>
          <w:tcPr>
            <w:tcW w:w="1084" w:type="dxa"/>
            <w:tcBorders>
              <w:top w:val="nil"/>
              <w:left w:val="nil"/>
              <w:bottom w:val="nil"/>
              <w:right w:val="single" w:sz="4" w:space="0" w:color="auto"/>
            </w:tcBorders>
            <w:shd w:val="clear" w:color="DDDDDD" w:fill="D9D9D9"/>
            <w:vAlign w:val="center"/>
            <w:hideMark/>
          </w:tcPr>
          <w:p w14:paraId="5E764136" w14:textId="77777777" w:rsidR="009E37EE" w:rsidRPr="009E37EE" w:rsidRDefault="009E37EE" w:rsidP="009E37EE">
            <w:pPr>
              <w:jc w:val="center"/>
              <w:rPr>
                <w:rFonts w:eastAsia="Times New Roman" w:cs="Arial"/>
                <w:b/>
                <w:bCs/>
                <w:color w:val="000000"/>
                <w:sz w:val="14"/>
                <w:szCs w:val="14"/>
              </w:rPr>
            </w:pPr>
            <w:r w:rsidRPr="009E37EE">
              <w:rPr>
                <w:rFonts w:eastAsia="Times New Roman" w:cs="Arial"/>
                <w:b/>
                <w:bCs/>
                <w:color w:val="000000"/>
                <w:sz w:val="14"/>
                <w:szCs w:val="14"/>
              </w:rPr>
              <w:t>2030</w:t>
            </w:r>
          </w:p>
        </w:tc>
      </w:tr>
      <w:tr w:rsidR="009E37EE" w:rsidRPr="009E37EE" w14:paraId="6013B148" w14:textId="77777777" w:rsidTr="009E37EE">
        <w:trPr>
          <w:trHeight w:val="20"/>
        </w:trPr>
        <w:tc>
          <w:tcPr>
            <w:tcW w:w="2323" w:type="dxa"/>
            <w:tcBorders>
              <w:top w:val="single" w:sz="4" w:space="0" w:color="auto"/>
              <w:left w:val="single" w:sz="4" w:space="0" w:color="auto"/>
              <w:bottom w:val="nil"/>
              <w:right w:val="single" w:sz="4" w:space="0" w:color="auto"/>
            </w:tcBorders>
            <w:shd w:val="clear" w:color="FFFFCC" w:fill="FFFFFF"/>
            <w:vAlign w:val="center"/>
            <w:hideMark/>
          </w:tcPr>
          <w:p w14:paraId="089D4A6B" w14:textId="77777777" w:rsidR="009E37EE" w:rsidRPr="009E37EE" w:rsidRDefault="009E37EE" w:rsidP="009E37EE">
            <w:pPr>
              <w:rPr>
                <w:rFonts w:eastAsia="Times New Roman" w:cs="Arial"/>
                <w:color w:val="000000"/>
                <w:sz w:val="14"/>
                <w:szCs w:val="14"/>
              </w:rPr>
            </w:pPr>
            <w:r w:rsidRPr="009E37EE">
              <w:rPr>
                <w:rFonts w:eastAsia="Times New Roman" w:cs="Arial"/>
                <w:color w:val="000000"/>
                <w:sz w:val="14"/>
                <w:szCs w:val="14"/>
              </w:rPr>
              <w:t> </w:t>
            </w:r>
          </w:p>
        </w:tc>
        <w:tc>
          <w:tcPr>
            <w:tcW w:w="1085" w:type="dxa"/>
            <w:tcBorders>
              <w:top w:val="single" w:sz="4" w:space="0" w:color="auto"/>
              <w:left w:val="nil"/>
              <w:bottom w:val="nil"/>
              <w:right w:val="single" w:sz="4" w:space="0" w:color="auto"/>
            </w:tcBorders>
            <w:shd w:val="clear" w:color="FFFFCC" w:fill="FFFFFF"/>
            <w:vAlign w:val="center"/>
            <w:hideMark/>
          </w:tcPr>
          <w:p w14:paraId="153C8FF7"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single" w:sz="4" w:space="0" w:color="auto"/>
              <w:left w:val="nil"/>
              <w:bottom w:val="nil"/>
              <w:right w:val="single" w:sz="4" w:space="0" w:color="auto"/>
            </w:tcBorders>
            <w:shd w:val="clear" w:color="FFFFCC" w:fill="FFFFFF"/>
            <w:vAlign w:val="center"/>
            <w:hideMark/>
          </w:tcPr>
          <w:p w14:paraId="4F6BA6D5"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single" w:sz="4" w:space="0" w:color="auto"/>
              <w:left w:val="nil"/>
              <w:bottom w:val="nil"/>
              <w:right w:val="single" w:sz="4" w:space="0" w:color="auto"/>
            </w:tcBorders>
            <w:shd w:val="clear" w:color="FFFFCC" w:fill="FFFFFF"/>
            <w:vAlign w:val="center"/>
            <w:hideMark/>
          </w:tcPr>
          <w:p w14:paraId="6FEC2ABE"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single" w:sz="4" w:space="0" w:color="auto"/>
              <w:left w:val="nil"/>
              <w:bottom w:val="nil"/>
              <w:right w:val="single" w:sz="4" w:space="0" w:color="auto"/>
            </w:tcBorders>
            <w:shd w:val="clear" w:color="FFFFCC" w:fill="FFFFFF"/>
            <w:vAlign w:val="center"/>
            <w:hideMark/>
          </w:tcPr>
          <w:p w14:paraId="5230B468"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single" w:sz="4" w:space="0" w:color="auto"/>
              <w:left w:val="nil"/>
              <w:bottom w:val="nil"/>
              <w:right w:val="single" w:sz="4" w:space="0" w:color="auto"/>
            </w:tcBorders>
            <w:shd w:val="clear" w:color="FFFFCC" w:fill="FFFFFF"/>
            <w:vAlign w:val="center"/>
            <w:hideMark/>
          </w:tcPr>
          <w:p w14:paraId="3185DD83"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single" w:sz="4" w:space="0" w:color="auto"/>
              <w:left w:val="nil"/>
              <w:bottom w:val="nil"/>
              <w:right w:val="single" w:sz="4" w:space="0" w:color="auto"/>
            </w:tcBorders>
            <w:shd w:val="clear" w:color="FFFFCC" w:fill="FFFFFF"/>
            <w:vAlign w:val="center"/>
            <w:hideMark/>
          </w:tcPr>
          <w:p w14:paraId="778FBB5C"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r>
      <w:tr w:rsidR="009E37EE" w:rsidRPr="009E37EE" w14:paraId="0F45BD5C"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6E84F08B" w14:textId="77777777" w:rsidR="009E37EE" w:rsidRPr="009E37EE" w:rsidRDefault="009E37EE" w:rsidP="009E37EE">
            <w:pPr>
              <w:jc w:val="left"/>
              <w:rPr>
                <w:rFonts w:eastAsia="Times New Roman" w:cs="Arial"/>
                <w:b/>
                <w:bCs/>
                <w:color w:val="000000"/>
                <w:sz w:val="14"/>
                <w:szCs w:val="14"/>
              </w:rPr>
            </w:pPr>
            <w:r w:rsidRPr="009E37EE">
              <w:rPr>
                <w:rFonts w:eastAsia="Times New Roman" w:cs="Arial"/>
                <w:b/>
                <w:bCs/>
                <w:color w:val="000000"/>
                <w:sz w:val="14"/>
                <w:szCs w:val="14"/>
              </w:rPr>
              <w:t>1.   Ingresos de Libre Disposición (1=A+B+C+D+E+F+G+H+I+J+K+L)</w:t>
            </w:r>
          </w:p>
        </w:tc>
        <w:tc>
          <w:tcPr>
            <w:tcW w:w="1085" w:type="dxa"/>
            <w:tcBorders>
              <w:top w:val="nil"/>
              <w:left w:val="nil"/>
              <w:bottom w:val="nil"/>
              <w:right w:val="single" w:sz="4" w:space="0" w:color="auto"/>
            </w:tcBorders>
            <w:shd w:val="clear" w:color="FFFFCC" w:fill="FFFFFF"/>
            <w:vAlign w:val="center"/>
            <w:hideMark/>
          </w:tcPr>
          <w:p w14:paraId="7D0CF915"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10,661,115,845</w:t>
            </w:r>
          </w:p>
        </w:tc>
        <w:tc>
          <w:tcPr>
            <w:tcW w:w="1084" w:type="dxa"/>
            <w:tcBorders>
              <w:top w:val="nil"/>
              <w:left w:val="nil"/>
              <w:bottom w:val="nil"/>
              <w:right w:val="single" w:sz="4" w:space="0" w:color="auto"/>
            </w:tcBorders>
            <w:shd w:val="clear" w:color="FFFFCC" w:fill="FFFFFF"/>
            <w:vAlign w:val="center"/>
            <w:hideMark/>
          </w:tcPr>
          <w:p w14:paraId="75BC8CBE"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10,906,843,680</w:t>
            </w:r>
          </w:p>
        </w:tc>
        <w:tc>
          <w:tcPr>
            <w:tcW w:w="1084" w:type="dxa"/>
            <w:tcBorders>
              <w:top w:val="nil"/>
              <w:left w:val="nil"/>
              <w:bottom w:val="nil"/>
              <w:right w:val="single" w:sz="4" w:space="0" w:color="auto"/>
            </w:tcBorders>
            <w:shd w:val="clear" w:color="FFFFCC" w:fill="FFFFFF"/>
            <w:vAlign w:val="center"/>
            <w:hideMark/>
          </w:tcPr>
          <w:p w14:paraId="5D704770"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11,506,720,082</w:t>
            </w:r>
          </w:p>
        </w:tc>
        <w:tc>
          <w:tcPr>
            <w:tcW w:w="1084" w:type="dxa"/>
            <w:tcBorders>
              <w:top w:val="nil"/>
              <w:left w:val="nil"/>
              <w:bottom w:val="nil"/>
              <w:right w:val="single" w:sz="4" w:space="0" w:color="auto"/>
            </w:tcBorders>
            <w:shd w:val="clear" w:color="FFFFCC" w:fill="FFFFFF"/>
            <w:vAlign w:val="center"/>
            <w:hideMark/>
          </w:tcPr>
          <w:p w14:paraId="37717B9D"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12,139,589,688</w:t>
            </w:r>
          </w:p>
        </w:tc>
        <w:tc>
          <w:tcPr>
            <w:tcW w:w="1084" w:type="dxa"/>
            <w:tcBorders>
              <w:top w:val="nil"/>
              <w:left w:val="nil"/>
              <w:bottom w:val="nil"/>
              <w:right w:val="single" w:sz="4" w:space="0" w:color="auto"/>
            </w:tcBorders>
            <w:shd w:val="clear" w:color="FFFFCC" w:fill="FFFFFF"/>
            <w:vAlign w:val="center"/>
            <w:hideMark/>
          </w:tcPr>
          <w:p w14:paraId="17A00D68"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12,807,267,121</w:t>
            </w:r>
          </w:p>
        </w:tc>
        <w:tc>
          <w:tcPr>
            <w:tcW w:w="1084" w:type="dxa"/>
            <w:tcBorders>
              <w:top w:val="nil"/>
              <w:left w:val="nil"/>
              <w:bottom w:val="nil"/>
              <w:right w:val="single" w:sz="4" w:space="0" w:color="auto"/>
            </w:tcBorders>
            <w:shd w:val="clear" w:color="FFFFCC" w:fill="FFFFFF"/>
            <w:vAlign w:val="center"/>
            <w:hideMark/>
          </w:tcPr>
          <w:p w14:paraId="722EFA50"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13,511,666,812</w:t>
            </w:r>
          </w:p>
        </w:tc>
      </w:tr>
      <w:tr w:rsidR="009E37EE" w:rsidRPr="009E37EE" w14:paraId="71DDABF6"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017E344A" w14:textId="77777777" w:rsidR="009E37EE" w:rsidRPr="009E37EE" w:rsidRDefault="009E37EE" w:rsidP="009E37EE">
            <w:pPr>
              <w:ind w:firstLineChars="100" w:firstLine="140"/>
              <w:jc w:val="left"/>
              <w:rPr>
                <w:rFonts w:eastAsia="Times New Roman" w:cs="Arial"/>
                <w:color w:val="000000"/>
                <w:sz w:val="14"/>
                <w:szCs w:val="14"/>
              </w:rPr>
            </w:pPr>
            <w:r w:rsidRPr="009E37EE">
              <w:rPr>
                <w:rFonts w:eastAsia="Times New Roman" w:cs="Arial"/>
                <w:color w:val="000000"/>
                <w:sz w:val="14"/>
                <w:szCs w:val="14"/>
              </w:rPr>
              <w:t>A.    Impuestos</w:t>
            </w:r>
          </w:p>
        </w:tc>
        <w:tc>
          <w:tcPr>
            <w:tcW w:w="1085" w:type="dxa"/>
            <w:tcBorders>
              <w:top w:val="nil"/>
              <w:left w:val="nil"/>
              <w:bottom w:val="nil"/>
              <w:right w:val="single" w:sz="4" w:space="0" w:color="auto"/>
            </w:tcBorders>
            <w:shd w:val="clear" w:color="auto" w:fill="auto"/>
            <w:hideMark/>
          </w:tcPr>
          <w:p w14:paraId="61A8A165"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1,350,827,869</w:t>
            </w:r>
          </w:p>
        </w:tc>
        <w:tc>
          <w:tcPr>
            <w:tcW w:w="1084" w:type="dxa"/>
            <w:tcBorders>
              <w:top w:val="nil"/>
              <w:left w:val="nil"/>
              <w:bottom w:val="nil"/>
              <w:right w:val="single" w:sz="4" w:space="0" w:color="auto"/>
            </w:tcBorders>
            <w:shd w:val="clear" w:color="000000" w:fill="FFFFFF"/>
            <w:hideMark/>
          </w:tcPr>
          <w:p w14:paraId="1D448778"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1,425,123,402</w:t>
            </w:r>
          </w:p>
        </w:tc>
        <w:tc>
          <w:tcPr>
            <w:tcW w:w="1084" w:type="dxa"/>
            <w:tcBorders>
              <w:top w:val="nil"/>
              <w:left w:val="nil"/>
              <w:bottom w:val="nil"/>
              <w:right w:val="single" w:sz="4" w:space="0" w:color="auto"/>
            </w:tcBorders>
            <w:shd w:val="clear" w:color="000000" w:fill="FFFFFF"/>
            <w:hideMark/>
          </w:tcPr>
          <w:p w14:paraId="690DDB7C"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1,503,505,189</w:t>
            </w:r>
          </w:p>
        </w:tc>
        <w:tc>
          <w:tcPr>
            <w:tcW w:w="1084" w:type="dxa"/>
            <w:tcBorders>
              <w:top w:val="nil"/>
              <w:left w:val="nil"/>
              <w:bottom w:val="nil"/>
              <w:right w:val="single" w:sz="4" w:space="0" w:color="auto"/>
            </w:tcBorders>
            <w:shd w:val="clear" w:color="000000" w:fill="FFFFFF"/>
            <w:hideMark/>
          </w:tcPr>
          <w:p w14:paraId="53AA1C88"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1,586,197,974</w:t>
            </w:r>
          </w:p>
        </w:tc>
        <w:tc>
          <w:tcPr>
            <w:tcW w:w="1084" w:type="dxa"/>
            <w:tcBorders>
              <w:top w:val="nil"/>
              <w:left w:val="nil"/>
              <w:bottom w:val="nil"/>
              <w:right w:val="single" w:sz="4" w:space="0" w:color="auto"/>
            </w:tcBorders>
            <w:shd w:val="clear" w:color="000000" w:fill="FFFFFF"/>
            <w:hideMark/>
          </w:tcPr>
          <w:p w14:paraId="40156A3E"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1,673,438,863</w:t>
            </w:r>
          </w:p>
        </w:tc>
        <w:tc>
          <w:tcPr>
            <w:tcW w:w="1084" w:type="dxa"/>
            <w:tcBorders>
              <w:top w:val="nil"/>
              <w:left w:val="nil"/>
              <w:bottom w:val="nil"/>
              <w:right w:val="single" w:sz="4" w:space="0" w:color="auto"/>
            </w:tcBorders>
            <w:shd w:val="clear" w:color="000000" w:fill="FFFFFF"/>
            <w:hideMark/>
          </w:tcPr>
          <w:p w14:paraId="1099A864"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1,765,478,000</w:t>
            </w:r>
          </w:p>
        </w:tc>
      </w:tr>
      <w:tr w:rsidR="009E37EE" w:rsidRPr="009E37EE" w14:paraId="6CD958EB"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601AFFF1" w14:textId="77777777" w:rsidR="009E37EE" w:rsidRPr="009E37EE" w:rsidRDefault="009E37EE" w:rsidP="009E37EE">
            <w:pPr>
              <w:ind w:firstLineChars="100" w:firstLine="140"/>
              <w:jc w:val="left"/>
              <w:rPr>
                <w:rFonts w:eastAsia="Times New Roman" w:cs="Arial"/>
                <w:color w:val="000000"/>
                <w:sz w:val="14"/>
                <w:szCs w:val="14"/>
              </w:rPr>
            </w:pPr>
            <w:r w:rsidRPr="009E37EE">
              <w:rPr>
                <w:rFonts w:eastAsia="Times New Roman" w:cs="Arial"/>
                <w:color w:val="000000"/>
                <w:sz w:val="14"/>
                <w:szCs w:val="14"/>
              </w:rPr>
              <w:t>B.    Cuotas y Aportaciones de Seguridad Social</w:t>
            </w:r>
          </w:p>
        </w:tc>
        <w:tc>
          <w:tcPr>
            <w:tcW w:w="1085" w:type="dxa"/>
            <w:tcBorders>
              <w:top w:val="nil"/>
              <w:left w:val="nil"/>
              <w:bottom w:val="nil"/>
              <w:right w:val="single" w:sz="4" w:space="0" w:color="auto"/>
            </w:tcBorders>
            <w:shd w:val="clear" w:color="000000" w:fill="FFFFFF"/>
            <w:hideMark/>
          </w:tcPr>
          <w:p w14:paraId="06D998E5"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64CB4296"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64C65393"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27811B80"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1F08C2F6"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2E2C1975"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r>
      <w:tr w:rsidR="009E37EE" w:rsidRPr="009E37EE" w14:paraId="61C780CB"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69353125" w14:textId="77777777" w:rsidR="009E37EE" w:rsidRPr="009E37EE" w:rsidRDefault="009E37EE" w:rsidP="009E37EE">
            <w:pPr>
              <w:ind w:firstLineChars="100" w:firstLine="140"/>
              <w:jc w:val="left"/>
              <w:rPr>
                <w:rFonts w:eastAsia="Times New Roman" w:cs="Arial"/>
                <w:color w:val="000000"/>
                <w:sz w:val="14"/>
                <w:szCs w:val="14"/>
              </w:rPr>
            </w:pPr>
            <w:r w:rsidRPr="009E37EE">
              <w:rPr>
                <w:rFonts w:eastAsia="Times New Roman" w:cs="Arial"/>
                <w:color w:val="000000"/>
                <w:sz w:val="14"/>
                <w:szCs w:val="14"/>
              </w:rPr>
              <w:t>C.    Contribuciones de Mejoras</w:t>
            </w:r>
          </w:p>
        </w:tc>
        <w:tc>
          <w:tcPr>
            <w:tcW w:w="1085" w:type="dxa"/>
            <w:tcBorders>
              <w:top w:val="nil"/>
              <w:left w:val="nil"/>
              <w:bottom w:val="nil"/>
              <w:right w:val="single" w:sz="4" w:space="0" w:color="auto"/>
            </w:tcBorders>
            <w:shd w:val="clear" w:color="000000" w:fill="FFFFFF"/>
            <w:hideMark/>
          </w:tcPr>
          <w:p w14:paraId="38AB495C"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1E2A1E00"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50CD95BB"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79F5F575"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6BD67121"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1CBEE0EC"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r>
      <w:tr w:rsidR="009E37EE" w:rsidRPr="009E37EE" w14:paraId="653F3D55"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3DA4DB64" w14:textId="77777777" w:rsidR="009E37EE" w:rsidRPr="009E37EE" w:rsidRDefault="009E37EE" w:rsidP="009E37EE">
            <w:pPr>
              <w:ind w:firstLineChars="100" w:firstLine="140"/>
              <w:jc w:val="left"/>
              <w:rPr>
                <w:rFonts w:eastAsia="Times New Roman" w:cs="Arial"/>
                <w:color w:val="000000"/>
                <w:sz w:val="14"/>
                <w:szCs w:val="14"/>
              </w:rPr>
            </w:pPr>
            <w:r w:rsidRPr="009E37EE">
              <w:rPr>
                <w:rFonts w:eastAsia="Times New Roman" w:cs="Arial"/>
                <w:color w:val="000000"/>
                <w:sz w:val="14"/>
                <w:szCs w:val="14"/>
              </w:rPr>
              <w:t>D.    Derechos</w:t>
            </w:r>
          </w:p>
        </w:tc>
        <w:tc>
          <w:tcPr>
            <w:tcW w:w="1085" w:type="dxa"/>
            <w:tcBorders>
              <w:top w:val="nil"/>
              <w:left w:val="nil"/>
              <w:bottom w:val="nil"/>
              <w:right w:val="single" w:sz="4" w:space="0" w:color="auto"/>
            </w:tcBorders>
            <w:shd w:val="clear" w:color="000000" w:fill="FFFFFF"/>
            <w:hideMark/>
          </w:tcPr>
          <w:p w14:paraId="78815787"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603,130,063</w:t>
            </w:r>
          </w:p>
        </w:tc>
        <w:tc>
          <w:tcPr>
            <w:tcW w:w="1084" w:type="dxa"/>
            <w:tcBorders>
              <w:top w:val="nil"/>
              <w:left w:val="nil"/>
              <w:bottom w:val="nil"/>
              <w:right w:val="single" w:sz="4" w:space="0" w:color="auto"/>
            </w:tcBorders>
            <w:shd w:val="clear" w:color="000000" w:fill="FFFFFF"/>
            <w:hideMark/>
          </w:tcPr>
          <w:p w14:paraId="1507CBD5"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636,302,216</w:t>
            </w:r>
          </w:p>
        </w:tc>
        <w:tc>
          <w:tcPr>
            <w:tcW w:w="1084" w:type="dxa"/>
            <w:tcBorders>
              <w:top w:val="nil"/>
              <w:left w:val="nil"/>
              <w:bottom w:val="nil"/>
              <w:right w:val="single" w:sz="4" w:space="0" w:color="auto"/>
            </w:tcBorders>
            <w:shd w:val="clear" w:color="000000" w:fill="FFFFFF"/>
            <w:hideMark/>
          </w:tcPr>
          <w:p w14:paraId="67237288"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671,298,838</w:t>
            </w:r>
          </w:p>
        </w:tc>
        <w:tc>
          <w:tcPr>
            <w:tcW w:w="1084" w:type="dxa"/>
            <w:tcBorders>
              <w:top w:val="nil"/>
              <w:left w:val="nil"/>
              <w:bottom w:val="nil"/>
              <w:right w:val="single" w:sz="4" w:space="0" w:color="auto"/>
            </w:tcBorders>
            <w:shd w:val="clear" w:color="000000" w:fill="FFFFFF"/>
            <w:hideMark/>
          </w:tcPr>
          <w:p w14:paraId="55EDC889"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708,220,274</w:t>
            </w:r>
          </w:p>
        </w:tc>
        <w:tc>
          <w:tcPr>
            <w:tcW w:w="1084" w:type="dxa"/>
            <w:tcBorders>
              <w:top w:val="nil"/>
              <w:left w:val="nil"/>
              <w:bottom w:val="nil"/>
              <w:right w:val="single" w:sz="4" w:space="0" w:color="auto"/>
            </w:tcBorders>
            <w:shd w:val="clear" w:color="000000" w:fill="FFFFFF"/>
            <w:hideMark/>
          </w:tcPr>
          <w:p w14:paraId="1E3316A6"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747,172,390</w:t>
            </w:r>
          </w:p>
        </w:tc>
        <w:tc>
          <w:tcPr>
            <w:tcW w:w="1084" w:type="dxa"/>
            <w:tcBorders>
              <w:top w:val="nil"/>
              <w:left w:val="nil"/>
              <w:bottom w:val="nil"/>
              <w:right w:val="single" w:sz="4" w:space="0" w:color="auto"/>
            </w:tcBorders>
            <w:shd w:val="clear" w:color="000000" w:fill="FFFFFF"/>
            <w:hideMark/>
          </w:tcPr>
          <w:p w14:paraId="28F8A0D8"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788,266,871</w:t>
            </w:r>
          </w:p>
        </w:tc>
      </w:tr>
      <w:tr w:rsidR="009E37EE" w:rsidRPr="009E37EE" w14:paraId="0F37CEE5"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4620CEEE" w14:textId="77777777" w:rsidR="009E37EE" w:rsidRPr="009E37EE" w:rsidRDefault="009E37EE" w:rsidP="009E37EE">
            <w:pPr>
              <w:ind w:firstLineChars="100" w:firstLine="140"/>
              <w:jc w:val="left"/>
              <w:rPr>
                <w:rFonts w:eastAsia="Times New Roman" w:cs="Arial"/>
                <w:color w:val="000000"/>
                <w:sz w:val="14"/>
                <w:szCs w:val="14"/>
              </w:rPr>
            </w:pPr>
            <w:r w:rsidRPr="009E37EE">
              <w:rPr>
                <w:rFonts w:eastAsia="Times New Roman" w:cs="Arial"/>
                <w:color w:val="000000"/>
                <w:sz w:val="14"/>
                <w:szCs w:val="14"/>
              </w:rPr>
              <w:t>E.    Productos</w:t>
            </w:r>
          </w:p>
        </w:tc>
        <w:tc>
          <w:tcPr>
            <w:tcW w:w="1085" w:type="dxa"/>
            <w:tcBorders>
              <w:top w:val="nil"/>
              <w:left w:val="nil"/>
              <w:bottom w:val="nil"/>
              <w:right w:val="single" w:sz="4" w:space="0" w:color="auto"/>
            </w:tcBorders>
            <w:shd w:val="clear" w:color="000000" w:fill="FFFFFF"/>
            <w:hideMark/>
          </w:tcPr>
          <w:p w14:paraId="73AF4D42"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52,815,040</w:t>
            </w:r>
          </w:p>
        </w:tc>
        <w:tc>
          <w:tcPr>
            <w:tcW w:w="1084" w:type="dxa"/>
            <w:tcBorders>
              <w:top w:val="nil"/>
              <w:left w:val="nil"/>
              <w:bottom w:val="nil"/>
              <w:right w:val="single" w:sz="4" w:space="0" w:color="auto"/>
            </w:tcBorders>
            <w:shd w:val="clear" w:color="000000" w:fill="FFFFFF"/>
            <w:hideMark/>
          </w:tcPr>
          <w:p w14:paraId="2733E426"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55,719,867</w:t>
            </w:r>
          </w:p>
        </w:tc>
        <w:tc>
          <w:tcPr>
            <w:tcW w:w="1084" w:type="dxa"/>
            <w:tcBorders>
              <w:top w:val="nil"/>
              <w:left w:val="nil"/>
              <w:bottom w:val="nil"/>
              <w:right w:val="single" w:sz="4" w:space="0" w:color="auto"/>
            </w:tcBorders>
            <w:shd w:val="clear" w:color="000000" w:fill="FFFFFF"/>
            <w:hideMark/>
          </w:tcPr>
          <w:p w14:paraId="0CC4535C"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58,784,460</w:t>
            </w:r>
          </w:p>
        </w:tc>
        <w:tc>
          <w:tcPr>
            <w:tcW w:w="1084" w:type="dxa"/>
            <w:tcBorders>
              <w:top w:val="nil"/>
              <w:left w:val="nil"/>
              <w:bottom w:val="nil"/>
              <w:right w:val="single" w:sz="4" w:space="0" w:color="auto"/>
            </w:tcBorders>
            <w:shd w:val="clear" w:color="000000" w:fill="FFFFFF"/>
            <w:hideMark/>
          </w:tcPr>
          <w:p w14:paraId="62BEA3D2"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62,017,605</w:t>
            </w:r>
          </w:p>
        </w:tc>
        <w:tc>
          <w:tcPr>
            <w:tcW w:w="1084" w:type="dxa"/>
            <w:tcBorders>
              <w:top w:val="nil"/>
              <w:left w:val="nil"/>
              <w:bottom w:val="nil"/>
              <w:right w:val="single" w:sz="4" w:space="0" w:color="auto"/>
            </w:tcBorders>
            <w:shd w:val="clear" w:color="000000" w:fill="FFFFFF"/>
            <w:hideMark/>
          </w:tcPr>
          <w:p w14:paraId="469FA05B"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65,428,573</w:t>
            </w:r>
          </w:p>
        </w:tc>
        <w:tc>
          <w:tcPr>
            <w:tcW w:w="1084" w:type="dxa"/>
            <w:tcBorders>
              <w:top w:val="nil"/>
              <w:left w:val="nil"/>
              <w:bottom w:val="nil"/>
              <w:right w:val="single" w:sz="4" w:space="0" w:color="auto"/>
            </w:tcBorders>
            <w:shd w:val="clear" w:color="000000" w:fill="FFFFFF"/>
            <w:hideMark/>
          </w:tcPr>
          <w:p w14:paraId="74D7A091"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69,027,145</w:t>
            </w:r>
          </w:p>
        </w:tc>
      </w:tr>
      <w:tr w:rsidR="009E37EE" w:rsidRPr="009E37EE" w14:paraId="19DEEE04"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6B08D02D" w14:textId="77777777" w:rsidR="009E37EE" w:rsidRPr="009E37EE" w:rsidRDefault="009E37EE" w:rsidP="009E37EE">
            <w:pPr>
              <w:ind w:firstLineChars="100" w:firstLine="140"/>
              <w:jc w:val="left"/>
              <w:rPr>
                <w:rFonts w:eastAsia="Times New Roman" w:cs="Arial"/>
                <w:color w:val="000000"/>
                <w:sz w:val="14"/>
                <w:szCs w:val="14"/>
              </w:rPr>
            </w:pPr>
            <w:r w:rsidRPr="009E37EE">
              <w:rPr>
                <w:rFonts w:eastAsia="Times New Roman" w:cs="Arial"/>
                <w:color w:val="000000"/>
                <w:sz w:val="14"/>
                <w:szCs w:val="14"/>
              </w:rPr>
              <w:t>F.    Aprovechamientos</w:t>
            </w:r>
          </w:p>
        </w:tc>
        <w:tc>
          <w:tcPr>
            <w:tcW w:w="1085" w:type="dxa"/>
            <w:tcBorders>
              <w:top w:val="nil"/>
              <w:left w:val="nil"/>
              <w:bottom w:val="nil"/>
              <w:right w:val="single" w:sz="4" w:space="0" w:color="auto"/>
            </w:tcBorders>
            <w:shd w:val="clear" w:color="000000" w:fill="FFFFFF"/>
            <w:hideMark/>
          </w:tcPr>
          <w:p w14:paraId="4C2735E6"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67,733,258</w:t>
            </w:r>
          </w:p>
        </w:tc>
        <w:tc>
          <w:tcPr>
            <w:tcW w:w="1084" w:type="dxa"/>
            <w:tcBorders>
              <w:top w:val="nil"/>
              <w:left w:val="nil"/>
              <w:bottom w:val="nil"/>
              <w:right w:val="single" w:sz="4" w:space="0" w:color="auto"/>
            </w:tcBorders>
            <w:shd w:val="clear" w:color="000000" w:fill="FFFFFF"/>
            <w:hideMark/>
          </w:tcPr>
          <w:p w14:paraId="174B9398"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71,458,587</w:t>
            </w:r>
          </w:p>
        </w:tc>
        <w:tc>
          <w:tcPr>
            <w:tcW w:w="1084" w:type="dxa"/>
            <w:tcBorders>
              <w:top w:val="nil"/>
              <w:left w:val="nil"/>
              <w:bottom w:val="nil"/>
              <w:right w:val="single" w:sz="4" w:space="0" w:color="auto"/>
            </w:tcBorders>
            <w:shd w:val="clear" w:color="000000" w:fill="FFFFFF"/>
            <w:hideMark/>
          </w:tcPr>
          <w:p w14:paraId="4969FC4B"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75,388,809</w:t>
            </w:r>
          </w:p>
        </w:tc>
        <w:tc>
          <w:tcPr>
            <w:tcW w:w="1084" w:type="dxa"/>
            <w:tcBorders>
              <w:top w:val="nil"/>
              <w:left w:val="nil"/>
              <w:bottom w:val="nil"/>
              <w:right w:val="single" w:sz="4" w:space="0" w:color="auto"/>
            </w:tcBorders>
            <w:shd w:val="clear" w:color="000000" w:fill="FFFFFF"/>
            <w:hideMark/>
          </w:tcPr>
          <w:p w14:paraId="0200AD6E"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79,535,194</w:t>
            </w:r>
          </w:p>
        </w:tc>
        <w:tc>
          <w:tcPr>
            <w:tcW w:w="1084" w:type="dxa"/>
            <w:tcBorders>
              <w:top w:val="nil"/>
              <w:left w:val="nil"/>
              <w:bottom w:val="nil"/>
              <w:right w:val="single" w:sz="4" w:space="0" w:color="auto"/>
            </w:tcBorders>
            <w:shd w:val="clear" w:color="000000" w:fill="FFFFFF"/>
            <w:hideMark/>
          </w:tcPr>
          <w:p w14:paraId="6F0A02D1"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83,909,630</w:t>
            </w:r>
          </w:p>
        </w:tc>
        <w:tc>
          <w:tcPr>
            <w:tcW w:w="1084" w:type="dxa"/>
            <w:tcBorders>
              <w:top w:val="nil"/>
              <w:left w:val="nil"/>
              <w:bottom w:val="nil"/>
              <w:right w:val="single" w:sz="4" w:space="0" w:color="auto"/>
            </w:tcBorders>
            <w:shd w:val="clear" w:color="000000" w:fill="FFFFFF"/>
            <w:hideMark/>
          </w:tcPr>
          <w:p w14:paraId="6E1AEC0F"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88,524,659</w:t>
            </w:r>
          </w:p>
        </w:tc>
      </w:tr>
      <w:tr w:rsidR="009E37EE" w:rsidRPr="009E37EE" w14:paraId="06AF3E40"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185DDEF4" w14:textId="77777777" w:rsidR="009E37EE" w:rsidRPr="009E37EE" w:rsidRDefault="009E37EE" w:rsidP="009E37EE">
            <w:pPr>
              <w:ind w:firstLineChars="100" w:firstLine="140"/>
              <w:jc w:val="left"/>
              <w:rPr>
                <w:rFonts w:eastAsia="Times New Roman" w:cs="Arial"/>
                <w:color w:val="000000"/>
                <w:sz w:val="14"/>
                <w:szCs w:val="14"/>
              </w:rPr>
            </w:pPr>
            <w:r w:rsidRPr="009E37EE">
              <w:rPr>
                <w:rFonts w:eastAsia="Times New Roman" w:cs="Arial"/>
                <w:color w:val="000000"/>
                <w:sz w:val="14"/>
                <w:szCs w:val="14"/>
              </w:rPr>
              <w:t>G.    Ingresos por Ventas de Bienes y Prestación de Servicios</w:t>
            </w:r>
          </w:p>
        </w:tc>
        <w:tc>
          <w:tcPr>
            <w:tcW w:w="1085" w:type="dxa"/>
            <w:tcBorders>
              <w:top w:val="nil"/>
              <w:left w:val="nil"/>
              <w:bottom w:val="nil"/>
              <w:right w:val="single" w:sz="4" w:space="0" w:color="auto"/>
            </w:tcBorders>
            <w:shd w:val="clear" w:color="000000" w:fill="FFFFFF"/>
            <w:hideMark/>
          </w:tcPr>
          <w:p w14:paraId="643F05C3"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60CD02D9"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33F32616"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1208D903"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7879F259"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79532B40"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r>
      <w:tr w:rsidR="009E37EE" w:rsidRPr="009E37EE" w14:paraId="234EEB47"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0BF3C471" w14:textId="77777777" w:rsidR="009E37EE" w:rsidRPr="009E37EE" w:rsidRDefault="009E37EE" w:rsidP="009E37EE">
            <w:pPr>
              <w:ind w:firstLineChars="100" w:firstLine="140"/>
              <w:jc w:val="left"/>
              <w:rPr>
                <w:rFonts w:eastAsia="Times New Roman" w:cs="Arial"/>
                <w:color w:val="000000"/>
                <w:sz w:val="14"/>
                <w:szCs w:val="14"/>
              </w:rPr>
            </w:pPr>
            <w:r w:rsidRPr="009E37EE">
              <w:rPr>
                <w:rFonts w:eastAsia="Times New Roman" w:cs="Arial"/>
                <w:color w:val="000000"/>
                <w:sz w:val="14"/>
                <w:szCs w:val="14"/>
              </w:rPr>
              <w:t>H.    Participaciones</w:t>
            </w:r>
          </w:p>
        </w:tc>
        <w:tc>
          <w:tcPr>
            <w:tcW w:w="1085" w:type="dxa"/>
            <w:tcBorders>
              <w:top w:val="nil"/>
              <w:left w:val="nil"/>
              <w:bottom w:val="nil"/>
              <w:right w:val="single" w:sz="4" w:space="0" w:color="auto"/>
            </w:tcBorders>
            <w:shd w:val="clear" w:color="000000" w:fill="FFFFFF"/>
            <w:hideMark/>
          </w:tcPr>
          <w:p w14:paraId="21C3D674"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7,474,697,326</w:t>
            </w:r>
          </w:p>
        </w:tc>
        <w:tc>
          <w:tcPr>
            <w:tcW w:w="1084" w:type="dxa"/>
            <w:tcBorders>
              <w:top w:val="nil"/>
              <w:left w:val="nil"/>
              <w:bottom w:val="nil"/>
              <w:right w:val="single" w:sz="4" w:space="0" w:color="auto"/>
            </w:tcBorders>
            <w:shd w:val="clear" w:color="000000" w:fill="FFFFFF"/>
            <w:hideMark/>
          </w:tcPr>
          <w:p w14:paraId="7106EAD7"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7,885,805,679</w:t>
            </w:r>
          </w:p>
        </w:tc>
        <w:tc>
          <w:tcPr>
            <w:tcW w:w="1084" w:type="dxa"/>
            <w:tcBorders>
              <w:top w:val="nil"/>
              <w:left w:val="nil"/>
              <w:bottom w:val="nil"/>
              <w:right w:val="single" w:sz="4" w:space="0" w:color="auto"/>
            </w:tcBorders>
            <w:shd w:val="clear" w:color="000000" w:fill="FFFFFF"/>
            <w:hideMark/>
          </w:tcPr>
          <w:p w14:paraId="316C3DFB"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8,319,524,991</w:t>
            </w:r>
          </w:p>
        </w:tc>
        <w:tc>
          <w:tcPr>
            <w:tcW w:w="1084" w:type="dxa"/>
            <w:tcBorders>
              <w:top w:val="nil"/>
              <w:left w:val="nil"/>
              <w:bottom w:val="nil"/>
              <w:right w:val="single" w:sz="4" w:space="0" w:color="auto"/>
            </w:tcBorders>
            <w:shd w:val="clear" w:color="000000" w:fill="FFFFFF"/>
            <w:hideMark/>
          </w:tcPr>
          <w:p w14:paraId="20929409"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8,777,098,866</w:t>
            </w:r>
          </w:p>
        </w:tc>
        <w:tc>
          <w:tcPr>
            <w:tcW w:w="1084" w:type="dxa"/>
            <w:tcBorders>
              <w:top w:val="nil"/>
              <w:left w:val="nil"/>
              <w:bottom w:val="nil"/>
              <w:right w:val="single" w:sz="4" w:space="0" w:color="auto"/>
            </w:tcBorders>
            <w:shd w:val="clear" w:color="000000" w:fill="FFFFFF"/>
            <w:hideMark/>
          </w:tcPr>
          <w:p w14:paraId="3245EC8B"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9,259,839,303</w:t>
            </w:r>
          </w:p>
        </w:tc>
        <w:tc>
          <w:tcPr>
            <w:tcW w:w="1084" w:type="dxa"/>
            <w:tcBorders>
              <w:top w:val="nil"/>
              <w:left w:val="nil"/>
              <w:bottom w:val="nil"/>
              <w:right w:val="single" w:sz="4" w:space="0" w:color="auto"/>
            </w:tcBorders>
            <w:shd w:val="clear" w:color="000000" w:fill="FFFFFF"/>
            <w:hideMark/>
          </w:tcPr>
          <w:p w14:paraId="3F907114"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9,769,130,465</w:t>
            </w:r>
          </w:p>
        </w:tc>
      </w:tr>
      <w:tr w:rsidR="009E37EE" w:rsidRPr="009E37EE" w14:paraId="0A3D3389"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25A4C28F" w14:textId="77777777" w:rsidR="009E37EE" w:rsidRPr="009E37EE" w:rsidRDefault="009E37EE" w:rsidP="009E37EE">
            <w:pPr>
              <w:ind w:firstLineChars="100" w:firstLine="140"/>
              <w:jc w:val="left"/>
              <w:rPr>
                <w:rFonts w:eastAsia="Times New Roman" w:cs="Arial"/>
                <w:color w:val="000000"/>
                <w:sz w:val="14"/>
                <w:szCs w:val="14"/>
              </w:rPr>
            </w:pPr>
            <w:r w:rsidRPr="009E37EE">
              <w:rPr>
                <w:rFonts w:eastAsia="Times New Roman" w:cs="Arial"/>
                <w:color w:val="000000"/>
                <w:sz w:val="14"/>
                <w:szCs w:val="14"/>
              </w:rPr>
              <w:t>I.     Incentivos Derivados de la Colaboración Fiscal</w:t>
            </w:r>
          </w:p>
        </w:tc>
        <w:tc>
          <w:tcPr>
            <w:tcW w:w="1085" w:type="dxa"/>
            <w:tcBorders>
              <w:top w:val="nil"/>
              <w:left w:val="nil"/>
              <w:bottom w:val="nil"/>
              <w:right w:val="single" w:sz="4" w:space="0" w:color="auto"/>
            </w:tcBorders>
            <w:shd w:val="clear" w:color="000000" w:fill="FFFFFF"/>
            <w:hideMark/>
          </w:tcPr>
          <w:p w14:paraId="3CC8B188"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789,036,899</w:t>
            </w:r>
          </w:p>
        </w:tc>
        <w:tc>
          <w:tcPr>
            <w:tcW w:w="1084" w:type="dxa"/>
            <w:tcBorders>
              <w:top w:val="nil"/>
              <w:left w:val="nil"/>
              <w:bottom w:val="nil"/>
              <w:right w:val="single" w:sz="4" w:space="0" w:color="auto"/>
            </w:tcBorders>
            <w:shd w:val="clear" w:color="000000" w:fill="FFFFFF"/>
            <w:hideMark/>
          </w:tcPr>
          <w:p w14:paraId="7A4F701D"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832,433,928</w:t>
            </w:r>
          </w:p>
        </w:tc>
        <w:tc>
          <w:tcPr>
            <w:tcW w:w="1084" w:type="dxa"/>
            <w:tcBorders>
              <w:top w:val="nil"/>
              <w:left w:val="nil"/>
              <w:bottom w:val="nil"/>
              <w:right w:val="single" w:sz="4" w:space="0" w:color="auto"/>
            </w:tcBorders>
            <w:shd w:val="clear" w:color="000000" w:fill="FFFFFF"/>
            <w:hideMark/>
          </w:tcPr>
          <w:p w14:paraId="548D1433"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878,217,795</w:t>
            </w:r>
          </w:p>
        </w:tc>
        <w:tc>
          <w:tcPr>
            <w:tcW w:w="1084" w:type="dxa"/>
            <w:tcBorders>
              <w:top w:val="nil"/>
              <w:left w:val="nil"/>
              <w:bottom w:val="nil"/>
              <w:right w:val="single" w:sz="4" w:space="0" w:color="auto"/>
            </w:tcBorders>
            <w:shd w:val="clear" w:color="000000" w:fill="FFFFFF"/>
            <w:hideMark/>
          </w:tcPr>
          <w:p w14:paraId="434CD88C"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926,519,773</w:t>
            </w:r>
          </w:p>
        </w:tc>
        <w:tc>
          <w:tcPr>
            <w:tcW w:w="1084" w:type="dxa"/>
            <w:tcBorders>
              <w:top w:val="nil"/>
              <w:left w:val="nil"/>
              <w:bottom w:val="nil"/>
              <w:right w:val="single" w:sz="4" w:space="0" w:color="auto"/>
            </w:tcBorders>
            <w:shd w:val="clear" w:color="000000" w:fill="FFFFFF"/>
            <w:hideMark/>
          </w:tcPr>
          <w:p w14:paraId="761C3B89"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977,478,361</w:t>
            </w:r>
          </w:p>
        </w:tc>
        <w:tc>
          <w:tcPr>
            <w:tcW w:w="1084" w:type="dxa"/>
            <w:tcBorders>
              <w:top w:val="nil"/>
              <w:left w:val="nil"/>
              <w:bottom w:val="nil"/>
              <w:right w:val="single" w:sz="4" w:space="0" w:color="auto"/>
            </w:tcBorders>
            <w:shd w:val="clear" w:color="000000" w:fill="FFFFFF"/>
            <w:hideMark/>
          </w:tcPr>
          <w:p w14:paraId="3424FE51"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1,031,239,671</w:t>
            </w:r>
          </w:p>
        </w:tc>
      </w:tr>
      <w:tr w:rsidR="009E37EE" w:rsidRPr="009E37EE" w14:paraId="31C5D085"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68EEB488" w14:textId="77777777" w:rsidR="009E37EE" w:rsidRPr="009E37EE" w:rsidRDefault="009E37EE" w:rsidP="009E37EE">
            <w:pPr>
              <w:ind w:firstLineChars="100" w:firstLine="140"/>
              <w:jc w:val="left"/>
              <w:rPr>
                <w:rFonts w:eastAsia="Times New Roman" w:cs="Arial"/>
                <w:color w:val="000000"/>
                <w:sz w:val="14"/>
                <w:szCs w:val="14"/>
              </w:rPr>
            </w:pPr>
            <w:r w:rsidRPr="009E37EE">
              <w:rPr>
                <w:rFonts w:eastAsia="Times New Roman" w:cs="Arial"/>
                <w:color w:val="000000"/>
                <w:sz w:val="14"/>
                <w:szCs w:val="14"/>
              </w:rPr>
              <w:t>J.     Transferencias y Asignaciones</w:t>
            </w:r>
          </w:p>
        </w:tc>
        <w:tc>
          <w:tcPr>
            <w:tcW w:w="1085" w:type="dxa"/>
            <w:tcBorders>
              <w:top w:val="nil"/>
              <w:left w:val="nil"/>
              <w:bottom w:val="nil"/>
              <w:right w:val="single" w:sz="4" w:space="0" w:color="auto"/>
            </w:tcBorders>
            <w:shd w:val="clear" w:color="000000" w:fill="FFFFFF"/>
            <w:hideMark/>
          </w:tcPr>
          <w:p w14:paraId="2890B43A"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525EE159"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1CF7E9BA"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6DCE489A"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1DC43974"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0BDCD436"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r>
      <w:tr w:rsidR="009E37EE" w:rsidRPr="009E37EE" w14:paraId="586B50AD" w14:textId="77777777" w:rsidTr="009E37EE">
        <w:trPr>
          <w:trHeight w:val="20"/>
        </w:trPr>
        <w:tc>
          <w:tcPr>
            <w:tcW w:w="2323" w:type="dxa"/>
            <w:tcBorders>
              <w:top w:val="nil"/>
              <w:left w:val="single" w:sz="4" w:space="0" w:color="auto"/>
              <w:bottom w:val="nil"/>
              <w:right w:val="single" w:sz="4" w:space="0" w:color="auto"/>
            </w:tcBorders>
            <w:shd w:val="clear" w:color="auto" w:fill="auto"/>
            <w:vAlign w:val="center"/>
            <w:hideMark/>
          </w:tcPr>
          <w:p w14:paraId="0CDD3AF0" w14:textId="77777777" w:rsidR="009E37EE" w:rsidRPr="009E37EE" w:rsidRDefault="009E37EE" w:rsidP="009E37EE">
            <w:pPr>
              <w:ind w:firstLineChars="100" w:firstLine="140"/>
              <w:jc w:val="left"/>
              <w:rPr>
                <w:rFonts w:eastAsia="Times New Roman" w:cs="Arial"/>
                <w:color w:val="000000"/>
                <w:sz w:val="14"/>
                <w:szCs w:val="14"/>
              </w:rPr>
            </w:pPr>
            <w:r w:rsidRPr="009E37EE">
              <w:rPr>
                <w:rFonts w:eastAsia="Times New Roman" w:cs="Arial"/>
                <w:color w:val="000000"/>
                <w:sz w:val="14"/>
                <w:szCs w:val="14"/>
              </w:rPr>
              <w:t>K.    Convenios</w:t>
            </w:r>
          </w:p>
        </w:tc>
        <w:tc>
          <w:tcPr>
            <w:tcW w:w="1085" w:type="dxa"/>
            <w:tcBorders>
              <w:top w:val="nil"/>
              <w:left w:val="nil"/>
              <w:bottom w:val="nil"/>
              <w:right w:val="single" w:sz="4" w:space="0" w:color="auto"/>
            </w:tcBorders>
            <w:shd w:val="clear" w:color="000000" w:fill="FFFFFF"/>
            <w:hideMark/>
          </w:tcPr>
          <w:p w14:paraId="1E2ABAA4"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6846FAEB"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0615054E"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6F794571"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1A6A0487"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703C67E9"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r>
      <w:tr w:rsidR="009E37EE" w:rsidRPr="009E37EE" w14:paraId="3E8143C5"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2802E094" w14:textId="77777777" w:rsidR="009E37EE" w:rsidRPr="009E37EE" w:rsidRDefault="009E37EE" w:rsidP="009E37EE">
            <w:pPr>
              <w:ind w:firstLineChars="100" w:firstLine="140"/>
              <w:jc w:val="left"/>
              <w:rPr>
                <w:rFonts w:eastAsia="Times New Roman" w:cs="Arial"/>
                <w:color w:val="000000"/>
                <w:sz w:val="14"/>
                <w:szCs w:val="14"/>
              </w:rPr>
            </w:pPr>
            <w:r w:rsidRPr="009E37EE">
              <w:rPr>
                <w:rFonts w:eastAsia="Times New Roman" w:cs="Arial"/>
                <w:color w:val="000000"/>
                <w:sz w:val="14"/>
                <w:szCs w:val="14"/>
              </w:rPr>
              <w:t>L.     Otros Ingresos de Libre Disposición</w:t>
            </w:r>
          </w:p>
        </w:tc>
        <w:tc>
          <w:tcPr>
            <w:tcW w:w="1085" w:type="dxa"/>
            <w:tcBorders>
              <w:top w:val="nil"/>
              <w:left w:val="nil"/>
              <w:bottom w:val="nil"/>
              <w:right w:val="single" w:sz="4" w:space="0" w:color="auto"/>
            </w:tcBorders>
            <w:shd w:val="clear" w:color="000000" w:fill="FFFFFF"/>
            <w:hideMark/>
          </w:tcPr>
          <w:p w14:paraId="116E5E8B"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322,875,390</w:t>
            </w:r>
          </w:p>
        </w:tc>
        <w:tc>
          <w:tcPr>
            <w:tcW w:w="1084" w:type="dxa"/>
            <w:tcBorders>
              <w:top w:val="nil"/>
              <w:left w:val="nil"/>
              <w:bottom w:val="nil"/>
              <w:right w:val="single" w:sz="4" w:space="0" w:color="auto"/>
            </w:tcBorders>
            <w:shd w:val="clear" w:color="000000" w:fill="FFFFFF"/>
            <w:hideMark/>
          </w:tcPr>
          <w:p w14:paraId="522DA6A1"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3C5E47CE"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07F57119"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6E007597"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000000" w:fill="FFFFFF"/>
            <w:hideMark/>
          </w:tcPr>
          <w:p w14:paraId="22AC13D3"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r>
      <w:tr w:rsidR="009E37EE" w:rsidRPr="009E37EE" w14:paraId="5E297A4B"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0011A64D" w14:textId="77777777" w:rsidR="009E37EE" w:rsidRPr="009E37EE" w:rsidRDefault="009E37EE" w:rsidP="009E37EE">
            <w:pPr>
              <w:jc w:val="left"/>
              <w:rPr>
                <w:rFonts w:eastAsia="Times New Roman" w:cs="Arial"/>
                <w:color w:val="000000"/>
                <w:sz w:val="14"/>
                <w:szCs w:val="14"/>
              </w:rPr>
            </w:pPr>
            <w:r w:rsidRPr="009E37EE">
              <w:rPr>
                <w:rFonts w:eastAsia="Times New Roman" w:cs="Arial"/>
                <w:color w:val="000000"/>
                <w:sz w:val="14"/>
                <w:szCs w:val="14"/>
              </w:rPr>
              <w:t> </w:t>
            </w:r>
          </w:p>
        </w:tc>
        <w:tc>
          <w:tcPr>
            <w:tcW w:w="1085" w:type="dxa"/>
            <w:tcBorders>
              <w:top w:val="nil"/>
              <w:left w:val="nil"/>
              <w:bottom w:val="nil"/>
              <w:right w:val="single" w:sz="4" w:space="0" w:color="auto"/>
            </w:tcBorders>
            <w:shd w:val="clear" w:color="000000" w:fill="FFFFFF"/>
            <w:hideMark/>
          </w:tcPr>
          <w:p w14:paraId="40258142"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000000" w:fill="FFFFFF"/>
            <w:hideMark/>
          </w:tcPr>
          <w:p w14:paraId="79DC9E09"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000000" w:fill="FFFFFF"/>
            <w:hideMark/>
          </w:tcPr>
          <w:p w14:paraId="1FA7BDAD"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000000" w:fill="FFFFFF"/>
            <w:hideMark/>
          </w:tcPr>
          <w:p w14:paraId="012459D0"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000000" w:fill="FFFFFF"/>
            <w:hideMark/>
          </w:tcPr>
          <w:p w14:paraId="6A962A5F"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000000" w:fill="FFFFFF"/>
            <w:hideMark/>
          </w:tcPr>
          <w:p w14:paraId="1DE465FE"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r>
      <w:tr w:rsidR="009E37EE" w:rsidRPr="009E37EE" w14:paraId="4A9FE11F" w14:textId="77777777" w:rsidTr="009E37EE">
        <w:trPr>
          <w:trHeight w:val="20"/>
        </w:trPr>
        <w:tc>
          <w:tcPr>
            <w:tcW w:w="2323" w:type="dxa"/>
            <w:tcBorders>
              <w:top w:val="nil"/>
              <w:left w:val="single" w:sz="4" w:space="0" w:color="auto"/>
              <w:bottom w:val="nil"/>
              <w:right w:val="single" w:sz="4" w:space="0" w:color="auto"/>
            </w:tcBorders>
            <w:shd w:val="clear" w:color="FFFFCC" w:fill="FFFFFF"/>
            <w:hideMark/>
          </w:tcPr>
          <w:p w14:paraId="784571D9" w14:textId="77777777" w:rsidR="009E37EE" w:rsidRPr="009E37EE" w:rsidRDefault="009E37EE" w:rsidP="009E37EE">
            <w:pPr>
              <w:jc w:val="left"/>
              <w:rPr>
                <w:rFonts w:eastAsia="Times New Roman" w:cs="Arial"/>
                <w:b/>
                <w:bCs/>
                <w:color w:val="000000"/>
                <w:sz w:val="14"/>
                <w:szCs w:val="14"/>
              </w:rPr>
            </w:pPr>
            <w:r w:rsidRPr="009E37EE">
              <w:rPr>
                <w:rFonts w:eastAsia="Times New Roman" w:cs="Arial"/>
                <w:b/>
                <w:bCs/>
                <w:color w:val="000000"/>
                <w:sz w:val="14"/>
                <w:szCs w:val="14"/>
              </w:rPr>
              <w:t>2.   Transferencias Federales Etiquetadas (2=A+B+C+D+E)</w:t>
            </w:r>
          </w:p>
        </w:tc>
        <w:tc>
          <w:tcPr>
            <w:tcW w:w="1085" w:type="dxa"/>
            <w:tcBorders>
              <w:top w:val="nil"/>
              <w:left w:val="nil"/>
              <w:bottom w:val="nil"/>
              <w:right w:val="single" w:sz="4" w:space="0" w:color="auto"/>
            </w:tcBorders>
            <w:shd w:val="clear" w:color="000000" w:fill="FFFFFF"/>
            <w:hideMark/>
          </w:tcPr>
          <w:p w14:paraId="1B2D9389"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12,009,772,961</w:t>
            </w:r>
          </w:p>
        </w:tc>
        <w:tc>
          <w:tcPr>
            <w:tcW w:w="1084" w:type="dxa"/>
            <w:tcBorders>
              <w:top w:val="nil"/>
              <w:left w:val="nil"/>
              <w:bottom w:val="nil"/>
              <w:right w:val="single" w:sz="4" w:space="0" w:color="auto"/>
            </w:tcBorders>
            <w:shd w:val="clear" w:color="000000" w:fill="FFFFFF"/>
            <w:hideMark/>
          </w:tcPr>
          <w:p w14:paraId="3E81B26E"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12,670,310,474</w:t>
            </w:r>
          </w:p>
        </w:tc>
        <w:tc>
          <w:tcPr>
            <w:tcW w:w="1084" w:type="dxa"/>
            <w:tcBorders>
              <w:top w:val="nil"/>
              <w:left w:val="nil"/>
              <w:bottom w:val="nil"/>
              <w:right w:val="single" w:sz="4" w:space="0" w:color="auto"/>
            </w:tcBorders>
            <w:shd w:val="clear" w:color="000000" w:fill="FFFFFF"/>
            <w:hideMark/>
          </w:tcPr>
          <w:p w14:paraId="10A700A1"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13,367,177,550</w:t>
            </w:r>
          </w:p>
        </w:tc>
        <w:tc>
          <w:tcPr>
            <w:tcW w:w="1084" w:type="dxa"/>
            <w:tcBorders>
              <w:top w:val="nil"/>
              <w:left w:val="nil"/>
              <w:bottom w:val="nil"/>
              <w:right w:val="single" w:sz="4" w:space="0" w:color="auto"/>
            </w:tcBorders>
            <w:shd w:val="clear" w:color="000000" w:fill="FFFFFF"/>
            <w:hideMark/>
          </w:tcPr>
          <w:p w14:paraId="71CFCBB8"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14,102,372,315</w:t>
            </w:r>
          </w:p>
        </w:tc>
        <w:tc>
          <w:tcPr>
            <w:tcW w:w="1084" w:type="dxa"/>
            <w:tcBorders>
              <w:top w:val="nil"/>
              <w:left w:val="nil"/>
              <w:bottom w:val="nil"/>
              <w:right w:val="single" w:sz="4" w:space="0" w:color="auto"/>
            </w:tcBorders>
            <w:shd w:val="clear" w:color="000000" w:fill="FFFFFF"/>
            <w:hideMark/>
          </w:tcPr>
          <w:p w14:paraId="4BC74AA1"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14,878,002,792</w:t>
            </w:r>
          </w:p>
        </w:tc>
        <w:tc>
          <w:tcPr>
            <w:tcW w:w="1084" w:type="dxa"/>
            <w:tcBorders>
              <w:top w:val="nil"/>
              <w:left w:val="nil"/>
              <w:bottom w:val="nil"/>
              <w:right w:val="single" w:sz="4" w:space="0" w:color="auto"/>
            </w:tcBorders>
            <w:shd w:val="clear" w:color="000000" w:fill="FFFFFF"/>
            <w:hideMark/>
          </w:tcPr>
          <w:p w14:paraId="3786D4D6"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15,696,292,946</w:t>
            </w:r>
          </w:p>
        </w:tc>
      </w:tr>
      <w:tr w:rsidR="009E37EE" w:rsidRPr="009E37EE" w14:paraId="4689EA26"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728C31C2" w14:textId="77777777" w:rsidR="009E37EE" w:rsidRPr="009E37EE" w:rsidRDefault="009E37EE" w:rsidP="009E37EE">
            <w:pPr>
              <w:ind w:firstLineChars="100" w:firstLine="140"/>
              <w:jc w:val="left"/>
              <w:rPr>
                <w:rFonts w:eastAsia="Times New Roman" w:cs="Arial"/>
                <w:color w:val="000000"/>
                <w:sz w:val="14"/>
                <w:szCs w:val="14"/>
              </w:rPr>
            </w:pPr>
            <w:r w:rsidRPr="009E37EE">
              <w:rPr>
                <w:rFonts w:eastAsia="Times New Roman" w:cs="Arial"/>
                <w:color w:val="000000"/>
                <w:sz w:val="14"/>
                <w:szCs w:val="14"/>
              </w:rPr>
              <w:t>A.    Aportaciones</w:t>
            </w:r>
          </w:p>
        </w:tc>
        <w:tc>
          <w:tcPr>
            <w:tcW w:w="1085" w:type="dxa"/>
            <w:tcBorders>
              <w:top w:val="nil"/>
              <w:left w:val="nil"/>
              <w:bottom w:val="nil"/>
              <w:right w:val="single" w:sz="4" w:space="0" w:color="auto"/>
            </w:tcBorders>
            <w:shd w:val="clear" w:color="000000" w:fill="FFFFFF"/>
            <w:hideMark/>
          </w:tcPr>
          <w:p w14:paraId="075DD4F8"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8,947,961,092</w:t>
            </w:r>
          </w:p>
        </w:tc>
        <w:tc>
          <w:tcPr>
            <w:tcW w:w="1084" w:type="dxa"/>
            <w:tcBorders>
              <w:top w:val="nil"/>
              <w:left w:val="nil"/>
              <w:bottom w:val="nil"/>
              <w:right w:val="single" w:sz="4" w:space="0" w:color="auto"/>
            </w:tcBorders>
            <w:shd w:val="clear" w:color="000000" w:fill="FFFFFF"/>
            <w:hideMark/>
          </w:tcPr>
          <w:p w14:paraId="35BFDA61"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9,440,098,952</w:t>
            </w:r>
          </w:p>
        </w:tc>
        <w:tc>
          <w:tcPr>
            <w:tcW w:w="1084" w:type="dxa"/>
            <w:tcBorders>
              <w:top w:val="nil"/>
              <w:left w:val="nil"/>
              <w:bottom w:val="nil"/>
              <w:right w:val="single" w:sz="4" w:space="0" w:color="auto"/>
            </w:tcBorders>
            <w:shd w:val="clear" w:color="000000" w:fill="FFFFFF"/>
            <w:hideMark/>
          </w:tcPr>
          <w:p w14:paraId="1C297C21"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9,959,304,394</w:t>
            </w:r>
          </w:p>
        </w:tc>
        <w:tc>
          <w:tcPr>
            <w:tcW w:w="1084" w:type="dxa"/>
            <w:tcBorders>
              <w:top w:val="nil"/>
              <w:left w:val="nil"/>
              <w:bottom w:val="nil"/>
              <w:right w:val="single" w:sz="4" w:space="0" w:color="auto"/>
            </w:tcBorders>
            <w:shd w:val="clear" w:color="000000" w:fill="FFFFFF"/>
            <w:hideMark/>
          </w:tcPr>
          <w:p w14:paraId="7E8BBD00"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10,507,066,136</w:t>
            </w:r>
          </w:p>
        </w:tc>
        <w:tc>
          <w:tcPr>
            <w:tcW w:w="1084" w:type="dxa"/>
            <w:tcBorders>
              <w:top w:val="nil"/>
              <w:left w:val="nil"/>
              <w:bottom w:val="nil"/>
              <w:right w:val="single" w:sz="4" w:space="0" w:color="auto"/>
            </w:tcBorders>
            <w:shd w:val="clear" w:color="000000" w:fill="FFFFFF"/>
            <w:hideMark/>
          </w:tcPr>
          <w:p w14:paraId="51DE9FFC"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11,084,954,774</w:t>
            </w:r>
          </w:p>
        </w:tc>
        <w:tc>
          <w:tcPr>
            <w:tcW w:w="1084" w:type="dxa"/>
            <w:tcBorders>
              <w:top w:val="nil"/>
              <w:left w:val="nil"/>
              <w:bottom w:val="nil"/>
              <w:right w:val="single" w:sz="4" w:space="0" w:color="auto"/>
            </w:tcBorders>
            <w:shd w:val="clear" w:color="000000" w:fill="FFFFFF"/>
            <w:hideMark/>
          </w:tcPr>
          <w:p w14:paraId="64AC7178"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11,694,627,286</w:t>
            </w:r>
          </w:p>
        </w:tc>
      </w:tr>
      <w:tr w:rsidR="009E37EE" w:rsidRPr="009E37EE" w14:paraId="1F6820C8"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33E8A0AD" w14:textId="77777777" w:rsidR="009E37EE" w:rsidRPr="009E37EE" w:rsidRDefault="009E37EE" w:rsidP="009E37EE">
            <w:pPr>
              <w:ind w:firstLineChars="100" w:firstLine="140"/>
              <w:jc w:val="left"/>
              <w:rPr>
                <w:rFonts w:eastAsia="Times New Roman" w:cs="Arial"/>
                <w:color w:val="000000"/>
                <w:sz w:val="14"/>
                <w:szCs w:val="14"/>
              </w:rPr>
            </w:pPr>
            <w:r w:rsidRPr="009E37EE">
              <w:rPr>
                <w:rFonts w:eastAsia="Times New Roman" w:cs="Arial"/>
                <w:color w:val="000000"/>
                <w:sz w:val="14"/>
                <w:szCs w:val="14"/>
              </w:rPr>
              <w:t>B.    Convenios</w:t>
            </w:r>
          </w:p>
        </w:tc>
        <w:tc>
          <w:tcPr>
            <w:tcW w:w="1085" w:type="dxa"/>
            <w:tcBorders>
              <w:top w:val="nil"/>
              <w:left w:val="nil"/>
              <w:bottom w:val="nil"/>
              <w:right w:val="single" w:sz="4" w:space="0" w:color="auto"/>
            </w:tcBorders>
            <w:shd w:val="clear" w:color="000000" w:fill="FFFFFF"/>
            <w:hideMark/>
          </w:tcPr>
          <w:p w14:paraId="7E68E3C3"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1,029,134,688</w:t>
            </w:r>
          </w:p>
        </w:tc>
        <w:tc>
          <w:tcPr>
            <w:tcW w:w="1084" w:type="dxa"/>
            <w:tcBorders>
              <w:top w:val="nil"/>
              <w:left w:val="nil"/>
              <w:bottom w:val="nil"/>
              <w:right w:val="single" w:sz="4" w:space="0" w:color="auto"/>
            </w:tcBorders>
            <w:shd w:val="clear" w:color="000000" w:fill="FFFFFF"/>
            <w:hideMark/>
          </w:tcPr>
          <w:p w14:paraId="18F6A4A8"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1,085,737,096</w:t>
            </w:r>
          </w:p>
        </w:tc>
        <w:tc>
          <w:tcPr>
            <w:tcW w:w="1084" w:type="dxa"/>
            <w:tcBorders>
              <w:top w:val="nil"/>
              <w:left w:val="nil"/>
              <w:bottom w:val="nil"/>
              <w:right w:val="single" w:sz="4" w:space="0" w:color="auto"/>
            </w:tcBorders>
            <w:shd w:val="clear" w:color="000000" w:fill="FFFFFF"/>
            <w:hideMark/>
          </w:tcPr>
          <w:p w14:paraId="49177B66"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1,145,452,636</w:t>
            </w:r>
          </w:p>
        </w:tc>
        <w:tc>
          <w:tcPr>
            <w:tcW w:w="1084" w:type="dxa"/>
            <w:tcBorders>
              <w:top w:val="nil"/>
              <w:left w:val="nil"/>
              <w:bottom w:val="nil"/>
              <w:right w:val="single" w:sz="4" w:space="0" w:color="auto"/>
            </w:tcBorders>
            <w:shd w:val="clear" w:color="000000" w:fill="FFFFFF"/>
            <w:hideMark/>
          </w:tcPr>
          <w:p w14:paraId="24E5E501"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1,208,452,531</w:t>
            </w:r>
          </w:p>
        </w:tc>
        <w:tc>
          <w:tcPr>
            <w:tcW w:w="1084" w:type="dxa"/>
            <w:tcBorders>
              <w:top w:val="nil"/>
              <w:left w:val="nil"/>
              <w:bottom w:val="nil"/>
              <w:right w:val="single" w:sz="4" w:space="0" w:color="auto"/>
            </w:tcBorders>
            <w:shd w:val="clear" w:color="000000" w:fill="FFFFFF"/>
            <w:hideMark/>
          </w:tcPr>
          <w:p w14:paraId="228F0EE3"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1,274,917,420</w:t>
            </w:r>
          </w:p>
        </w:tc>
        <w:tc>
          <w:tcPr>
            <w:tcW w:w="1084" w:type="dxa"/>
            <w:tcBorders>
              <w:top w:val="nil"/>
              <w:left w:val="nil"/>
              <w:bottom w:val="nil"/>
              <w:right w:val="single" w:sz="4" w:space="0" w:color="auto"/>
            </w:tcBorders>
            <w:shd w:val="clear" w:color="000000" w:fill="FFFFFF"/>
            <w:hideMark/>
          </w:tcPr>
          <w:p w14:paraId="653AE4CB"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1,345,037,878</w:t>
            </w:r>
          </w:p>
        </w:tc>
      </w:tr>
      <w:tr w:rsidR="009E37EE" w:rsidRPr="009E37EE" w14:paraId="7E819AFF"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78BE54BF" w14:textId="77777777" w:rsidR="009E37EE" w:rsidRPr="009E37EE" w:rsidRDefault="009E37EE" w:rsidP="009E37EE">
            <w:pPr>
              <w:ind w:firstLineChars="100" w:firstLine="140"/>
              <w:jc w:val="left"/>
              <w:rPr>
                <w:rFonts w:eastAsia="Times New Roman" w:cs="Arial"/>
                <w:color w:val="000000"/>
                <w:sz w:val="14"/>
                <w:szCs w:val="14"/>
              </w:rPr>
            </w:pPr>
            <w:r w:rsidRPr="009E37EE">
              <w:rPr>
                <w:rFonts w:eastAsia="Times New Roman" w:cs="Arial"/>
                <w:color w:val="000000"/>
                <w:sz w:val="14"/>
                <w:szCs w:val="14"/>
              </w:rPr>
              <w:t>C.    Fondos Distintos de Aportaciones</w:t>
            </w:r>
          </w:p>
        </w:tc>
        <w:tc>
          <w:tcPr>
            <w:tcW w:w="1085" w:type="dxa"/>
            <w:tcBorders>
              <w:top w:val="nil"/>
              <w:left w:val="nil"/>
              <w:bottom w:val="nil"/>
              <w:right w:val="single" w:sz="4" w:space="0" w:color="auto"/>
            </w:tcBorders>
            <w:shd w:val="clear" w:color="FFFFCC" w:fill="FFFFFF"/>
            <w:hideMark/>
          </w:tcPr>
          <w:p w14:paraId="38C61727"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FFFFCC" w:fill="FFFFFF"/>
            <w:hideMark/>
          </w:tcPr>
          <w:p w14:paraId="2272FF13"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FFFFCC" w:fill="FFFFFF"/>
            <w:hideMark/>
          </w:tcPr>
          <w:p w14:paraId="30B02F74"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FFFFCC" w:fill="FFFFFF"/>
            <w:hideMark/>
          </w:tcPr>
          <w:p w14:paraId="72194DC7"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FFFFCC" w:fill="FFFFFF"/>
            <w:hideMark/>
          </w:tcPr>
          <w:p w14:paraId="4FC9C6ED"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FFFFCC" w:fill="FFFFFF"/>
            <w:hideMark/>
          </w:tcPr>
          <w:p w14:paraId="0AE140DA"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r>
      <w:tr w:rsidR="009E37EE" w:rsidRPr="009E37EE" w14:paraId="2A8972A9"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4D24247E" w14:textId="77777777" w:rsidR="009E37EE" w:rsidRPr="009E37EE" w:rsidRDefault="009E37EE" w:rsidP="009E37EE">
            <w:pPr>
              <w:ind w:firstLineChars="100" w:firstLine="140"/>
              <w:jc w:val="left"/>
              <w:rPr>
                <w:rFonts w:eastAsia="Times New Roman" w:cs="Arial"/>
                <w:color w:val="000000"/>
                <w:sz w:val="14"/>
                <w:szCs w:val="14"/>
              </w:rPr>
            </w:pPr>
            <w:r w:rsidRPr="009E37EE">
              <w:rPr>
                <w:rFonts w:eastAsia="Times New Roman" w:cs="Arial"/>
                <w:color w:val="000000"/>
                <w:sz w:val="14"/>
                <w:szCs w:val="14"/>
              </w:rPr>
              <w:t>D.    Transferencias, Subsidios y Subvenciones, y Pensiones y Jubilaciones</w:t>
            </w:r>
          </w:p>
        </w:tc>
        <w:tc>
          <w:tcPr>
            <w:tcW w:w="1085" w:type="dxa"/>
            <w:tcBorders>
              <w:top w:val="nil"/>
              <w:left w:val="nil"/>
              <w:bottom w:val="nil"/>
              <w:right w:val="single" w:sz="4" w:space="0" w:color="auto"/>
            </w:tcBorders>
            <w:shd w:val="clear" w:color="FFFFCC" w:fill="FFFFFF"/>
            <w:vAlign w:val="bottom"/>
            <w:hideMark/>
          </w:tcPr>
          <w:p w14:paraId="7E98D95A"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2,032,677,181</w:t>
            </w:r>
          </w:p>
        </w:tc>
        <w:tc>
          <w:tcPr>
            <w:tcW w:w="1084" w:type="dxa"/>
            <w:tcBorders>
              <w:top w:val="nil"/>
              <w:left w:val="nil"/>
              <w:bottom w:val="nil"/>
              <w:right w:val="single" w:sz="4" w:space="0" w:color="auto"/>
            </w:tcBorders>
            <w:shd w:val="clear" w:color="FFFFCC" w:fill="FFFFFF"/>
            <w:vAlign w:val="bottom"/>
            <w:hideMark/>
          </w:tcPr>
          <w:p w14:paraId="48D73AE5"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2,144,474,426</w:t>
            </w:r>
          </w:p>
        </w:tc>
        <w:tc>
          <w:tcPr>
            <w:tcW w:w="1084" w:type="dxa"/>
            <w:tcBorders>
              <w:top w:val="nil"/>
              <w:left w:val="nil"/>
              <w:bottom w:val="nil"/>
              <w:right w:val="single" w:sz="4" w:space="0" w:color="auto"/>
            </w:tcBorders>
            <w:shd w:val="clear" w:color="FFFFCC" w:fill="FFFFFF"/>
            <w:vAlign w:val="bottom"/>
            <w:hideMark/>
          </w:tcPr>
          <w:p w14:paraId="03FB3DEF"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2,262,420,519</w:t>
            </w:r>
          </w:p>
        </w:tc>
        <w:tc>
          <w:tcPr>
            <w:tcW w:w="1084" w:type="dxa"/>
            <w:tcBorders>
              <w:top w:val="nil"/>
              <w:left w:val="nil"/>
              <w:bottom w:val="nil"/>
              <w:right w:val="single" w:sz="4" w:space="0" w:color="auto"/>
            </w:tcBorders>
            <w:shd w:val="clear" w:color="FFFFCC" w:fill="FFFFFF"/>
            <w:vAlign w:val="bottom"/>
            <w:hideMark/>
          </w:tcPr>
          <w:p w14:paraId="5883AC06"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2,386,853,648</w:t>
            </w:r>
          </w:p>
        </w:tc>
        <w:tc>
          <w:tcPr>
            <w:tcW w:w="1084" w:type="dxa"/>
            <w:tcBorders>
              <w:top w:val="nil"/>
              <w:left w:val="nil"/>
              <w:bottom w:val="nil"/>
              <w:right w:val="single" w:sz="4" w:space="0" w:color="auto"/>
            </w:tcBorders>
            <w:shd w:val="clear" w:color="FFFFCC" w:fill="FFFFFF"/>
            <w:vAlign w:val="bottom"/>
            <w:hideMark/>
          </w:tcPr>
          <w:p w14:paraId="4E6B56D8"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2,518,130,599</w:t>
            </w:r>
          </w:p>
        </w:tc>
        <w:tc>
          <w:tcPr>
            <w:tcW w:w="1084" w:type="dxa"/>
            <w:tcBorders>
              <w:top w:val="nil"/>
              <w:left w:val="nil"/>
              <w:bottom w:val="nil"/>
              <w:right w:val="single" w:sz="4" w:space="0" w:color="auto"/>
            </w:tcBorders>
            <w:shd w:val="clear" w:color="FFFFCC" w:fill="FFFFFF"/>
            <w:vAlign w:val="bottom"/>
            <w:hideMark/>
          </w:tcPr>
          <w:p w14:paraId="06EF6F32"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2,656,627,782</w:t>
            </w:r>
          </w:p>
        </w:tc>
      </w:tr>
      <w:tr w:rsidR="009E37EE" w:rsidRPr="009E37EE" w14:paraId="20C462FF"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76007849" w14:textId="77777777" w:rsidR="009E37EE" w:rsidRPr="009E37EE" w:rsidRDefault="009E37EE" w:rsidP="009E37EE">
            <w:pPr>
              <w:ind w:firstLineChars="100" w:firstLine="140"/>
              <w:jc w:val="left"/>
              <w:rPr>
                <w:rFonts w:eastAsia="Times New Roman" w:cs="Arial"/>
                <w:color w:val="000000"/>
                <w:sz w:val="14"/>
                <w:szCs w:val="14"/>
              </w:rPr>
            </w:pPr>
            <w:r w:rsidRPr="009E37EE">
              <w:rPr>
                <w:rFonts w:eastAsia="Times New Roman" w:cs="Arial"/>
                <w:color w:val="000000"/>
                <w:sz w:val="14"/>
                <w:szCs w:val="14"/>
              </w:rPr>
              <w:t>E.    Otras Transferencias Federales Etiquetadas</w:t>
            </w:r>
          </w:p>
        </w:tc>
        <w:tc>
          <w:tcPr>
            <w:tcW w:w="1085" w:type="dxa"/>
            <w:tcBorders>
              <w:top w:val="nil"/>
              <w:left w:val="nil"/>
              <w:bottom w:val="nil"/>
              <w:right w:val="single" w:sz="4" w:space="0" w:color="auto"/>
            </w:tcBorders>
            <w:shd w:val="clear" w:color="FFFFCC" w:fill="FFFFFF"/>
            <w:hideMark/>
          </w:tcPr>
          <w:p w14:paraId="0B137FE2"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061DC238"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3EB08BE7"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15F3E12E"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48126765"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051564B0"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 </w:t>
            </w:r>
          </w:p>
        </w:tc>
      </w:tr>
      <w:tr w:rsidR="009E37EE" w:rsidRPr="009E37EE" w14:paraId="5B8B91C7"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291686D0" w14:textId="77777777" w:rsidR="009E37EE" w:rsidRPr="009E37EE" w:rsidRDefault="009E37EE" w:rsidP="009E37EE">
            <w:pPr>
              <w:jc w:val="left"/>
              <w:rPr>
                <w:rFonts w:eastAsia="Times New Roman" w:cs="Arial"/>
                <w:color w:val="000000"/>
                <w:sz w:val="14"/>
                <w:szCs w:val="14"/>
              </w:rPr>
            </w:pPr>
            <w:r w:rsidRPr="009E37EE">
              <w:rPr>
                <w:rFonts w:eastAsia="Times New Roman" w:cs="Arial"/>
                <w:color w:val="000000"/>
                <w:sz w:val="14"/>
                <w:szCs w:val="14"/>
              </w:rPr>
              <w:t> </w:t>
            </w:r>
          </w:p>
        </w:tc>
        <w:tc>
          <w:tcPr>
            <w:tcW w:w="1085" w:type="dxa"/>
            <w:tcBorders>
              <w:top w:val="nil"/>
              <w:left w:val="nil"/>
              <w:bottom w:val="nil"/>
              <w:right w:val="single" w:sz="4" w:space="0" w:color="auto"/>
            </w:tcBorders>
            <w:shd w:val="clear" w:color="FFFFCC" w:fill="FFFFFF"/>
            <w:hideMark/>
          </w:tcPr>
          <w:p w14:paraId="603E998D"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5C9594B5"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7176BF77"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739C1EA8"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4750F88F"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085C6496"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 </w:t>
            </w:r>
          </w:p>
        </w:tc>
      </w:tr>
      <w:tr w:rsidR="009E37EE" w:rsidRPr="009E37EE" w14:paraId="7080929F"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14645D7B" w14:textId="77777777" w:rsidR="009E37EE" w:rsidRPr="009E37EE" w:rsidRDefault="009E37EE" w:rsidP="009E37EE">
            <w:pPr>
              <w:jc w:val="left"/>
              <w:rPr>
                <w:rFonts w:eastAsia="Times New Roman" w:cs="Arial"/>
                <w:b/>
                <w:bCs/>
                <w:color w:val="000000"/>
                <w:sz w:val="14"/>
                <w:szCs w:val="14"/>
              </w:rPr>
            </w:pPr>
            <w:r w:rsidRPr="009E37EE">
              <w:rPr>
                <w:rFonts w:eastAsia="Times New Roman" w:cs="Arial"/>
                <w:b/>
                <w:bCs/>
                <w:color w:val="000000"/>
                <w:sz w:val="14"/>
                <w:szCs w:val="14"/>
              </w:rPr>
              <w:t>3.   Ingresos Derivados de Financiamientos (3=A)</w:t>
            </w:r>
          </w:p>
        </w:tc>
        <w:tc>
          <w:tcPr>
            <w:tcW w:w="1085" w:type="dxa"/>
            <w:tcBorders>
              <w:top w:val="nil"/>
              <w:left w:val="nil"/>
              <w:bottom w:val="nil"/>
              <w:right w:val="single" w:sz="4" w:space="0" w:color="auto"/>
            </w:tcBorders>
            <w:shd w:val="clear" w:color="FFFFCC" w:fill="FFFFFF"/>
            <w:hideMark/>
          </w:tcPr>
          <w:p w14:paraId="6962F785"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333,241,473</w:t>
            </w:r>
          </w:p>
        </w:tc>
        <w:tc>
          <w:tcPr>
            <w:tcW w:w="1084" w:type="dxa"/>
            <w:tcBorders>
              <w:top w:val="nil"/>
              <w:left w:val="nil"/>
              <w:bottom w:val="nil"/>
              <w:right w:val="single" w:sz="4" w:space="0" w:color="auto"/>
            </w:tcBorders>
            <w:shd w:val="clear" w:color="FFFFCC" w:fill="FFFFFF"/>
            <w:hideMark/>
          </w:tcPr>
          <w:p w14:paraId="14BEA03B"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0</w:t>
            </w:r>
          </w:p>
        </w:tc>
        <w:tc>
          <w:tcPr>
            <w:tcW w:w="1084" w:type="dxa"/>
            <w:tcBorders>
              <w:top w:val="nil"/>
              <w:left w:val="nil"/>
              <w:bottom w:val="nil"/>
              <w:right w:val="single" w:sz="4" w:space="0" w:color="auto"/>
            </w:tcBorders>
            <w:shd w:val="clear" w:color="FFFFCC" w:fill="FFFFFF"/>
            <w:hideMark/>
          </w:tcPr>
          <w:p w14:paraId="7015B506"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0</w:t>
            </w:r>
          </w:p>
        </w:tc>
        <w:tc>
          <w:tcPr>
            <w:tcW w:w="1084" w:type="dxa"/>
            <w:tcBorders>
              <w:top w:val="nil"/>
              <w:left w:val="nil"/>
              <w:bottom w:val="nil"/>
              <w:right w:val="single" w:sz="4" w:space="0" w:color="auto"/>
            </w:tcBorders>
            <w:shd w:val="clear" w:color="FFFFCC" w:fill="FFFFFF"/>
            <w:hideMark/>
          </w:tcPr>
          <w:p w14:paraId="0BCE8CDC"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0</w:t>
            </w:r>
          </w:p>
        </w:tc>
        <w:tc>
          <w:tcPr>
            <w:tcW w:w="1084" w:type="dxa"/>
            <w:tcBorders>
              <w:top w:val="nil"/>
              <w:left w:val="nil"/>
              <w:bottom w:val="nil"/>
              <w:right w:val="single" w:sz="4" w:space="0" w:color="auto"/>
            </w:tcBorders>
            <w:shd w:val="clear" w:color="FFFFCC" w:fill="FFFFFF"/>
            <w:hideMark/>
          </w:tcPr>
          <w:p w14:paraId="0DFE9A22"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0</w:t>
            </w:r>
          </w:p>
        </w:tc>
        <w:tc>
          <w:tcPr>
            <w:tcW w:w="1084" w:type="dxa"/>
            <w:tcBorders>
              <w:top w:val="nil"/>
              <w:left w:val="nil"/>
              <w:bottom w:val="nil"/>
              <w:right w:val="single" w:sz="4" w:space="0" w:color="auto"/>
            </w:tcBorders>
            <w:shd w:val="clear" w:color="FFFFCC" w:fill="FFFFFF"/>
            <w:hideMark/>
          </w:tcPr>
          <w:p w14:paraId="7B6BC564"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0</w:t>
            </w:r>
          </w:p>
        </w:tc>
      </w:tr>
      <w:tr w:rsidR="009E37EE" w:rsidRPr="009E37EE" w14:paraId="116ADE29"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0F85E35D" w14:textId="77777777" w:rsidR="009E37EE" w:rsidRPr="009E37EE" w:rsidRDefault="009E37EE" w:rsidP="009E37EE">
            <w:pPr>
              <w:ind w:firstLineChars="100" w:firstLine="140"/>
              <w:jc w:val="left"/>
              <w:rPr>
                <w:rFonts w:eastAsia="Times New Roman" w:cs="Arial"/>
                <w:color w:val="000000"/>
                <w:sz w:val="14"/>
                <w:szCs w:val="14"/>
              </w:rPr>
            </w:pPr>
            <w:r w:rsidRPr="009E37EE">
              <w:rPr>
                <w:rFonts w:eastAsia="Times New Roman" w:cs="Arial"/>
                <w:color w:val="000000"/>
                <w:sz w:val="14"/>
                <w:szCs w:val="14"/>
              </w:rPr>
              <w:t>A.    Ingresos Derivados de Financiamientos</w:t>
            </w:r>
          </w:p>
        </w:tc>
        <w:tc>
          <w:tcPr>
            <w:tcW w:w="1085" w:type="dxa"/>
            <w:tcBorders>
              <w:top w:val="nil"/>
              <w:left w:val="nil"/>
              <w:bottom w:val="nil"/>
              <w:right w:val="single" w:sz="4" w:space="0" w:color="auto"/>
            </w:tcBorders>
            <w:shd w:val="clear" w:color="FFFFCC" w:fill="FFFFFF"/>
            <w:hideMark/>
          </w:tcPr>
          <w:p w14:paraId="1E70152B"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333,241,473</w:t>
            </w:r>
          </w:p>
        </w:tc>
        <w:tc>
          <w:tcPr>
            <w:tcW w:w="1084" w:type="dxa"/>
            <w:tcBorders>
              <w:top w:val="nil"/>
              <w:left w:val="nil"/>
              <w:bottom w:val="nil"/>
              <w:right w:val="single" w:sz="4" w:space="0" w:color="auto"/>
            </w:tcBorders>
            <w:shd w:val="clear" w:color="FFFFCC" w:fill="FFFFFF"/>
            <w:hideMark/>
          </w:tcPr>
          <w:p w14:paraId="4CE8D6CE"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FFFFCC" w:fill="FFFFFF"/>
            <w:hideMark/>
          </w:tcPr>
          <w:p w14:paraId="1B8581EB"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FFFFCC" w:fill="FFFFFF"/>
            <w:hideMark/>
          </w:tcPr>
          <w:p w14:paraId="6BD5C91E"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FFFFCC" w:fill="FFFFFF"/>
            <w:hideMark/>
          </w:tcPr>
          <w:p w14:paraId="03917F4F"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FFFFCC" w:fill="FFFFFF"/>
            <w:hideMark/>
          </w:tcPr>
          <w:p w14:paraId="7FCDB377"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r>
      <w:tr w:rsidR="009E37EE" w:rsidRPr="009E37EE" w14:paraId="6CECE4CC"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4BD97D2C" w14:textId="77777777" w:rsidR="009E37EE" w:rsidRPr="009E37EE" w:rsidRDefault="009E37EE" w:rsidP="009E37EE">
            <w:pPr>
              <w:jc w:val="left"/>
              <w:rPr>
                <w:rFonts w:eastAsia="Times New Roman" w:cs="Arial"/>
                <w:color w:val="000000"/>
                <w:sz w:val="14"/>
                <w:szCs w:val="14"/>
              </w:rPr>
            </w:pPr>
            <w:r w:rsidRPr="009E37EE">
              <w:rPr>
                <w:rFonts w:eastAsia="Times New Roman" w:cs="Arial"/>
                <w:color w:val="000000"/>
                <w:sz w:val="14"/>
                <w:szCs w:val="14"/>
              </w:rPr>
              <w:t> </w:t>
            </w:r>
          </w:p>
        </w:tc>
        <w:tc>
          <w:tcPr>
            <w:tcW w:w="1085" w:type="dxa"/>
            <w:tcBorders>
              <w:top w:val="nil"/>
              <w:left w:val="nil"/>
              <w:bottom w:val="nil"/>
              <w:right w:val="single" w:sz="4" w:space="0" w:color="auto"/>
            </w:tcBorders>
            <w:shd w:val="clear" w:color="FFFFCC" w:fill="FFFFFF"/>
            <w:hideMark/>
          </w:tcPr>
          <w:p w14:paraId="71A3D640" w14:textId="77777777" w:rsidR="009E37EE" w:rsidRPr="009E37EE" w:rsidRDefault="009E37EE" w:rsidP="009E37EE">
            <w:pP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355F4A37" w14:textId="77777777" w:rsidR="009E37EE" w:rsidRPr="009E37EE" w:rsidRDefault="009E37EE" w:rsidP="009E37EE">
            <w:pP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23AEE84A" w14:textId="77777777" w:rsidR="009E37EE" w:rsidRPr="009E37EE" w:rsidRDefault="009E37EE" w:rsidP="009E37EE">
            <w:pP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08121D3A" w14:textId="77777777" w:rsidR="009E37EE" w:rsidRPr="009E37EE" w:rsidRDefault="009E37EE" w:rsidP="009E37EE">
            <w:pP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39F7F258" w14:textId="77777777" w:rsidR="009E37EE" w:rsidRPr="009E37EE" w:rsidRDefault="009E37EE" w:rsidP="009E37EE">
            <w:pP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7818DD40" w14:textId="77777777" w:rsidR="009E37EE" w:rsidRPr="009E37EE" w:rsidRDefault="009E37EE" w:rsidP="009E37EE">
            <w:pPr>
              <w:rPr>
                <w:rFonts w:eastAsia="Times New Roman" w:cs="Arial"/>
                <w:color w:val="000000"/>
                <w:sz w:val="14"/>
                <w:szCs w:val="14"/>
              </w:rPr>
            </w:pPr>
            <w:r w:rsidRPr="009E37EE">
              <w:rPr>
                <w:rFonts w:eastAsia="Times New Roman" w:cs="Arial"/>
                <w:color w:val="000000"/>
                <w:sz w:val="14"/>
                <w:szCs w:val="14"/>
              </w:rPr>
              <w:t> </w:t>
            </w:r>
          </w:p>
        </w:tc>
      </w:tr>
      <w:tr w:rsidR="009E37EE" w:rsidRPr="009E37EE" w14:paraId="08771E84"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57124C63" w14:textId="77777777" w:rsidR="009E37EE" w:rsidRPr="009E37EE" w:rsidRDefault="009E37EE" w:rsidP="009E37EE">
            <w:pPr>
              <w:jc w:val="left"/>
              <w:rPr>
                <w:rFonts w:eastAsia="Times New Roman" w:cs="Arial"/>
                <w:b/>
                <w:bCs/>
                <w:color w:val="000000"/>
                <w:sz w:val="14"/>
                <w:szCs w:val="14"/>
              </w:rPr>
            </w:pPr>
            <w:r w:rsidRPr="009E37EE">
              <w:rPr>
                <w:rFonts w:eastAsia="Times New Roman" w:cs="Arial"/>
                <w:b/>
                <w:bCs/>
                <w:color w:val="000000"/>
                <w:sz w:val="14"/>
                <w:szCs w:val="14"/>
              </w:rPr>
              <w:t>4.   Total de Ingresos Proyectados (4=1+2+3)</w:t>
            </w:r>
          </w:p>
        </w:tc>
        <w:tc>
          <w:tcPr>
            <w:tcW w:w="1085" w:type="dxa"/>
            <w:tcBorders>
              <w:top w:val="nil"/>
              <w:left w:val="nil"/>
              <w:bottom w:val="nil"/>
              <w:right w:val="single" w:sz="4" w:space="0" w:color="auto"/>
            </w:tcBorders>
            <w:shd w:val="clear" w:color="FFFFCC" w:fill="FFFFFF"/>
            <w:vAlign w:val="bottom"/>
            <w:hideMark/>
          </w:tcPr>
          <w:p w14:paraId="7409498E"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23,004,130,279</w:t>
            </w:r>
          </w:p>
        </w:tc>
        <w:tc>
          <w:tcPr>
            <w:tcW w:w="1084" w:type="dxa"/>
            <w:tcBorders>
              <w:top w:val="nil"/>
              <w:left w:val="nil"/>
              <w:bottom w:val="nil"/>
              <w:right w:val="single" w:sz="4" w:space="0" w:color="auto"/>
            </w:tcBorders>
            <w:shd w:val="clear" w:color="FFFFCC" w:fill="FFFFFF"/>
            <w:vAlign w:val="bottom"/>
            <w:hideMark/>
          </w:tcPr>
          <w:p w14:paraId="2357B364"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23,577,154,154</w:t>
            </w:r>
          </w:p>
        </w:tc>
        <w:tc>
          <w:tcPr>
            <w:tcW w:w="1084" w:type="dxa"/>
            <w:tcBorders>
              <w:top w:val="nil"/>
              <w:left w:val="nil"/>
              <w:bottom w:val="nil"/>
              <w:right w:val="single" w:sz="4" w:space="0" w:color="auto"/>
            </w:tcBorders>
            <w:shd w:val="clear" w:color="FFFFCC" w:fill="FFFFFF"/>
            <w:vAlign w:val="bottom"/>
            <w:hideMark/>
          </w:tcPr>
          <w:p w14:paraId="7689BEE5"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24,873,897,633</w:t>
            </w:r>
          </w:p>
        </w:tc>
        <w:tc>
          <w:tcPr>
            <w:tcW w:w="1084" w:type="dxa"/>
            <w:tcBorders>
              <w:top w:val="nil"/>
              <w:left w:val="nil"/>
              <w:bottom w:val="nil"/>
              <w:right w:val="single" w:sz="4" w:space="0" w:color="auto"/>
            </w:tcBorders>
            <w:shd w:val="clear" w:color="FFFFCC" w:fill="FFFFFF"/>
            <w:vAlign w:val="bottom"/>
            <w:hideMark/>
          </w:tcPr>
          <w:p w14:paraId="1D6D408B"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26,241,962,003</w:t>
            </w:r>
          </w:p>
        </w:tc>
        <w:tc>
          <w:tcPr>
            <w:tcW w:w="1084" w:type="dxa"/>
            <w:tcBorders>
              <w:top w:val="nil"/>
              <w:left w:val="nil"/>
              <w:bottom w:val="nil"/>
              <w:right w:val="single" w:sz="4" w:space="0" w:color="auto"/>
            </w:tcBorders>
            <w:shd w:val="clear" w:color="FFFFCC" w:fill="FFFFFF"/>
            <w:vAlign w:val="bottom"/>
            <w:hideMark/>
          </w:tcPr>
          <w:p w14:paraId="0351D6F6"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27,685,269,913</w:t>
            </w:r>
          </w:p>
        </w:tc>
        <w:tc>
          <w:tcPr>
            <w:tcW w:w="1084" w:type="dxa"/>
            <w:tcBorders>
              <w:top w:val="nil"/>
              <w:left w:val="nil"/>
              <w:bottom w:val="nil"/>
              <w:right w:val="single" w:sz="4" w:space="0" w:color="auto"/>
            </w:tcBorders>
            <w:shd w:val="clear" w:color="FFFFCC" w:fill="FFFFFF"/>
            <w:vAlign w:val="bottom"/>
            <w:hideMark/>
          </w:tcPr>
          <w:p w14:paraId="75B05343"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29,207,959,757</w:t>
            </w:r>
          </w:p>
        </w:tc>
      </w:tr>
      <w:tr w:rsidR="009E37EE" w:rsidRPr="009E37EE" w14:paraId="38C19396"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5CDA6B05" w14:textId="77777777" w:rsidR="009E37EE" w:rsidRPr="009E37EE" w:rsidRDefault="009E37EE" w:rsidP="009E37EE">
            <w:pPr>
              <w:jc w:val="left"/>
              <w:rPr>
                <w:rFonts w:eastAsia="Times New Roman" w:cs="Arial"/>
                <w:color w:val="000000"/>
                <w:sz w:val="14"/>
                <w:szCs w:val="14"/>
              </w:rPr>
            </w:pPr>
            <w:r w:rsidRPr="009E37EE">
              <w:rPr>
                <w:rFonts w:eastAsia="Times New Roman" w:cs="Arial"/>
                <w:color w:val="000000"/>
                <w:sz w:val="14"/>
                <w:szCs w:val="14"/>
              </w:rPr>
              <w:t> </w:t>
            </w:r>
          </w:p>
        </w:tc>
        <w:tc>
          <w:tcPr>
            <w:tcW w:w="1085" w:type="dxa"/>
            <w:tcBorders>
              <w:top w:val="nil"/>
              <w:left w:val="nil"/>
              <w:bottom w:val="nil"/>
              <w:right w:val="single" w:sz="4" w:space="0" w:color="auto"/>
            </w:tcBorders>
            <w:shd w:val="clear" w:color="FFFFCC" w:fill="FFFFFF"/>
            <w:hideMark/>
          </w:tcPr>
          <w:p w14:paraId="42487A14" w14:textId="77777777" w:rsidR="009E37EE" w:rsidRPr="009E37EE" w:rsidRDefault="009E37EE" w:rsidP="009E37EE">
            <w:pP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7180343E" w14:textId="77777777" w:rsidR="009E37EE" w:rsidRPr="009E37EE" w:rsidRDefault="009E37EE" w:rsidP="009E37EE">
            <w:pP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5E612CB3" w14:textId="77777777" w:rsidR="009E37EE" w:rsidRPr="009E37EE" w:rsidRDefault="009E37EE" w:rsidP="009E37EE">
            <w:pP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50FCCABC" w14:textId="77777777" w:rsidR="009E37EE" w:rsidRPr="009E37EE" w:rsidRDefault="009E37EE" w:rsidP="009E37EE">
            <w:pP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0CFA63DE" w14:textId="77777777" w:rsidR="009E37EE" w:rsidRPr="009E37EE" w:rsidRDefault="009E37EE" w:rsidP="009E37EE">
            <w:pP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7CD5FFC1" w14:textId="77777777" w:rsidR="009E37EE" w:rsidRPr="009E37EE" w:rsidRDefault="009E37EE" w:rsidP="009E37EE">
            <w:pPr>
              <w:rPr>
                <w:rFonts w:eastAsia="Times New Roman" w:cs="Arial"/>
                <w:color w:val="000000"/>
                <w:sz w:val="14"/>
                <w:szCs w:val="14"/>
              </w:rPr>
            </w:pPr>
            <w:r w:rsidRPr="009E37EE">
              <w:rPr>
                <w:rFonts w:eastAsia="Times New Roman" w:cs="Arial"/>
                <w:color w:val="000000"/>
                <w:sz w:val="14"/>
                <w:szCs w:val="14"/>
              </w:rPr>
              <w:t> </w:t>
            </w:r>
          </w:p>
        </w:tc>
      </w:tr>
      <w:tr w:rsidR="009E37EE" w:rsidRPr="009E37EE" w14:paraId="7E9D6F8C"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7547C0B9" w14:textId="77777777" w:rsidR="009E37EE" w:rsidRPr="009E37EE" w:rsidRDefault="009E37EE" w:rsidP="009E37EE">
            <w:pPr>
              <w:jc w:val="left"/>
              <w:rPr>
                <w:rFonts w:eastAsia="Times New Roman" w:cs="Arial"/>
                <w:b/>
                <w:bCs/>
                <w:color w:val="000000"/>
                <w:sz w:val="14"/>
                <w:szCs w:val="14"/>
              </w:rPr>
            </w:pPr>
            <w:r w:rsidRPr="009E37EE">
              <w:rPr>
                <w:rFonts w:eastAsia="Times New Roman" w:cs="Arial"/>
                <w:b/>
                <w:bCs/>
                <w:color w:val="000000"/>
                <w:sz w:val="14"/>
                <w:szCs w:val="14"/>
              </w:rPr>
              <w:t>Datos Informativos</w:t>
            </w:r>
          </w:p>
        </w:tc>
        <w:tc>
          <w:tcPr>
            <w:tcW w:w="1085" w:type="dxa"/>
            <w:tcBorders>
              <w:top w:val="nil"/>
              <w:left w:val="nil"/>
              <w:bottom w:val="nil"/>
              <w:right w:val="single" w:sz="4" w:space="0" w:color="auto"/>
            </w:tcBorders>
            <w:shd w:val="clear" w:color="FFFFCC" w:fill="FFFFFF"/>
            <w:hideMark/>
          </w:tcPr>
          <w:p w14:paraId="5CB9743D"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51AD2BE4"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7B799A99"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032CD872"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6A784070"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nil"/>
              <w:right w:val="single" w:sz="4" w:space="0" w:color="auto"/>
            </w:tcBorders>
            <w:shd w:val="clear" w:color="FFFFCC" w:fill="FFFFFF"/>
            <w:hideMark/>
          </w:tcPr>
          <w:p w14:paraId="224CFD48"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r>
      <w:tr w:rsidR="009E37EE" w:rsidRPr="009E37EE" w14:paraId="4A89FCE2"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78CD3721" w14:textId="77777777" w:rsidR="009E37EE" w:rsidRPr="009E37EE" w:rsidRDefault="009E37EE" w:rsidP="009E37EE">
            <w:pPr>
              <w:jc w:val="left"/>
              <w:rPr>
                <w:rFonts w:eastAsia="Times New Roman" w:cs="Arial"/>
                <w:color w:val="000000"/>
                <w:sz w:val="14"/>
                <w:szCs w:val="14"/>
              </w:rPr>
            </w:pPr>
            <w:r w:rsidRPr="009E37EE">
              <w:rPr>
                <w:rFonts w:eastAsia="Times New Roman" w:cs="Arial"/>
                <w:color w:val="000000"/>
                <w:sz w:val="14"/>
                <w:szCs w:val="14"/>
              </w:rPr>
              <w:t>1. Ingresos Derivados de Financiamientos con Fuente de Pago de Recursos de Libre Disposición</w:t>
            </w:r>
          </w:p>
        </w:tc>
        <w:tc>
          <w:tcPr>
            <w:tcW w:w="1085" w:type="dxa"/>
            <w:tcBorders>
              <w:top w:val="nil"/>
              <w:left w:val="nil"/>
              <w:bottom w:val="nil"/>
              <w:right w:val="single" w:sz="4" w:space="0" w:color="auto"/>
            </w:tcBorders>
            <w:shd w:val="clear" w:color="FFFFCC" w:fill="FFFFFF"/>
            <w:hideMark/>
          </w:tcPr>
          <w:p w14:paraId="73C8F521"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FFFFCC" w:fill="FFFFFF"/>
            <w:hideMark/>
          </w:tcPr>
          <w:p w14:paraId="7F70F4D6"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FFFFCC" w:fill="FFFFFF"/>
            <w:hideMark/>
          </w:tcPr>
          <w:p w14:paraId="2B6DADB4"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FFFFCC" w:fill="FFFFFF"/>
            <w:hideMark/>
          </w:tcPr>
          <w:p w14:paraId="29ADA4E3"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FFFFCC" w:fill="FFFFFF"/>
            <w:hideMark/>
          </w:tcPr>
          <w:p w14:paraId="059B71C9"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FFFFCC" w:fill="FFFFFF"/>
            <w:hideMark/>
          </w:tcPr>
          <w:p w14:paraId="3768CCEA"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r>
      <w:tr w:rsidR="009E37EE" w:rsidRPr="009E37EE" w14:paraId="44CDC7C9"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2AB735B5" w14:textId="77777777" w:rsidR="009E37EE" w:rsidRPr="009E37EE" w:rsidRDefault="009E37EE" w:rsidP="009E37EE">
            <w:pPr>
              <w:jc w:val="left"/>
              <w:rPr>
                <w:rFonts w:eastAsia="Times New Roman" w:cs="Arial"/>
                <w:color w:val="000000"/>
                <w:sz w:val="14"/>
                <w:szCs w:val="14"/>
              </w:rPr>
            </w:pPr>
            <w:r w:rsidRPr="009E37EE">
              <w:rPr>
                <w:rFonts w:eastAsia="Times New Roman" w:cs="Arial"/>
                <w:color w:val="000000"/>
                <w:sz w:val="14"/>
                <w:szCs w:val="14"/>
              </w:rPr>
              <w:t>2. Ingresos derivados de Financiamientos con Fuente de Pago de Transferencias Federales Etiquetadas</w:t>
            </w:r>
          </w:p>
        </w:tc>
        <w:tc>
          <w:tcPr>
            <w:tcW w:w="1085" w:type="dxa"/>
            <w:tcBorders>
              <w:top w:val="nil"/>
              <w:left w:val="nil"/>
              <w:bottom w:val="nil"/>
              <w:right w:val="single" w:sz="4" w:space="0" w:color="auto"/>
            </w:tcBorders>
            <w:shd w:val="clear" w:color="FFFFCC" w:fill="FFFFFF"/>
            <w:hideMark/>
          </w:tcPr>
          <w:p w14:paraId="51941ECB"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FFFFCC" w:fill="FFFFFF"/>
            <w:hideMark/>
          </w:tcPr>
          <w:p w14:paraId="3A6E3ADF"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FFFFCC" w:fill="FFFFFF"/>
            <w:hideMark/>
          </w:tcPr>
          <w:p w14:paraId="31D550C8"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FFFFCC" w:fill="FFFFFF"/>
            <w:hideMark/>
          </w:tcPr>
          <w:p w14:paraId="5F88E557"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FFFFCC" w:fill="FFFFFF"/>
            <w:hideMark/>
          </w:tcPr>
          <w:p w14:paraId="21D32EE5"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c>
          <w:tcPr>
            <w:tcW w:w="1084" w:type="dxa"/>
            <w:tcBorders>
              <w:top w:val="nil"/>
              <w:left w:val="nil"/>
              <w:bottom w:val="nil"/>
              <w:right w:val="single" w:sz="4" w:space="0" w:color="auto"/>
            </w:tcBorders>
            <w:shd w:val="clear" w:color="FFFFCC" w:fill="FFFFFF"/>
            <w:hideMark/>
          </w:tcPr>
          <w:p w14:paraId="3DBADD6F" w14:textId="77777777" w:rsidR="009E37EE" w:rsidRPr="009E37EE" w:rsidRDefault="009E37EE" w:rsidP="009E37EE">
            <w:pPr>
              <w:jc w:val="right"/>
              <w:rPr>
                <w:rFonts w:eastAsia="Times New Roman" w:cs="Arial"/>
                <w:color w:val="000000"/>
                <w:sz w:val="14"/>
                <w:szCs w:val="14"/>
              </w:rPr>
            </w:pPr>
            <w:r w:rsidRPr="009E37EE">
              <w:rPr>
                <w:rFonts w:eastAsia="Times New Roman" w:cs="Arial"/>
                <w:color w:val="000000"/>
                <w:sz w:val="14"/>
                <w:szCs w:val="14"/>
              </w:rPr>
              <w:t>0</w:t>
            </w:r>
          </w:p>
        </w:tc>
      </w:tr>
      <w:tr w:rsidR="009E37EE" w:rsidRPr="009E37EE" w14:paraId="481C9EC3" w14:textId="77777777" w:rsidTr="009E37EE">
        <w:trPr>
          <w:trHeight w:val="20"/>
        </w:trPr>
        <w:tc>
          <w:tcPr>
            <w:tcW w:w="2323" w:type="dxa"/>
            <w:tcBorders>
              <w:top w:val="nil"/>
              <w:left w:val="single" w:sz="4" w:space="0" w:color="auto"/>
              <w:bottom w:val="nil"/>
              <w:right w:val="single" w:sz="4" w:space="0" w:color="auto"/>
            </w:tcBorders>
            <w:shd w:val="clear" w:color="FFFFCC" w:fill="FFFFFF"/>
            <w:vAlign w:val="center"/>
            <w:hideMark/>
          </w:tcPr>
          <w:p w14:paraId="25764968" w14:textId="77777777" w:rsidR="009E37EE" w:rsidRPr="009E37EE" w:rsidRDefault="009E37EE" w:rsidP="009E37EE">
            <w:pPr>
              <w:jc w:val="left"/>
              <w:rPr>
                <w:rFonts w:eastAsia="Times New Roman" w:cs="Arial"/>
                <w:b/>
                <w:bCs/>
                <w:color w:val="000000"/>
                <w:sz w:val="14"/>
                <w:szCs w:val="14"/>
              </w:rPr>
            </w:pPr>
            <w:r w:rsidRPr="009E37EE">
              <w:rPr>
                <w:rFonts w:eastAsia="Times New Roman" w:cs="Arial"/>
                <w:b/>
                <w:bCs/>
                <w:color w:val="000000"/>
                <w:sz w:val="14"/>
                <w:szCs w:val="14"/>
              </w:rPr>
              <w:t>3. Ingresos Derivados de Financiamiento (3 = 1 + 2)</w:t>
            </w:r>
          </w:p>
        </w:tc>
        <w:tc>
          <w:tcPr>
            <w:tcW w:w="1085" w:type="dxa"/>
            <w:tcBorders>
              <w:top w:val="nil"/>
              <w:left w:val="nil"/>
              <w:bottom w:val="nil"/>
              <w:right w:val="single" w:sz="4" w:space="0" w:color="auto"/>
            </w:tcBorders>
            <w:shd w:val="clear" w:color="FFFFCC" w:fill="FFFFFF"/>
            <w:hideMark/>
          </w:tcPr>
          <w:p w14:paraId="45EAD706"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0</w:t>
            </w:r>
          </w:p>
        </w:tc>
        <w:tc>
          <w:tcPr>
            <w:tcW w:w="1084" w:type="dxa"/>
            <w:tcBorders>
              <w:top w:val="nil"/>
              <w:left w:val="nil"/>
              <w:bottom w:val="nil"/>
              <w:right w:val="single" w:sz="4" w:space="0" w:color="auto"/>
            </w:tcBorders>
            <w:shd w:val="clear" w:color="FFFFCC" w:fill="FFFFFF"/>
            <w:hideMark/>
          </w:tcPr>
          <w:p w14:paraId="5D47DC84"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0</w:t>
            </w:r>
          </w:p>
        </w:tc>
        <w:tc>
          <w:tcPr>
            <w:tcW w:w="1084" w:type="dxa"/>
            <w:tcBorders>
              <w:top w:val="nil"/>
              <w:left w:val="nil"/>
              <w:bottom w:val="nil"/>
              <w:right w:val="single" w:sz="4" w:space="0" w:color="auto"/>
            </w:tcBorders>
            <w:shd w:val="clear" w:color="FFFFCC" w:fill="FFFFFF"/>
            <w:hideMark/>
          </w:tcPr>
          <w:p w14:paraId="28E39DE7"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0</w:t>
            </w:r>
          </w:p>
        </w:tc>
        <w:tc>
          <w:tcPr>
            <w:tcW w:w="1084" w:type="dxa"/>
            <w:tcBorders>
              <w:top w:val="nil"/>
              <w:left w:val="nil"/>
              <w:bottom w:val="nil"/>
              <w:right w:val="single" w:sz="4" w:space="0" w:color="auto"/>
            </w:tcBorders>
            <w:shd w:val="clear" w:color="FFFFCC" w:fill="FFFFFF"/>
            <w:hideMark/>
          </w:tcPr>
          <w:p w14:paraId="3F2D7A9D"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0</w:t>
            </w:r>
          </w:p>
        </w:tc>
        <w:tc>
          <w:tcPr>
            <w:tcW w:w="1084" w:type="dxa"/>
            <w:tcBorders>
              <w:top w:val="nil"/>
              <w:left w:val="nil"/>
              <w:bottom w:val="nil"/>
              <w:right w:val="single" w:sz="4" w:space="0" w:color="auto"/>
            </w:tcBorders>
            <w:shd w:val="clear" w:color="FFFFCC" w:fill="FFFFFF"/>
            <w:hideMark/>
          </w:tcPr>
          <w:p w14:paraId="4EC5AEC1"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0</w:t>
            </w:r>
          </w:p>
        </w:tc>
        <w:tc>
          <w:tcPr>
            <w:tcW w:w="1084" w:type="dxa"/>
            <w:tcBorders>
              <w:top w:val="nil"/>
              <w:left w:val="nil"/>
              <w:bottom w:val="nil"/>
              <w:right w:val="single" w:sz="4" w:space="0" w:color="auto"/>
            </w:tcBorders>
            <w:shd w:val="clear" w:color="FFFFCC" w:fill="FFFFFF"/>
            <w:hideMark/>
          </w:tcPr>
          <w:p w14:paraId="10CDF42A" w14:textId="77777777" w:rsidR="009E37EE" w:rsidRPr="009E37EE" w:rsidRDefault="009E37EE" w:rsidP="009E37EE">
            <w:pPr>
              <w:jc w:val="right"/>
              <w:rPr>
                <w:rFonts w:eastAsia="Times New Roman" w:cs="Arial"/>
                <w:b/>
                <w:bCs/>
                <w:color w:val="000000"/>
                <w:sz w:val="14"/>
                <w:szCs w:val="14"/>
              </w:rPr>
            </w:pPr>
            <w:r w:rsidRPr="009E37EE">
              <w:rPr>
                <w:rFonts w:eastAsia="Times New Roman" w:cs="Arial"/>
                <w:b/>
                <w:bCs/>
                <w:color w:val="000000"/>
                <w:sz w:val="14"/>
                <w:szCs w:val="14"/>
              </w:rPr>
              <w:t>0</w:t>
            </w:r>
          </w:p>
        </w:tc>
      </w:tr>
      <w:tr w:rsidR="009E37EE" w:rsidRPr="009E37EE" w14:paraId="2BC2AA45" w14:textId="77777777" w:rsidTr="009E37EE">
        <w:trPr>
          <w:trHeight w:val="20"/>
        </w:trPr>
        <w:tc>
          <w:tcPr>
            <w:tcW w:w="2323" w:type="dxa"/>
            <w:tcBorders>
              <w:top w:val="nil"/>
              <w:left w:val="single" w:sz="4" w:space="0" w:color="auto"/>
              <w:bottom w:val="single" w:sz="4" w:space="0" w:color="auto"/>
              <w:right w:val="single" w:sz="4" w:space="0" w:color="auto"/>
            </w:tcBorders>
            <w:shd w:val="clear" w:color="FFFFCC" w:fill="FFFFFF"/>
            <w:vAlign w:val="center"/>
            <w:hideMark/>
          </w:tcPr>
          <w:p w14:paraId="0D037ED4" w14:textId="77777777" w:rsidR="009E37EE" w:rsidRPr="009E37EE" w:rsidRDefault="009E37EE" w:rsidP="009E37EE">
            <w:pPr>
              <w:jc w:val="left"/>
              <w:rPr>
                <w:rFonts w:eastAsia="Times New Roman" w:cs="Arial"/>
                <w:color w:val="000000"/>
                <w:sz w:val="14"/>
                <w:szCs w:val="14"/>
              </w:rPr>
            </w:pPr>
            <w:r w:rsidRPr="009E37EE">
              <w:rPr>
                <w:rFonts w:eastAsia="Times New Roman" w:cs="Arial"/>
                <w:color w:val="000000"/>
                <w:sz w:val="14"/>
                <w:szCs w:val="14"/>
              </w:rPr>
              <w:t> </w:t>
            </w:r>
          </w:p>
        </w:tc>
        <w:tc>
          <w:tcPr>
            <w:tcW w:w="1085" w:type="dxa"/>
            <w:tcBorders>
              <w:top w:val="nil"/>
              <w:left w:val="nil"/>
              <w:bottom w:val="single" w:sz="4" w:space="0" w:color="auto"/>
              <w:right w:val="single" w:sz="4" w:space="0" w:color="auto"/>
            </w:tcBorders>
            <w:shd w:val="clear" w:color="FFFFCC" w:fill="FFFFFF"/>
            <w:vAlign w:val="center"/>
            <w:hideMark/>
          </w:tcPr>
          <w:p w14:paraId="5A253247"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single" w:sz="4" w:space="0" w:color="auto"/>
              <w:right w:val="single" w:sz="4" w:space="0" w:color="auto"/>
            </w:tcBorders>
            <w:shd w:val="clear" w:color="FFFFCC" w:fill="FFFFFF"/>
            <w:vAlign w:val="center"/>
            <w:hideMark/>
          </w:tcPr>
          <w:p w14:paraId="6006AE86"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single" w:sz="4" w:space="0" w:color="auto"/>
              <w:right w:val="single" w:sz="4" w:space="0" w:color="auto"/>
            </w:tcBorders>
            <w:shd w:val="clear" w:color="FFFFCC" w:fill="FFFFFF"/>
            <w:vAlign w:val="center"/>
            <w:hideMark/>
          </w:tcPr>
          <w:p w14:paraId="7B62379F"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single" w:sz="4" w:space="0" w:color="auto"/>
              <w:right w:val="single" w:sz="4" w:space="0" w:color="auto"/>
            </w:tcBorders>
            <w:shd w:val="clear" w:color="FFFFCC" w:fill="FFFFFF"/>
            <w:vAlign w:val="center"/>
            <w:hideMark/>
          </w:tcPr>
          <w:p w14:paraId="01FCD304"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single" w:sz="4" w:space="0" w:color="auto"/>
              <w:right w:val="single" w:sz="4" w:space="0" w:color="auto"/>
            </w:tcBorders>
            <w:shd w:val="clear" w:color="FFFFCC" w:fill="FFFFFF"/>
            <w:vAlign w:val="center"/>
            <w:hideMark/>
          </w:tcPr>
          <w:p w14:paraId="5B37E47E"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c>
          <w:tcPr>
            <w:tcW w:w="1084" w:type="dxa"/>
            <w:tcBorders>
              <w:top w:val="nil"/>
              <w:left w:val="nil"/>
              <w:bottom w:val="single" w:sz="4" w:space="0" w:color="auto"/>
              <w:right w:val="single" w:sz="4" w:space="0" w:color="auto"/>
            </w:tcBorders>
            <w:shd w:val="clear" w:color="FFFFCC" w:fill="FFFFFF"/>
            <w:vAlign w:val="center"/>
            <w:hideMark/>
          </w:tcPr>
          <w:p w14:paraId="0A459DC8" w14:textId="77777777" w:rsidR="009E37EE" w:rsidRPr="009E37EE" w:rsidRDefault="009E37EE" w:rsidP="009E37EE">
            <w:pPr>
              <w:jc w:val="center"/>
              <w:rPr>
                <w:rFonts w:eastAsia="Times New Roman" w:cs="Arial"/>
                <w:color w:val="000000"/>
                <w:sz w:val="14"/>
                <w:szCs w:val="14"/>
              </w:rPr>
            </w:pPr>
            <w:r w:rsidRPr="009E37EE">
              <w:rPr>
                <w:rFonts w:eastAsia="Times New Roman" w:cs="Arial"/>
                <w:color w:val="000000"/>
                <w:sz w:val="14"/>
                <w:szCs w:val="14"/>
              </w:rPr>
              <w:t> </w:t>
            </w:r>
          </w:p>
        </w:tc>
      </w:tr>
    </w:tbl>
    <w:p w14:paraId="5B61B40C" w14:textId="3E36EADF" w:rsidR="003D40E2" w:rsidRDefault="003D40E2" w:rsidP="003D40E2">
      <w:pPr>
        <w:spacing w:after="160" w:line="259" w:lineRule="auto"/>
        <w:rPr>
          <w:rFonts w:cs="Arial"/>
        </w:rPr>
      </w:pPr>
    </w:p>
    <w:p w14:paraId="5BDD419B" w14:textId="77777777" w:rsidR="00702C1C" w:rsidRDefault="00702C1C" w:rsidP="003D40E2">
      <w:pPr>
        <w:spacing w:after="160" w:line="259" w:lineRule="auto"/>
        <w:rPr>
          <w:rFonts w:cs="Arial"/>
        </w:rPr>
      </w:pPr>
    </w:p>
    <w:p w14:paraId="4E450806" w14:textId="77777777" w:rsidR="003D40E2" w:rsidRPr="00516AFF" w:rsidRDefault="003D40E2" w:rsidP="00045C85">
      <w:pPr>
        <w:pStyle w:val="Ttulo3"/>
      </w:pPr>
      <w:r w:rsidRPr="00285FFF">
        <w:lastRenderedPageBreak/>
        <w:t>b) Formato 7b) Proyecciones de Egresos – LDF</w:t>
      </w:r>
    </w:p>
    <w:p w14:paraId="4951BBF3" w14:textId="208FA54B" w:rsidR="003D40E2" w:rsidRDefault="003D40E2" w:rsidP="003D40E2">
      <w:pPr>
        <w:rPr>
          <w:rFonts w:cs="Arial"/>
        </w:rPr>
      </w:pPr>
    </w:p>
    <w:tbl>
      <w:tblPr>
        <w:tblW w:w="9064" w:type="dxa"/>
        <w:tblLayout w:type="fixed"/>
        <w:tblCellMar>
          <w:left w:w="28" w:type="dxa"/>
          <w:right w:w="28" w:type="dxa"/>
        </w:tblCellMar>
        <w:tblLook w:val="0000" w:firstRow="0" w:lastRow="0" w:firstColumn="0" w:lastColumn="0" w:noHBand="0" w:noVBand="0"/>
      </w:tblPr>
      <w:tblGrid>
        <w:gridCol w:w="2260"/>
        <w:gridCol w:w="1134"/>
        <w:gridCol w:w="1134"/>
        <w:gridCol w:w="1129"/>
        <w:gridCol w:w="1139"/>
        <w:gridCol w:w="1134"/>
        <w:gridCol w:w="1134"/>
      </w:tblGrid>
      <w:tr w:rsidR="005873E4" w:rsidRPr="003B476C" w14:paraId="14DA4E32" w14:textId="77777777" w:rsidTr="003B476C">
        <w:trPr>
          <w:trHeight w:val="249"/>
        </w:trPr>
        <w:tc>
          <w:tcPr>
            <w:tcW w:w="9064" w:type="dxa"/>
            <w:gridSpan w:val="7"/>
            <w:tcBorders>
              <w:top w:val="single" w:sz="6" w:space="0" w:color="auto"/>
              <w:left w:val="single" w:sz="6" w:space="0" w:color="auto"/>
              <w:right w:val="single" w:sz="6" w:space="0" w:color="auto"/>
            </w:tcBorders>
            <w:shd w:val="solid" w:color="C0C0C0" w:fill="auto"/>
            <w:vAlign w:val="center"/>
          </w:tcPr>
          <w:p w14:paraId="57D2192E" w14:textId="77777777" w:rsidR="005873E4" w:rsidRPr="003B476C" w:rsidRDefault="005873E4" w:rsidP="005873E4">
            <w:pPr>
              <w:autoSpaceDE w:val="0"/>
              <w:autoSpaceDN w:val="0"/>
              <w:adjustRightInd w:val="0"/>
              <w:jc w:val="center"/>
              <w:rPr>
                <w:rFonts w:eastAsiaTheme="minorHAnsi" w:cs="Arial"/>
                <w:b/>
                <w:bCs/>
                <w:color w:val="000000"/>
                <w:sz w:val="14"/>
                <w:szCs w:val="14"/>
                <w:lang w:eastAsia="en-US"/>
              </w:rPr>
            </w:pPr>
            <w:r w:rsidRPr="003B476C">
              <w:rPr>
                <w:rFonts w:eastAsiaTheme="minorHAnsi" w:cs="Arial"/>
                <w:b/>
                <w:bCs/>
                <w:color w:val="000000"/>
                <w:sz w:val="14"/>
                <w:szCs w:val="14"/>
                <w:lang w:eastAsia="en-US"/>
              </w:rPr>
              <w:t>GOBIERNO DEL ESTADO DE COLIMA                                                                                                                                                                                                                                            Proyecciones de Egresos - LDF                                                                                                                                                                                                                                                        (PESOS)</w:t>
            </w:r>
          </w:p>
        </w:tc>
      </w:tr>
      <w:tr w:rsidR="005873E4" w:rsidRPr="003B476C" w14:paraId="6B66FA2D" w14:textId="77777777" w:rsidTr="003B476C">
        <w:trPr>
          <w:trHeight w:val="37"/>
        </w:trPr>
        <w:tc>
          <w:tcPr>
            <w:tcW w:w="9064" w:type="dxa"/>
            <w:gridSpan w:val="7"/>
            <w:tcBorders>
              <w:left w:val="single" w:sz="6" w:space="0" w:color="auto"/>
              <w:right w:val="single" w:sz="6" w:space="0" w:color="auto"/>
            </w:tcBorders>
            <w:shd w:val="solid" w:color="C0C0C0" w:fill="auto"/>
            <w:vAlign w:val="center"/>
          </w:tcPr>
          <w:p w14:paraId="5887C394" w14:textId="43C4247A" w:rsidR="005873E4" w:rsidRPr="003B476C" w:rsidRDefault="005873E4" w:rsidP="005873E4">
            <w:pPr>
              <w:autoSpaceDE w:val="0"/>
              <w:autoSpaceDN w:val="0"/>
              <w:adjustRightInd w:val="0"/>
              <w:jc w:val="center"/>
              <w:rPr>
                <w:rFonts w:eastAsiaTheme="minorHAnsi" w:cs="Arial"/>
                <w:b/>
                <w:bCs/>
                <w:color w:val="000000"/>
                <w:sz w:val="14"/>
                <w:szCs w:val="14"/>
                <w:lang w:eastAsia="en-US"/>
              </w:rPr>
            </w:pPr>
            <w:r w:rsidRPr="003B476C">
              <w:rPr>
                <w:rFonts w:eastAsiaTheme="minorHAnsi" w:cs="Arial"/>
                <w:b/>
                <w:bCs/>
                <w:color w:val="000000"/>
                <w:sz w:val="14"/>
                <w:szCs w:val="14"/>
                <w:lang w:eastAsia="en-US"/>
              </w:rPr>
              <w:t>(CIFRAS NOMINALES)</w:t>
            </w:r>
          </w:p>
        </w:tc>
      </w:tr>
      <w:tr w:rsidR="001A0595" w:rsidRPr="003B476C" w14:paraId="4350D1E2" w14:textId="77777777" w:rsidTr="003B476C">
        <w:trPr>
          <w:trHeight w:val="216"/>
        </w:trPr>
        <w:tc>
          <w:tcPr>
            <w:tcW w:w="2260" w:type="dxa"/>
            <w:tcBorders>
              <w:top w:val="single" w:sz="6" w:space="0" w:color="auto"/>
              <w:left w:val="single" w:sz="6" w:space="0" w:color="auto"/>
              <w:bottom w:val="single" w:sz="6" w:space="0" w:color="auto"/>
              <w:right w:val="single" w:sz="6" w:space="0" w:color="auto"/>
            </w:tcBorders>
            <w:shd w:val="solid" w:color="C0C0C0" w:fill="000000"/>
          </w:tcPr>
          <w:p w14:paraId="5D83573B" w14:textId="77777777" w:rsidR="001A0595" w:rsidRPr="003B476C" w:rsidRDefault="001A0595">
            <w:pPr>
              <w:autoSpaceDE w:val="0"/>
              <w:autoSpaceDN w:val="0"/>
              <w:adjustRightInd w:val="0"/>
              <w:jc w:val="center"/>
              <w:rPr>
                <w:rFonts w:eastAsiaTheme="minorHAnsi" w:cs="Arial"/>
                <w:b/>
                <w:bCs/>
                <w:color w:val="000000"/>
                <w:sz w:val="14"/>
                <w:szCs w:val="14"/>
                <w:lang w:eastAsia="en-US"/>
              </w:rPr>
            </w:pPr>
            <w:r w:rsidRPr="003B476C">
              <w:rPr>
                <w:rFonts w:eastAsiaTheme="minorHAnsi" w:cs="Arial"/>
                <w:b/>
                <w:bCs/>
                <w:color w:val="000000"/>
                <w:sz w:val="14"/>
                <w:szCs w:val="14"/>
                <w:lang w:eastAsia="en-US"/>
              </w:rPr>
              <w:t>Concepto (b)</w:t>
            </w:r>
          </w:p>
        </w:tc>
        <w:tc>
          <w:tcPr>
            <w:tcW w:w="1134" w:type="dxa"/>
            <w:tcBorders>
              <w:top w:val="single" w:sz="6" w:space="0" w:color="auto"/>
              <w:left w:val="single" w:sz="6" w:space="0" w:color="auto"/>
              <w:bottom w:val="single" w:sz="6" w:space="0" w:color="auto"/>
              <w:right w:val="single" w:sz="6" w:space="0" w:color="auto"/>
            </w:tcBorders>
            <w:shd w:val="solid" w:color="C0C0C0" w:fill="000000"/>
          </w:tcPr>
          <w:p w14:paraId="12B65724" w14:textId="77777777" w:rsidR="001A0595" w:rsidRPr="003B476C" w:rsidRDefault="001A0595">
            <w:pPr>
              <w:autoSpaceDE w:val="0"/>
              <w:autoSpaceDN w:val="0"/>
              <w:adjustRightInd w:val="0"/>
              <w:jc w:val="center"/>
              <w:rPr>
                <w:rFonts w:eastAsiaTheme="minorHAnsi" w:cs="Arial"/>
                <w:b/>
                <w:bCs/>
                <w:color w:val="000000"/>
                <w:sz w:val="14"/>
                <w:szCs w:val="14"/>
                <w:lang w:eastAsia="en-US"/>
              </w:rPr>
            </w:pPr>
            <w:r w:rsidRPr="003B476C">
              <w:rPr>
                <w:rFonts w:eastAsiaTheme="minorHAnsi" w:cs="Arial"/>
                <w:b/>
                <w:bCs/>
                <w:color w:val="000000"/>
                <w:sz w:val="14"/>
                <w:szCs w:val="14"/>
                <w:lang w:eastAsia="en-US"/>
              </w:rPr>
              <w:t>2025</w:t>
            </w:r>
          </w:p>
        </w:tc>
        <w:tc>
          <w:tcPr>
            <w:tcW w:w="1134" w:type="dxa"/>
            <w:tcBorders>
              <w:top w:val="single" w:sz="6" w:space="0" w:color="auto"/>
              <w:left w:val="single" w:sz="6" w:space="0" w:color="auto"/>
              <w:bottom w:val="single" w:sz="6" w:space="0" w:color="auto"/>
              <w:right w:val="single" w:sz="6" w:space="0" w:color="auto"/>
            </w:tcBorders>
            <w:shd w:val="solid" w:color="C0C0C0" w:fill="000000"/>
          </w:tcPr>
          <w:p w14:paraId="7839B859" w14:textId="77777777" w:rsidR="001A0595" w:rsidRPr="003B476C" w:rsidRDefault="001A0595">
            <w:pPr>
              <w:autoSpaceDE w:val="0"/>
              <w:autoSpaceDN w:val="0"/>
              <w:adjustRightInd w:val="0"/>
              <w:jc w:val="center"/>
              <w:rPr>
                <w:rFonts w:eastAsiaTheme="minorHAnsi" w:cs="Arial"/>
                <w:b/>
                <w:bCs/>
                <w:color w:val="000000"/>
                <w:sz w:val="14"/>
                <w:szCs w:val="14"/>
                <w:lang w:eastAsia="en-US"/>
              </w:rPr>
            </w:pPr>
            <w:r w:rsidRPr="003B476C">
              <w:rPr>
                <w:rFonts w:eastAsiaTheme="minorHAnsi" w:cs="Arial"/>
                <w:b/>
                <w:bCs/>
                <w:color w:val="000000"/>
                <w:sz w:val="14"/>
                <w:szCs w:val="14"/>
                <w:lang w:eastAsia="en-US"/>
              </w:rPr>
              <w:t>2026</w:t>
            </w:r>
          </w:p>
        </w:tc>
        <w:tc>
          <w:tcPr>
            <w:tcW w:w="1129" w:type="dxa"/>
            <w:tcBorders>
              <w:top w:val="single" w:sz="6" w:space="0" w:color="auto"/>
              <w:left w:val="single" w:sz="6" w:space="0" w:color="auto"/>
              <w:bottom w:val="single" w:sz="6" w:space="0" w:color="auto"/>
              <w:right w:val="single" w:sz="6" w:space="0" w:color="auto"/>
            </w:tcBorders>
            <w:shd w:val="solid" w:color="C0C0C0" w:fill="000000"/>
          </w:tcPr>
          <w:p w14:paraId="596217FB" w14:textId="77777777" w:rsidR="001A0595" w:rsidRPr="003B476C" w:rsidRDefault="001A0595">
            <w:pPr>
              <w:autoSpaceDE w:val="0"/>
              <w:autoSpaceDN w:val="0"/>
              <w:adjustRightInd w:val="0"/>
              <w:jc w:val="center"/>
              <w:rPr>
                <w:rFonts w:eastAsiaTheme="minorHAnsi" w:cs="Arial"/>
                <w:b/>
                <w:bCs/>
                <w:color w:val="000000"/>
                <w:sz w:val="14"/>
                <w:szCs w:val="14"/>
                <w:lang w:eastAsia="en-US"/>
              </w:rPr>
            </w:pPr>
            <w:r w:rsidRPr="003B476C">
              <w:rPr>
                <w:rFonts w:eastAsiaTheme="minorHAnsi" w:cs="Arial"/>
                <w:b/>
                <w:bCs/>
                <w:color w:val="000000"/>
                <w:sz w:val="14"/>
                <w:szCs w:val="14"/>
                <w:lang w:eastAsia="en-US"/>
              </w:rPr>
              <w:t>2027</w:t>
            </w:r>
          </w:p>
        </w:tc>
        <w:tc>
          <w:tcPr>
            <w:tcW w:w="1139" w:type="dxa"/>
            <w:tcBorders>
              <w:top w:val="single" w:sz="6" w:space="0" w:color="auto"/>
              <w:left w:val="single" w:sz="6" w:space="0" w:color="auto"/>
              <w:bottom w:val="single" w:sz="6" w:space="0" w:color="auto"/>
              <w:right w:val="single" w:sz="6" w:space="0" w:color="auto"/>
            </w:tcBorders>
            <w:shd w:val="solid" w:color="C0C0C0" w:fill="000000"/>
          </w:tcPr>
          <w:p w14:paraId="233ED685" w14:textId="77777777" w:rsidR="001A0595" w:rsidRPr="003B476C" w:rsidRDefault="001A0595">
            <w:pPr>
              <w:autoSpaceDE w:val="0"/>
              <w:autoSpaceDN w:val="0"/>
              <w:adjustRightInd w:val="0"/>
              <w:jc w:val="center"/>
              <w:rPr>
                <w:rFonts w:eastAsiaTheme="minorHAnsi" w:cs="Arial"/>
                <w:b/>
                <w:bCs/>
                <w:color w:val="000000"/>
                <w:sz w:val="14"/>
                <w:szCs w:val="14"/>
                <w:lang w:eastAsia="en-US"/>
              </w:rPr>
            </w:pPr>
            <w:r w:rsidRPr="003B476C">
              <w:rPr>
                <w:rFonts w:eastAsiaTheme="minorHAnsi" w:cs="Arial"/>
                <w:b/>
                <w:bCs/>
                <w:color w:val="000000"/>
                <w:sz w:val="14"/>
                <w:szCs w:val="14"/>
                <w:lang w:eastAsia="en-US"/>
              </w:rPr>
              <w:t>2028</w:t>
            </w:r>
          </w:p>
        </w:tc>
        <w:tc>
          <w:tcPr>
            <w:tcW w:w="1134" w:type="dxa"/>
            <w:tcBorders>
              <w:top w:val="single" w:sz="6" w:space="0" w:color="auto"/>
              <w:left w:val="single" w:sz="6" w:space="0" w:color="auto"/>
              <w:bottom w:val="single" w:sz="6" w:space="0" w:color="auto"/>
              <w:right w:val="single" w:sz="6" w:space="0" w:color="auto"/>
            </w:tcBorders>
            <w:shd w:val="solid" w:color="C0C0C0" w:fill="000000"/>
          </w:tcPr>
          <w:p w14:paraId="3CB87A18" w14:textId="77777777" w:rsidR="001A0595" w:rsidRPr="003B476C" w:rsidRDefault="001A0595">
            <w:pPr>
              <w:autoSpaceDE w:val="0"/>
              <w:autoSpaceDN w:val="0"/>
              <w:adjustRightInd w:val="0"/>
              <w:jc w:val="center"/>
              <w:rPr>
                <w:rFonts w:eastAsiaTheme="minorHAnsi" w:cs="Arial"/>
                <w:b/>
                <w:bCs/>
                <w:color w:val="000000"/>
                <w:sz w:val="14"/>
                <w:szCs w:val="14"/>
                <w:lang w:eastAsia="en-US"/>
              </w:rPr>
            </w:pPr>
            <w:r w:rsidRPr="003B476C">
              <w:rPr>
                <w:rFonts w:eastAsiaTheme="minorHAnsi" w:cs="Arial"/>
                <w:b/>
                <w:bCs/>
                <w:color w:val="000000"/>
                <w:sz w:val="14"/>
                <w:szCs w:val="14"/>
                <w:lang w:eastAsia="en-US"/>
              </w:rPr>
              <w:t>2029</w:t>
            </w:r>
          </w:p>
        </w:tc>
        <w:tc>
          <w:tcPr>
            <w:tcW w:w="1134" w:type="dxa"/>
            <w:tcBorders>
              <w:top w:val="single" w:sz="6" w:space="0" w:color="auto"/>
              <w:left w:val="single" w:sz="6" w:space="0" w:color="auto"/>
              <w:bottom w:val="single" w:sz="6" w:space="0" w:color="auto"/>
              <w:right w:val="single" w:sz="6" w:space="0" w:color="auto"/>
            </w:tcBorders>
            <w:shd w:val="solid" w:color="C0C0C0" w:fill="000000"/>
          </w:tcPr>
          <w:p w14:paraId="0C30B307" w14:textId="77777777" w:rsidR="001A0595" w:rsidRPr="003B476C" w:rsidRDefault="001A0595">
            <w:pPr>
              <w:autoSpaceDE w:val="0"/>
              <w:autoSpaceDN w:val="0"/>
              <w:adjustRightInd w:val="0"/>
              <w:jc w:val="center"/>
              <w:rPr>
                <w:rFonts w:eastAsiaTheme="minorHAnsi" w:cs="Arial"/>
                <w:b/>
                <w:bCs/>
                <w:color w:val="000000"/>
                <w:sz w:val="14"/>
                <w:szCs w:val="14"/>
                <w:lang w:eastAsia="en-US"/>
              </w:rPr>
            </w:pPr>
            <w:r w:rsidRPr="003B476C">
              <w:rPr>
                <w:rFonts w:eastAsiaTheme="minorHAnsi" w:cs="Arial"/>
                <w:b/>
                <w:bCs/>
                <w:color w:val="000000"/>
                <w:sz w:val="14"/>
                <w:szCs w:val="14"/>
                <w:lang w:eastAsia="en-US"/>
              </w:rPr>
              <w:t>2030</w:t>
            </w:r>
          </w:p>
        </w:tc>
      </w:tr>
      <w:tr w:rsidR="00B72E0F" w:rsidRPr="003B476C" w14:paraId="041F4F55" w14:textId="77777777" w:rsidTr="003B476C">
        <w:trPr>
          <w:trHeight w:val="427"/>
        </w:trPr>
        <w:tc>
          <w:tcPr>
            <w:tcW w:w="2260" w:type="dxa"/>
            <w:tcBorders>
              <w:top w:val="nil"/>
              <w:left w:val="single" w:sz="6" w:space="0" w:color="auto"/>
              <w:bottom w:val="nil"/>
              <w:right w:val="single" w:sz="6" w:space="0" w:color="auto"/>
            </w:tcBorders>
          </w:tcPr>
          <w:p w14:paraId="0A18F98E" w14:textId="77777777" w:rsidR="003B476C" w:rsidRPr="003B476C" w:rsidRDefault="00B72E0F" w:rsidP="00B72E0F">
            <w:pPr>
              <w:autoSpaceDE w:val="0"/>
              <w:autoSpaceDN w:val="0"/>
              <w:adjustRightInd w:val="0"/>
              <w:jc w:val="left"/>
              <w:rPr>
                <w:rFonts w:eastAsiaTheme="minorHAnsi" w:cs="Arial"/>
                <w:b/>
                <w:bCs/>
                <w:color w:val="000000"/>
                <w:sz w:val="14"/>
                <w:szCs w:val="14"/>
                <w:lang w:eastAsia="en-US"/>
              </w:rPr>
            </w:pPr>
            <w:r w:rsidRPr="003B476C">
              <w:rPr>
                <w:rFonts w:eastAsiaTheme="minorHAnsi" w:cs="Arial"/>
                <w:b/>
                <w:bCs/>
                <w:color w:val="000000"/>
                <w:sz w:val="14"/>
                <w:szCs w:val="14"/>
                <w:lang w:eastAsia="en-US"/>
              </w:rPr>
              <w:t>1.  Gasto No</w:t>
            </w:r>
            <w:r w:rsidR="003B476C" w:rsidRPr="003B476C">
              <w:rPr>
                <w:rFonts w:eastAsiaTheme="minorHAnsi" w:cs="Arial"/>
                <w:b/>
                <w:bCs/>
                <w:color w:val="000000"/>
                <w:sz w:val="14"/>
                <w:szCs w:val="14"/>
                <w:lang w:eastAsia="en-US"/>
              </w:rPr>
              <w:t xml:space="preserve"> </w:t>
            </w:r>
            <w:r w:rsidRPr="003B476C">
              <w:rPr>
                <w:rFonts w:eastAsiaTheme="minorHAnsi" w:cs="Arial"/>
                <w:b/>
                <w:bCs/>
                <w:color w:val="000000"/>
                <w:sz w:val="14"/>
                <w:szCs w:val="14"/>
                <w:lang w:eastAsia="en-US"/>
              </w:rPr>
              <w:t>Etiquetado</w:t>
            </w:r>
            <w:r w:rsidR="003B476C" w:rsidRPr="003B476C">
              <w:rPr>
                <w:rFonts w:eastAsiaTheme="minorHAnsi" w:cs="Arial"/>
                <w:b/>
                <w:bCs/>
                <w:color w:val="000000"/>
                <w:sz w:val="14"/>
                <w:szCs w:val="14"/>
                <w:lang w:eastAsia="en-US"/>
              </w:rPr>
              <w:t xml:space="preserve"> </w:t>
            </w:r>
          </w:p>
          <w:p w14:paraId="0E90A9BD" w14:textId="79108706" w:rsidR="00B72E0F" w:rsidRPr="003B476C" w:rsidRDefault="00B72E0F" w:rsidP="00B72E0F">
            <w:pPr>
              <w:autoSpaceDE w:val="0"/>
              <w:autoSpaceDN w:val="0"/>
              <w:adjustRightInd w:val="0"/>
              <w:jc w:val="left"/>
              <w:rPr>
                <w:rFonts w:eastAsiaTheme="minorHAnsi" w:cs="Arial"/>
                <w:b/>
                <w:bCs/>
                <w:color w:val="000000"/>
                <w:sz w:val="14"/>
                <w:szCs w:val="14"/>
                <w:lang w:eastAsia="en-US"/>
              </w:rPr>
            </w:pPr>
            <w:r w:rsidRPr="003B476C">
              <w:rPr>
                <w:rFonts w:eastAsiaTheme="minorHAnsi" w:cs="Arial"/>
                <w:color w:val="000000"/>
                <w:sz w:val="14"/>
                <w:szCs w:val="14"/>
                <w:lang w:eastAsia="en-US"/>
              </w:rPr>
              <w:t> </w:t>
            </w:r>
            <w:r w:rsidRPr="003B476C">
              <w:rPr>
                <w:rFonts w:eastAsiaTheme="minorHAnsi" w:cs="Arial"/>
                <w:b/>
                <w:bCs/>
                <w:color w:val="000000"/>
                <w:sz w:val="14"/>
                <w:szCs w:val="14"/>
                <w:lang w:eastAsia="en-US"/>
              </w:rPr>
              <w:t>(1=A+B+C+D+E+F+G+H+I)</w:t>
            </w:r>
          </w:p>
        </w:tc>
        <w:tc>
          <w:tcPr>
            <w:tcW w:w="1134" w:type="dxa"/>
            <w:tcBorders>
              <w:top w:val="nil"/>
              <w:left w:val="single" w:sz="6" w:space="0" w:color="auto"/>
              <w:bottom w:val="nil"/>
              <w:right w:val="single" w:sz="6" w:space="0" w:color="auto"/>
            </w:tcBorders>
          </w:tcPr>
          <w:p w14:paraId="5ECC7AF2" w14:textId="6DAFA504" w:rsidR="00B72E0F" w:rsidRPr="003B476C" w:rsidRDefault="00B72E0F" w:rsidP="00B72E0F">
            <w:pPr>
              <w:autoSpaceDE w:val="0"/>
              <w:autoSpaceDN w:val="0"/>
              <w:adjustRightInd w:val="0"/>
              <w:jc w:val="right"/>
              <w:rPr>
                <w:rFonts w:eastAsiaTheme="minorHAnsi" w:cs="Arial"/>
                <w:b/>
                <w:bCs/>
                <w:color w:val="000000"/>
                <w:sz w:val="14"/>
                <w:szCs w:val="14"/>
                <w:lang w:eastAsia="en-US"/>
              </w:rPr>
            </w:pPr>
            <w:r w:rsidRPr="003B476C">
              <w:rPr>
                <w:rFonts w:eastAsia="Times New Roman" w:cs="Arial"/>
                <w:b/>
                <w:bCs/>
                <w:color w:val="000000"/>
                <w:sz w:val="14"/>
                <w:szCs w:val="14"/>
              </w:rPr>
              <w:t>10,994,</w:t>
            </w:r>
            <w:r w:rsidRPr="003B476C">
              <w:rPr>
                <w:rFonts w:eastAsiaTheme="minorHAnsi" w:cs="Arial"/>
                <w:b/>
                <w:bCs/>
                <w:color w:val="000000"/>
                <w:sz w:val="14"/>
                <w:szCs w:val="14"/>
                <w:lang w:eastAsia="en-US"/>
              </w:rPr>
              <w:t>357</w:t>
            </w:r>
            <w:r w:rsidRPr="003B476C">
              <w:rPr>
                <w:rFonts w:eastAsia="Times New Roman" w:cs="Arial"/>
                <w:b/>
                <w:bCs/>
                <w:color w:val="000000"/>
                <w:sz w:val="14"/>
                <w:szCs w:val="14"/>
              </w:rPr>
              <w:t>,318</w:t>
            </w:r>
          </w:p>
        </w:tc>
        <w:tc>
          <w:tcPr>
            <w:tcW w:w="1134" w:type="dxa"/>
            <w:tcBorders>
              <w:top w:val="nil"/>
              <w:left w:val="single" w:sz="6" w:space="0" w:color="auto"/>
              <w:bottom w:val="nil"/>
              <w:right w:val="single" w:sz="6" w:space="0" w:color="auto"/>
            </w:tcBorders>
          </w:tcPr>
          <w:p w14:paraId="65957419" w14:textId="77777777" w:rsidR="00B72E0F" w:rsidRPr="003B476C" w:rsidRDefault="00B72E0F" w:rsidP="00B72E0F">
            <w:pPr>
              <w:autoSpaceDE w:val="0"/>
              <w:autoSpaceDN w:val="0"/>
              <w:adjustRightInd w:val="0"/>
              <w:jc w:val="right"/>
              <w:rPr>
                <w:rFonts w:eastAsiaTheme="minorHAnsi" w:cs="Arial"/>
                <w:b/>
                <w:bCs/>
                <w:color w:val="000000"/>
                <w:sz w:val="14"/>
                <w:szCs w:val="14"/>
                <w:lang w:eastAsia="en-US"/>
              </w:rPr>
            </w:pPr>
            <w:r w:rsidRPr="003B476C">
              <w:rPr>
                <w:rFonts w:eastAsiaTheme="minorHAnsi" w:cs="Arial"/>
                <w:b/>
                <w:bCs/>
                <w:color w:val="000000"/>
                <w:sz w:val="14"/>
                <w:szCs w:val="14"/>
                <w:lang w:eastAsia="en-US"/>
              </w:rPr>
              <w:t>11,174,004,309</w:t>
            </w:r>
          </w:p>
        </w:tc>
        <w:tc>
          <w:tcPr>
            <w:tcW w:w="1129" w:type="dxa"/>
            <w:tcBorders>
              <w:top w:val="nil"/>
              <w:left w:val="single" w:sz="6" w:space="0" w:color="auto"/>
              <w:bottom w:val="nil"/>
              <w:right w:val="single" w:sz="6" w:space="0" w:color="auto"/>
            </w:tcBorders>
          </w:tcPr>
          <w:p w14:paraId="3193C949" w14:textId="77777777" w:rsidR="00B72E0F" w:rsidRPr="003B476C" w:rsidRDefault="00B72E0F" w:rsidP="00B72E0F">
            <w:pPr>
              <w:autoSpaceDE w:val="0"/>
              <w:autoSpaceDN w:val="0"/>
              <w:adjustRightInd w:val="0"/>
              <w:jc w:val="right"/>
              <w:rPr>
                <w:rFonts w:eastAsiaTheme="minorHAnsi" w:cs="Arial"/>
                <w:b/>
                <w:bCs/>
                <w:color w:val="000000"/>
                <w:sz w:val="14"/>
                <w:szCs w:val="14"/>
                <w:lang w:eastAsia="en-US"/>
              </w:rPr>
            </w:pPr>
            <w:r w:rsidRPr="003B476C">
              <w:rPr>
                <w:rFonts w:eastAsiaTheme="minorHAnsi" w:cs="Arial"/>
                <w:b/>
                <w:bCs/>
                <w:color w:val="000000"/>
                <w:sz w:val="14"/>
                <w:szCs w:val="14"/>
                <w:lang w:eastAsia="en-US"/>
              </w:rPr>
              <w:t>11,763,742,206</w:t>
            </w:r>
          </w:p>
        </w:tc>
        <w:tc>
          <w:tcPr>
            <w:tcW w:w="1139" w:type="dxa"/>
            <w:tcBorders>
              <w:top w:val="nil"/>
              <w:left w:val="single" w:sz="6" w:space="0" w:color="auto"/>
              <w:bottom w:val="nil"/>
              <w:right w:val="single" w:sz="6" w:space="0" w:color="auto"/>
            </w:tcBorders>
          </w:tcPr>
          <w:p w14:paraId="0D9DC612" w14:textId="77777777" w:rsidR="00B72E0F" w:rsidRPr="003B476C" w:rsidRDefault="00B72E0F" w:rsidP="00B72E0F">
            <w:pPr>
              <w:autoSpaceDE w:val="0"/>
              <w:autoSpaceDN w:val="0"/>
              <w:adjustRightInd w:val="0"/>
              <w:jc w:val="right"/>
              <w:rPr>
                <w:rFonts w:eastAsiaTheme="minorHAnsi" w:cs="Arial"/>
                <w:b/>
                <w:bCs/>
                <w:color w:val="000000"/>
                <w:sz w:val="14"/>
                <w:szCs w:val="14"/>
                <w:lang w:eastAsia="en-US"/>
              </w:rPr>
            </w:pPr>
            <w:r w:rsidRPr="003B476C">
              <w:rPr>
                <w:rFonts w:eastAsiaTheme="minorHAnsi" w:cs="Arial"/>
                <w:b/>
                <w:bCs/>
                <w:color w:val="000000"/>
                <w:sz w:val="14"/>
                <w:szCs w:val="14"/>
                <w:lang w:eastAsia="en-US"/>
              </w:rPr>
              <w:t>12,387,305,438</w:t>
            </w:r>
          </w:p>
        </w:tc>
        <w:tc>
          <w:tcPr>
            <w:tcW w:w="1134" w:type="dxa"/>
            <w:tcBorders>
              <w:top w:val="nil"/>
              <w:left w:val="single" w:sz="6" w:space="0" w:color="auto"/>
              <w:bottom w:val="nil"/>
              <w:right w:val="single" w:sz="6" w:space="0" w:color="auto"/>
            </w:tcBorders>
          </w:tcPr>
          <w:p w14:paraId="78C45E21" w14:textId="77777777" w:rsidR="00B72E0F" w:rsidRPr="003B476C" w:rsidRDefault="00B72E0F" w:rsidP="00B72E0F">
            <w:pPr>
              <w:autoSpaceDE w:val="0"/>
              <w:autoSpaceDN w:val="0"/>
              <w:adjustRightInd w:val="0"/>
              <w:jc w:val="right"/>
              <w:rPr>
                <w:rFonts w:eastAsiaTheme="minorHAnsi" w:cs="Arial"/>
                <w:b/>
                <w:bCs/>
                <w:color w:val="000000"/>
                <w:sz w:val="14"/>
                <w:szCs w:val="14"/>
                <w:lang w:eastAsia="en-US"/>
              </w:rPr>
            </w:pPr>
            <w:r w:rsidRPr="003B476C">
              <w:rPr>
                <w:rFonts w:eastAsiaTheme="minorHAnsi" w:cs="Arial"/>
                <w:b/>
                <w:bCs/>
                <w:color w:val="000000"/>
                <w:sz w:val="14"/>
                <w:szCs w:val="14"/>
                <w:lang w:eastAsia="en-US"/>
              </w:rPr>
              <w:t>13,065,961,744</w:t>
            </w:r>
          </w:p>
        </w:tc>
        <w:tc>
          <w:tcPr>
            <w:tcW w:w="1134" w:type="dxa"/>
            <w:tcBorders>
              <w:top w:val="nil"/>
              <w:left w:val="single" w:sz="6" w:space="0" w:color="auto"/>
              <w:bottom w:val="nil"/>
              <w:right w:val="single" w:sz="6" w:space="0" w:color="auto"/>
            </w:tcBorders>
          </w:tcPr>
          <w:p w14:paraId="205BFDAB" w14:textId="77777777" w:rsidR="00B72E0F" w:rsidRPr="003B476C" w:rsidRDefault="00B72E0F" w:rsidP="00B72E0F">
            <w:pPr>
              <w:autoSpaceDE w:val="0"/>
              <w:autoSpaceDN w:val="0"/>
              <w:adjustRightInd w:val="0"/>
              <w:jc w:val="right"/>
              <w:rPr>
                <w:rFonts w:eastAsiaTheme="minorHAnsi" w:cs="Arial"/>
                <w:b/>
                <w:bCs/>
                <w:color w:val="000000"/>
                <w:sz w:val="14"/>
                <w:szCs w:val="14"/>
                <w:lang w:eastAsia="en-US"/>
              </w:rPr>
            </w:pPr>
            <w:r w:rsidRPr="003B476C">
              <w:rPr>
                <w:rFonts w:eastAsiaTheme="minorHAnsi" w:cs="Arial"/>
                <w:b/>
                <w:bCs/>
                <w:color w:val="000000"/>
                <w:sz w:val="14"/>
                <w:szCs w:val="14"/>
                <w:lang w:eastAsia="en-US"/>
              </w:rPr>
              <w:t>13,781,868,809</w:t>
            </w:r>
          </w:p>
        </w:tc>
      </w:tr>
      <w:tr w:rsidR="001A0595" w:rsidRPr="003B476C" w14:paraId="43BA621B" w14:textId="77777777" w:rsidTr="003B476C">
        <w:trPr>
          <w:trHeight w:val="206"/>
        </w:trPr>
        <w:tc>
          <w:tcPr>
            <w:tcW w:w="2260" w:type="dxa"/>
            <w:tcBorders>
              <w:top w:val="nil"/>
              <w:left w:val="single" w:sz="6" w:space="0" w:color="auto"/>
              <w:bottom w:val="nil"/>
              <w:right w:val="single" w:sz="6" w:space="0" w:color="auto"/>
            </w:tcBorders>
          </w:tcPr>
          <w:p w14:paraId="40332AEC" w14:textId="77777777" w:rsidR="001A0595" w:rsidRPr="003B476C" w:rsidRDefault="001A0595">
            <w:pPr>
              <w:autoSpaceDE w:val="0"/>
              <w:autoSpaceDN w:val="0"/>
              <w:adjustRightInd w:val="0"/>
              <w:jc w:val="left"/>
              <w:rPr>
                <w:rFonts w:eastAsiaTheme="minorHAnsi" w:cs="Arial"/>
                <w:color w:val="000000"/>
                <w:sz w:val="14"/>
                <w:szCs w:val="14"/>
                <w:lang w:eastAsia="en-US"/>
              </w:rPr>
            </w:pPr>
            <w:r w:rsidRPr="003B476C">
              <w:rPr>
                <w:rFonts w:eastAsiaTheme="minorHAnsi" w:cs="Arial"/>
                <w:color w:val="000000"/>
                <w:sz w:val="14"/>
                <w:szCs w:val="14"/>
                <w:lang w:eastAsia="en-US"/>
              </w:rPr>
              <w:t>A.  Servicios Personales</w:t>
            </w:r>
          </w:p>
        </w:tc>
        <w:tc>
          <w:tcPr>
            <w:tcW w:w="1134" w:type="dxa"/>
            <w:tcBorders>
              <w:top w:val="nil"/>
              <w:left w:val="single" w:sz="6" w:space="0" w:color="auto"/>
              <w:bottom w:val="nil"/>
              <w:right w:val="single" w:sz="6" w:space="0" w:color="auto"/>
            </w:tcBorders>
          </w:tcPr>
          <w:p w14:paraId="06027EAC"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2,240,038,825</w:t>
            </w:r>
          </w:p>
        </w:tc>
        <w:tc>
          <w:tcPr>
            <w:tcW w:w="1134" w:type="dxa"/>
            <w:tcBorders>
              <w:top w:val="nil"/>
              <w:left w:val="single" w:sz="6" w:space="0" w:color="auto"/>
              <w:bottom w:val="nil"/>
              <w:right w:val="single" w:sz="6" w:space="0" w:color="auto"/>
            </w:tcBorders>
          </w:tcPr>
          <w:p w14:paraId="28C24548"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2,374,441,155</w:t>
            </w:r>
          </w:p>
        </w:tc>
        <w:tc>
          <w:tcPr>
            <w:tcW w:w="1129" w:type="dxa"/>
            <w:tcBorders>
              <w:top w:val="nil"/>
              <w:left w:val="single" w:sz="6" w:space="0" w:color="auto"/>
              <w:bottom w:val="nil"/>
              <w:right w:val="single" w:sz="6" w:space="0" w:color="auto"/>
            </w:tcBorders>
          </w:tcPr>
          <w:p w14:paraId="3FE8A8DB"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2,516,907,624</w:t>
            </w:r>
          </w:p>
        </w:tc>
        <w:tc>
          <w:tcPr>
            <w:tcW w:w="1139" w:type="dxa"/>
            <w:tcBorders>
              <w:top w:val="nil"/>
              <w:left w:val="single" w:sz="6" w:space="0" w:color="auto"/>
              <w:bottom w:val="nil"/>
              <w:right w:val="single" w:sz="6" w:space="0" w:color="auto"/>
            </w:tcBorders>
          </w:tcPr>
          <w:p w14:paraId="5BA2C142"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2,667,922,081</w:t>
            </w:r>
          </w:p>
        </w:tc>
        <w:tc>
          <w:tcPr>
            <w:tcW w:w="1134" w:type="dxa"/>
            <w:tcBorders>
              <w:top w:val="nil"/>
              <w:left w:val="single" w:sz="6" w:space="0" w:color="auto"/>
              <w:bottom w:val="nil"/>
              <w:right w:val="single" w:sz="6" w:space="0" w:color="auto"/>
            </w:tcBorders>
          </w:tcPr>
          <w:p w14:paraId="0DDCE9CE"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2,827,997,406</w:t>
            </w:r>
          </w:p>
        </w:tc>
        <w:tc>
          <w:tcPr>
            <w:tcW w:w="1134" w:type="dxa"/>
            <w:tcBorders>
              <w:top w:val="nil"/>
              <w:left w:val="single" w:sz="6" w:space="0" w:color="auto"/>
              <w:bottom w:val="nil"/>
              <w:right w:val="single" w:sz="6" w:space="0" w:color="auto"/>
            </w:tcBorders>
          </w:tcPr>
          <w:p w14:paraId="6F023BBB"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2,997,677,250</w:t>
            </w:r>
          </w:p>
        </w:tc>
      </w:tr>
      <w:tr w:rsidR="001A0595" w:rsidRPr="003B476C" w14:paraId="6E32A3B5" w14:textId="77777777" w:rsidTr="003B476C">
        <w:trPr>
          <w:trHeight w:val="206"/>
        </w:trPr>
        <w:tc>
          <w:tcPr>
            <w:tcW w:w="2260" w:type="dxa"/>
            <w:tcBorders>
              <w:top w:val="nil"/>
              <w:left w:val="single" w:sz="6" w:space="0" w:color="auto"/>
              <w:bottom w:val="nil"/>
              <w:right w:val="single" w:sz="6" w:space="0" w:color="auto"/>
            </w:tcBorders>
          </w:tcPr>
          <w:p w14:paraId="6052724F" w14:textId="77777777" w:rsidR="001A0595" w:rsidRPr="003B476C" w:rsidRDefault="001A0595">
            <w:pPr>
              <w:autoSpaceDE w:val="0"/>
              <w:autoSpaceDN w:val="0"/>
              <w:adjustRightInd w:val="0"/>
              <w:jc w:val="left"/>
              <w:rPr>
                <w:rFonts w:eastAsiaTheme="minorHAnsi" w:cs="Arial"/>
                <w:color w:val="000000"/>
                <w:sz w:val="14"/>
                <w:szCs w:val="14"/>
                <w:lang w:eastAsia="en-US"/>
              </w:rPr>
            </w:pPr>
            <w:r w:rsidRPr="003B476C">
              <w:rPr>
                <w:rFonts w:eastAsiaTheme="minorHAnsi" w:cs="Arial"/>
                <w:color w:val="000000"/>
                <w:sz w:val="14"/>
                <w:szCs w:val="14"/>
                <w:lang w:eastAsia="en-US"/>
              </w:rPr>
              <w:t>B.  Materiales y Suministros</w:t>
            </w:r>
          </w:p>
        </w:tc>
        <w:tc>
          <w:tcPr>
            <w:tcW w:w="1134" w:type="dxa"/>
            <w:tcBorders>
              <w:top w:val="nil"/>
              <w:left w:val="single" w:sz="6" w:space="0" w:color="auto"/>
              <w:bottom w:val="nil"/>
              <w:right w:val="single" w:sz="6" w:space="0" w:color="auto"/>
            </w:tcBorders>
            <w:shd w:val="solid" w:color="FFFFFF" w:fill="000000"/>
          </w:tcPr>
          <w:p w14:paraId="55F82BFF"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212,009,603</w:t>
            </w:r>
          </w:p>
        </w:tc>
        <w:tc>
          <w:tcPr>
            <w:tcW w:w="1134" w:type="dxa"/>
            <w:tcBorders>
              <w:top w:val="nil"/>
              <w:left w:val="single" w:sz="6" w:space="0" w:color="auto"/>
              <w:bottom w:val="nil"/>
              <w:right w:val="single" w:sz="6" w:space="0" w:color="auto"/>
            </w:tcBorders>
          </w:tcPr>
          <w:p w14:paraId="2CBCB3AC"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222,610,083</w:t>
            </w:r>
          </w:p>
        </w:tc>
        <w:tc>
          <w:tcPr>
            <w:tcW w:w="1129" w:type="dxa"/>
            <w:tcBorders>
              <w:top w:val="nil"/>
              <w:left w:val="single" w:sz="6" w:space="0" w:color="auto"/>
              <w:bottom w:val="nil"/>
              <w:right w:val="single" w:sz="6" w:space="0" w:color="auto"/>
            </w:tcBorders>
          </w:tcPr>
          <w:p w14:paraId="5E45A5C0"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233,740,587</w:t>
            </w:r>
          </w:p>
        </w:tc>
        <w:tc>
          <w:tcPr>
            <w:tcW w:w="1139" w:type="dxa"/>
            <w:tcBorders>
              <w:top w:val="nil"/>
              <w:left w:val="single" w:sz="6" w:space="0" w:color="auto"/>
              <w:bottom w:val="nil"/>
              <w:right w:val="single" w:sz="6" w:space="0" w:color="auto"/>
            </w:tcBorders>
          </w:tcPr>
          <w:p w14:paraId="30F48F8B"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245,427,617</w:t>
            </w:r>
          </w:p>
        </w:tc>
        <w:tc>
          <w:tcPr>
            <w:tcW w:w="1134" w:type="dxa"/>
            <w:tcBorders>
              <w:top w:val="nil"/>
              <w:left w:val="single" w:sz="6" w:space="0" w:color="auto"/>
              <w:bottom w:val="nil"/>
              <w:right w:val="single" w:sz="6" w:space="0" w:color="auto"/>
            </w:tcBorders>
          </w:tcPr>
          <w:p w14:paraId="31338457"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257,698,998</w:t>
            </w:r>
          </w:p>
        </w:tc>
        <w:tc>
          <w:tcPr>
            <w:tcW w:w="1134" w:type="dxa"/>
            <w:tcBorders>
              <w:top w:val="nil"/>
              <w:left w:val="single" w:sz="6" w:space="0" w:color="auto"/>
              <w:bottom w:val="nil"/>
              <w:right w:val="single" w:sz="6" w:space="0" w:color="auto"/>
            </w:tcBorders>
          </w:tcPr>
          <w:p w14:paraId="2068C3F7"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270,583,947</w:t>
            </w:r>
          </w:p>
        </w:tc>
      </w:tr>
      <w:tr w:rsidR="001A0595" w:rsidRPr="003B476C" w14:paraId="0A7A4BE4" w14:textId="77777777" w:rsidTr="003B476C">
        <w:trPr>
          <w:trHeight w:val="206"/>
        </w:trPr>
        <w:tc>
          <w:tcPr>
            <w:tcW w:w="2260" w:type="dxa"/>
            <w:tcBorders>
              <w:top w:val="nil"/>
              <w:left w:val="single" w:sz="6" w:space="0" w:color="auto"/>
              <w:bottom w:val="nil"/>
              <w:right w:val="single" w:sz="6" w:space="0" w:color="auto"/>
            </w:tcBorders>
          </w:tcPr>
          <w:p w14:paraId="27BF53D0" w14:textId="77777777" w:rsidR="001A0595" w:rsidRPr="003B476C" w:rsidRDefault="001A0595">
            <w:pPr>
              <w:autoSpaceDE w:val="0"/>
              <w:autoSpaceDN w:val="0"/>
              <w:adjustRightInd w:val="0"/>
              <w:jc w:val="left"/>
              <w:rPr>
                <w:rFonts w:eastAsiaTheme="minorHAnsi" w:cs="Arial"/>
                <w:color w:val="000000"/>
                <w:sz w:val="14"/>
                <w:szCs w:val="14"/>
                <w:lang w:eastAsia="en-US"/>
              </w:rPr>
            </w:pPr>
            <w:r w:rsidRPr="003B476C">
              <w:rPr>
                <w:rFonts w:eastAsiaTheme="minorHAnsi" w:cs="Arial"/>
                <w:color w:val="000000"/>
                <w:sz w:val="14"/>
                <w:szCs w:val="14"/>
                <w:lang w:eastAsia="en-US"/>
              </w:rPr>
              <w:t>C.  Servicios Generales</w:t>
            </w:r>
          </w:p>
        </w:tc>
        <w:tc>
          <w:tcPr>
            <w:tcW w:w="1134" w:type="dxa"/>
            <w:tcBorders>
              <w:top w:val="nil"/>
              <w:left w:val="single" w:sz="6" w:space="0" w:color="auto"/>
              <w:bottom w:val="nil"/>
              <w:right w:val="single" w:sz="6" w:space="0" w:color="auto"/>
            </w:tcBorders>
            <w:shd w:val="solid" w:color="FFFFFF" w:fill="auto"/>
          </w:tcPr>
          <w:p w14:paraId="71FF0C2E"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395,041,338</w:t>
            </w:r>
          </w:p>
        </w:tc>
        <w:tc>
          <w:tcPr>
            <w:tcW w:w="1134" w:type="dxa"/>
            <w:tcBorders>
              <w:top w:val="nil"/>
              <w:left w:val="single" w:sz="6" w:space="0" w:color="auto"/>
              <w:bottom w:val="nil"/>
              <w:right w:val="single" w:sz="6" w:space="0" w:color="auto"/>
            </w:tcBorders>
          </w:tcPr>
          <w:p w14:paraId="608334B3"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414,793,405</w:t>
            </w:r>
          </w:p>
        </w:tc>
        <w:tc>
          <w:tcPr>
            <w:tcW w:w="1129" w:type="dxa"/>
            <w:tcBorders>
              <w:top w:val="nil"/>
              <w:left w:val="single" w:sz="6" w:space="0" w:color="auto"/>
              <w:bottom w:val="nil"/>
              <w:right w:val="single" w:sz="6" w:space="0" w:color="auto"/>
            </w:tcBorders>
          </w:tcPr>
          <w:p w14:paraId="248997C3"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435,533,075</w:t>
            </w:r>
          </w:p>
        </w:tc>
        <w:tc>
          <w:tcPr>
            <w:tcW w:w="1139" w:type="dxa"/>
            <w:tcBorders>
              <w:top w:val="nil"/>
              <w:left w:val="single" w:sz="6" w:space="0" w:color="auto"/>
              <w:bottom w:val="nil"/>
              <w:right w:val="single" w:sz="6" w:space="0" w:color="auto"/>
            </w:tcBorders>
          </w:tcPr>
          <w:p w14:paraId="4D8FDA6C"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457,309,729</w:t>
            </w:r>
          </w:p>
        </w:tc>
        <w:tc>
          <w:tcPr>
            <w:tcW w:w="1134" w:type="dxa"/>
            <w:tcBorders>
              <w:top w:val="nil"/>
              <w:left w:val="single" w:sz="6" w:space="0" w:color="auto"/>
              <w:bottom w:val="nil"/>
              <w:right w:val="single" w:sz="6" w:space="0" w:color="auto"/>
            </w:tcBorders>
          </w:tcPr>
          <w:p w14:paraId="22BB3F1F"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480,175,215</w:t>
            </w:r>
          </w:p>
        </w:tc>
        <w:tc>
          <w:tcPr>
            <w:tcW w:w="1134" w:type="dxa"/>
            <w:tcBorders>
              <w:top w:val="nil"/>
              <w:left w:val="single" w:sz="6" w:space="0" w:color="auto"/>
              <w:bottom w:val="nil"/>
              <w:right w:val="single" w:sz="6" w:space="0" w:color="auto"/>
            </w:tcBorders>
          </w:tcPr>
          <w:p w14:paraId="04715298"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504,183,976</w:t>
            </w:r>
          </w:p>
        </w:tc>
      </w:tr>
      <w:tr w:rsidR="001A0595" w:rsidRPr="003B476C" w14:paraId="1E2B28BF" w14:textId="77777777" w:rsidTr="003B476C">
        <w:trPr>
          <w:trHeight w:val="408"/>
        </w:trPr>
        <w:tc>
          <w:tcPr>
            <w:tcW w:w="2260" w:type="dxa"/>
            <w:tcBorders>
              <w:top w:val="nil"/>
              <w:left w:val="single" w:sz="6" w:space="0" w:color="auto"/>
              <w:bottom w:val="nil"/>
              <w:right w:val="single" w:sz="6" w:space="0" w:color="auto"/>
            </w:tcBorders>
            <w:shd w:val="solid" w:color="FFFFFF" w:fill="000000"/>
          </w:tcPr>
          <w:p w14:paraId="10BE25ED" w14:textId="77777777" w:rsidR="001A0595" w:rsidRPr="003B476C" w:rsidRDefault="001A0595">
            <w:pPr>
              <w:autoSpaceDE w:val="0"/>
              <w:autoSpaceDN w:val="0"/>
              <w:adjustRightInd w:val="0"/>
              <w:jc w:val="left"/>
              <w:rPr>
                <w:rFonts w:eastAsiaTheme="minorHAnsi" w:cs="Arial"/>
                <w:color w:val="000000"/>
                <w:sz w:val="14"/>
                <w:szCs w:val="14"/>
                <w:lang w:eastAsia="en-US"/>
              </w:rPr>
            </w:pPr>
            <w:r w:rsidRPr="003B476C">
              <w:rPr>
                <w:rFonts w:eastAsiaTheme="minorHAnsi" w:cs="Arial"/>
                <w:color w:val="000000"/>
                <w:sz w:val="14"/>
                <w:szCs w:val="14"/>
                <w:lang w:eastAsia="en-US"/>
              </w:rPr>
              <w:t>D.  Transferencias, Asignaciones, Subsidios y Otras Ayudas</w:t>
            </w:r>
          </w:p>
        </w:tc>
        <w:tc>
          <w:tcPr>
            <w:tcW w:w="1134" w:type="dxa"/>
            <w:tcBorders>
              <w:top w:val="nil"/>
              <w:left w:val="single" w:sz="6" w:space="0" w:color="auto"/>
              <w:bottom w:val="nil"/>
              <w:right w:val="single" w:sz="6" w:space="0" w:color="auto"/>
            </w:tcBorders>
            <w:shd w:val="solid" w:color="FFFFFF" w:fill="000000"/>
          </w:tcPr>
          <w:p w14:paraId="69C19C22"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5,009,934,820</w:t>
            </w:r>
          </w:p>
        </w:tc>
        <w:tc>
          <w:tcPr>
            <w:tcW w:w="1134" w:type="dxa"/>
            <w:tcBorders>
              <w:top w:val="nil"/>
              <w:left w:val="single" w:sz="6" w:space="0" w:color="auto"/>
              <w:bottom w:val="nil"/>
              <w:right w:val="single" w:sz="6" w:space="0" w:color="auto"/>
            </w:tcBorders>
          </w:tcPr>
          <w:p w14:paraId="438FB68B"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5,285,481,235</w:t>
            </w:r>
          </w:p>
        </w:tc>
        <w:tc>
          <w:tcPr>
            <w:tcW w:w="1129" w:type="dxa"/>
            <w:tcBorders>
              <w:top w:val="nil"/>
              <w:left w:val="single" w:sz="6" w:space="0" w:color="auto"/>
              <w:bottom w:val="nil"/>
              <w:right w:val="single" w:sz="6" w:space="0" w:color="auto"/>
            </w:tcBorders>
          </w:tcPr>
          <w:p w14:paraId="7B5AC570"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5,576,182,703</w:t>
            </w:r>
          </w:p>
        </w:tc>
        <w:tc>
          <w:tcPr>
            <w:tcW w:w="1139" w:type="dxa"/>
            <w:tcBorders>
              <w:top w:val="nil"/>
              <w:left w:val="single" w:sz="6" w:space="0" w:color="auto"/>
              <w:bottom w:val="nil"/>
              <w:right w:val="single" w:sz="6" w:space="0" w:color="auto"/>
            </w:tcBorders>
          </w:tcPr>
          <w:p w14:paraId="64555CCF"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5,882,872,752</w:t>
            </w:r>
          </w:p>
        </w:tc>
        <w:tc>
          <w:tcPr>
            <w:tcW w:w="1134" w:type="dxa"/>
            <w:tcBorders>
              <w:top w:val="nil"/>
              <w:left w:val="single" w:sz="6" w:space="0" w:color="auto"/>
              <w:bottom w:val="nil"/>
              <w:right w:val="single" w:sz="6" w:space="0" w:color="auto"/>
            </w:tcBorders>
          </w:tcPr>
          <w:p w14:paraId="39D66C9B"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6,206,430,753</w:t>
            </w:r>
          </w:p>
        </w:tc>
        <w:tc>
          <w:tcPr>
            <w:tcW w:w="1134" w:type="dxa"/>
            <w:tcBorders>
              <w:top w:val="nil"/>
              <w:left w:val="single" w:sz="6" w:space="0" w:color="auto"/>
              <w:bottom w:val="nil"/>
              <w:right w:val="single" w:sz="6" w:space="0" w:color="auto"/>
            </w:tcBorders>
          </w:tcPr>
          <w:p w14:paraId="7211565D"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6,547,784,444</w:t>
            </w:r>
          </w:p>
        </w:tc>
      </w:tr>
      <w:tr w:rsidR="001A0595" w:rsidRPr="003B476C" w14:paraId="10DA268C" w14:textId="77777777" w:rsidTr="003B476C">
        <w:trPr>
          <w:trHeight w:val="408"/>
        </w:trPr>
        <w:tc>
          <w:tcPr>
            <w:tcW w:w="2260" w:type="dxa"/>
            <w:tcBorders>
              <w:top w:val="nil"/>
              <w:left w:val="single" w:sz="6" w:space="0" w:color="auto"/>
              <w:bottom w:val="nil"/>
              <w:right w:val="single" w:sz="6" w:space="0" w:color="auto"/>
            </w:tcBorders>
          </w:tcPr>
          <w:p w14:paraId="78C6DDB5" w14:textId="77777777" w:rsidR="001A0595" w:rsidRPr="003B476C" w:rsidRDefault="001A0595">
            <w:pPr>
              <w:autoSpaceDE w:val="0"/>
              <w:autoSpaceDN w:val="0"/>
              <w:adjustRightInd w:val="0"/>
              <w:jc w:val="left"/>
              <w:rPr>
                <w:rFonts w:eastAsiaTheme="minorHAnsi" w:cs="Arial"/>
                <w:color w:val="000000"/>
                <w:sz w:val="14"/>
                <w:szCs w:val="14"/>
                <w:lang w:eastAsia="en-US"/>
              </w:rPr>
            </w:pPr>
            <w:r w:rsidRPr="003B476C">
              <w:rPr>
                <w:rFonts w:eastAsiaTheme="minorHAnsi" w:cs="Arial"/>
                <w:color w:val="000000"/>
                <w:sz w:val="14"/>
                <w:szCs w:val="14"/>
                <w:lang w:eastAsia="en-US"/>
              </w:rPr>
              <w:t>E.  Bienes Muebles, Inmuebles e Intangibles</w:t>
            </w:r>
          </w:p>
        </w:tc>
        <w:tc>
          <w:tcPr>
            <w:tcW w:w="1134" w:type="dxa"/>
            <w:tcBorders>
              <w:top w:val="nil"/>
              <w:left w:val="single" w:sz="6" w:space="0" w:color="auto"/>
              <w:bottom w:val="nil"/>
              <w:right w:val="single" w:sz="6" w:space="0" w:color="auto"/>
            </w:tcBorders>
            <w:shd w:val="solid" w:color="FFFFFF" w:fill="auto"/>
          </w:tcPr>
          <w:p w14:paraId="00345D0C"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67,830,790</w:t>
            </w:r>
          </w:p>
        </w:tc>
        <w:tc>
          <w:tcPr>
            <w:tcW w:w="1134" w:type="dxa"/>
            <w:tcBorders>
              <w:top w:val="nil"/>
              <w:left w:val="single" w:sz="6" w:space="0" w:color="auto"/>
              <w:bottom w:val="nil"/>
              <w:right w:val="single" w:sz="6" w:space="0" w:color="auto"/>
            </w:tcBorders>
          </w:tcPr>
          <w:p w14:paraId="73E2453C"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71,222,330</w:t>
            </w:r>
          </w:p>
        </w:tc>
        <w:tc>
          <w:tcPr>
            <w:tcW w:w="1129" w:type="dxa"/>
            <w:tcBorders>
              <w:top w:val="nil"/>
              <w:left w:val="single" w:sz="6" w:space="0" w:color="auto"/>
              <w:bottom w:val="nil"/>
              <w:right w:val="single" w:sz="6" w:space="0" w:color="auto"/>
            </w:tcBorders>
          </w:tcPr>
          <w:p w14:paraId="4A87119F"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74,783,446</w:t>
            </w:r>
          </w:p>
        </w:tc>
        <w:tc>
          <w:tcPr>
            <w:tcW w:w="1139" w:type="dxa"/>
            <w:tcBorders>
              <w:top w:val="nil"/>
              <w:left w:val="single" w:sz="6" w:space="0" w:color="auto"/>
              <w:bottom w:val="nil"/>
              <w:right w:val="single" w:sz="6" w:space="0" w:color="auto"/>
            </w:tcBorders>
          </w:tcPr>
          <w:p w14:paraId="3ABBEE88"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78,522,618</w:t>
            </w:r>
          </w:p>
        </w:tc>
        <w:tc>
          <w:tcPr>
            <w:tcW w:w="1134" w:type="dxa"/>
            <w:tcBorders>
              <w:top w:val="nil"/>
              <w:left w:val="single" w:sz="6" w:space="0" w:color="auto"/>
              <w:bottom w:val="nil"/>
              <w:right w:val="single" w:sz="6" w:space="0" w:color="auto"/>
            </w:tcBorders>
          </w:tcPr>
          <w:p w14:paraId="56BAB537"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82,448,749</w:t>
            </w:r>
          </w:p>
        </w:tc>
        <w:tc>
          <w:tcPr>
            <w:tcW w:w="1134" w:type="dxa"/>
            <w:tcBorders>
              <w:top w:val="nil"/>
              <w:left w:val="single" w:sz="6" w:space="0" w:color="auto"/>
              <w:bottom w:val="nil"/>
              <w:right w:val="single" w:sz="6" w:space="0" w:color="auto"/>
            </w:tcBorders>
          </w:tcPr>
          <w:p w14:paraId="53C6E8B4"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86,571,187</w:t>
            </w:r>
          </w:p>
        </w:tc>
      </w:tr>
      <w:tr w:rsidR="001A0595" w:rsidRPr="003B476C" w14:paraId="097E3801" w14:textId="77777777" w:rsidTr="003B476C">
        <w:trPr>
          <w:trHeight w:val="206"/>
        </w:trPr>
        <w:tc>
          <w:tcPr>
            <w:tcW w:w="2260" w:type="dxa"/>
            <w:tcBorders>
              <w:top w:val="nil"/>
              <w:left w:val="single" w:sz="6" w:space="0" w:color="auto"/>
              <w:bottom w:val="nil"/>
              <w:right w:val="single" w:sz="6" w:space="0" w:color="auto"/>
            </w:tcBorders>
            <w:shd w:val="solid" w:color="FFFFFF" w:fill="000000"/>
          </w:tcPr>
          <w:p w14:paraId="1C058494" w14:textId="77777777" w:rsidR="001A0595" w:rsidRPr="003B476C" w:rsidRDefault="001A0595">
            <w:pPr>
              <w:autoSpaceDE w:val="0"/>
              <w:autoSpaceDN w:val="0"/>
              <w:adjustRightInd w:val="0"/>
              <w:jc w:val="left"/>
              <w:rPr>
                <w:rFonts w:eastAsiaTheme="minorHAnsi" w:cs="Arial"/>
                <w:color w:val="000000"/>
                <w:sz w:val="14"/>
                <w:szCs w:val="14"/>
                <w:lang w:eastAsia="en-US"/>
              </w:rPr>
            </w:pPr>
            <w:r w:rsidRPr="003B476C">
              <w:rPr>
                <w:rFonts w:eastAsiaTheme="minorHAnsi" w:cs="Arial"/>
                <w:color w:val="000000"/>
                <w:sz w:val="14"/>
                <w:szCs w:val="14"/>
                <w:lang w:eastAsia="en-US"/>
              </w:rPr>
              <w:t>F.  Inversión Pública</w:t>
            </w:r>
          </w:p>
        </w:tc>
        <w:tc>
          <w:tcPr>
            <w:tcW w:w="1134" w:type="dxa"/>
            <w:tcBorders>
              <w:top w:val="nil"/>
              <w:left w:val="single" w:sz="6" w:space="0" w:color="auto"/>
              <w:bottom w:val="nil"/>
              <w:right w:val="single" w:sz="6" w:space="0" w:color="auto"/>
            </w:tcBorders>
            <w:shd w:val="solid" w:color="FFFFFF" w:fill="000000"/>
          </w:tcPr>
          <w:p w14:paraId="1ABBF2B1" w14:textId="2397EF83" w:rsidR="001A0595" w:rsidRPr="003B476C" w:rsidRDefault="00B72E0F">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342,875,390</w:t>
            </w:r>
          </w:p>
        </w:tc>
        <w:tc>
          <w:tcPr>
            <w:tcW w:w="1134" w:type="dxa"/>
            <w:tcBorders>
              <w:top w:val="nil"/>
              <w:left w:val="single" w:sz="6" w:space="0" w:color="auto"/>
              <w:bottom w:val="nil"/>
              <w:right w:val="single" w:sz="6" w:space="0" w:color="auto"/>
            </w:tcBorders>
            <w:shd w:val="solid" w:color="FFFFFF" w:fill="000000"/>
          </w:tcPr>
          <w:p w14:paraId="375A2A5F"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0</w:t>
            </w:r>
          </w:p>
        </w:tc>
        <w:tc>
          <w:tcPr>
            <w:tcW w:w="1129" w:type="dxa"/>
            <w:tcBorders>
              <w:top w:val="nil"/>
              <w:left w:val="single" w:sz="6" w:space="0" w:color="auto"/>
              <w:bottom w:val="nil"/>
              <w:right w:val="single" w:sz="6" w:space="0" w:color="auto"/>
            </w:tcBorders>
            <w:shd w:val="solid" w:color="FFFFFF" w:fill="000000"/>
          </w:tcPr>
          <w:p w14:paraId="19184F96"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0</w:t>
            </w:r>
          </w:p>
        </w:tc>
        <w:tc>
          <w:tcPr>
            <w:tcW w:w="1139" w:type="dxa"/>
            <w:tcBorders>
              <w:top w:val="nil"/>
              <w:left w:val="single" w:sz="6" w:space="0" w:color="auto"/>
              <w:bottom w:val="nil"/>
              <w:right w:val="single" w:sz="6" w:space="0" w:color="auto"/>
            </w:tcBorders>
            <w:shd w:val="solid" w:color="FFFFFF" w:fill="000000"/>
          </w:tcPr>
          <w:p w14:paraId="54B1F57F"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0</w:t>
            </w:r>
          </w:p>
        </w:tc>
        <w:tc>
          <w:tcPr>
            <w:tcW w:w="1134" w:type="dxa"/>
            <w:tcBorders>
              <w:top w:val="nil"/>
              <w:left w:val="single" w:sz="6" w:space="0" w:color="auto"/>
              <w:bottom w:val="nil"/>
              <w:right w:val="single" w:sz="6" w:space="0" w:color="auto"/>
            </w:tcBorders>
            <w:shd w:val="solid" w:color="FFFFFF" w:fill="000000"/>
          </w:tcPr>
          <w:p w14:paraId="4A23F854"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0</w:t>
            </w:r>
          </w:p>
        </w:tc>
        <w:tc>
          <w:tcPr>
            <w:tcW w:w="1134" w:type="dxa"/>
            <w:tcBorders>
              <w:top w:val="nil"/>
              <w:left w:val="single" w:sz="6" w:space="0" w:color="auto"/>
              <w:bottom w:val="nil"/>
              <w:right w:val="single" w:sz="6" w:space="0" w:color="auto"/>
            </w:tcBorders>
            <w:shd w:val="solid" w:color="FFFFFF" w:fill="000000"/>
          </w:tcPr>
          <w:p w14:paraId="60FA9DA2"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0</w:t>
            </w:r>
          </w:p>
        </w:tc>
      </w:tr>
      <w:tr w:rsidR="001A0595" w:rsidRPr="003B476C" w14:paraId="7468C820" w14:textId="77777777" w:rsidTr="003B476C">
        <w:trPr>
          <w:trHeight w:val="408"/>
        </w:trPr>
        <w:tc>
          <w:tcPr>
            <w:tcW w:w="2260" w:type="dxa"/>
            <w:tcBorders>
              <w:top w:val="nil"/>
              <w:left w:val="single" w:sz="6" w:space="0" w:color="auto"/>
              <w:bottom w:val="nil"/>
              <w:right w:val="single" w:sz="6" w:space="0" w:color="auto"/>
            </w:tcBorders>
            <w:shd w:val="solid" w:color="FFFFFF" w:fill="000000"/>
          </w:tcPr>
          <w:p w14:paraId="4A374445" w14:textId="77777777" w:rsidR="001A0595" w:rsidRPr="003B476C" w:rsidRDefault="001A0595">
            <w:pPr>
              <w:autoSpaceDE w:val="0"/>
              <w:autoSpaceDN w:val="0"/>
              <w:adjustRightInd w:val="0"/>
              <w:jc w:val="left"/>
              <w:rPr>
                <w:rFonts w:eastAsiaTheme="minorHAnsi" w:cs="Arial"/>
                <w:color w:val="000000"/>
                <w:sz w:val="14"/>
                <w:szCs w:val="14"/>
                <w:lang w:eastAsia="en-US"/>
              </w:rPr>
            </w:pPr>
            <w:r w:rsidRPr="003B476C">
              <w:rPr>
                <w:rFonts w:eastAsiaTheme="minorHAnsi" w:cs="Arial"/>
                <w:color w:val="000000"/>
                <w:sz w:val="14"/>
                <w:szCs w:val="14"/>
                <w:lang w:eastAsia="en-US"/>
              </w:rPr>
              <w:t>G.  Inversiones Financieras y Otras Provisiones</w:t>
            </w:r>
          </w:p>
        </w:tc>
        <w:tc>
          <w:tcPr>
            <w:tcW w:w="1134" w:type="dxa"/>
            <w:tcBorders>
              <w:top w:val="nil"/>
              <w:left w:val="single" w:sz="6" w:space="0" w:color="auto"/>
              <w:bottom w:val="nil"/>
              <w:right w:val="single" w:sz="6" w:space="0" w:color="auto"/>
            </w:tcBorders>
            <w:shd w:val="solid" w:color="FFFFFF" w:fill="auto"/>
          </w:tcPr>
          <w:p w14:paraId="4542F6F7"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4,800,000</w:t>
            </w:r>
          </w:p>
        </w:tc>
        <w:tc>
          <w:tcPr>
            <w:tcW w:w="1134" w:type="dxa"/>
            <w:tcBorders>
              <w:top w:val="nil"/>
              <w:left w:val="single" w:sz="6" w:space="0" w:color="auto"/>
              <w:bottom w:val="nil"/>
              <w:right w:val="single" w:sz="6" w:space="0" w:color="auto"/>
            </w:tcBorders>
            <w:shd w:val="solid" w:color="FFFFFF" w:fill="auto"/>
          </w:tcPr>
          <w:p w14:paraId="35092AC9"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4,800,000</w:t>
            </w:r>
          </w:p>
        </w:tc>
        <w:tc>
          <w:tcPr>
            <w:tcW w:w="1129" w:type="dxa"/>
            <w:tcBorders>
              <w:top w:val="nil"/>
              <w:left w:val="single" w:sz="6" w:space="0" w:color="auto"/>
              <w:bottom w:val="nil"/>
              <w:right w:val="single" w:sz="6" w:space="0" w:color="auto"/>
            </w:tcBorders>
            <w:shd w:val="solid" w:color="FFFFFF" w:fill="auto"/>
          </w:tcPr>
          <w:p w14:paraId="3BBB3EAE"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4,800,000</w:t>
            </w:r>
          </w:p>
        </w:tc>
        <w:tc>
          <w:tcPr>
            <w:tcW w:w="1139" w:type="dxa"/>
            <w:tcBorders>
              <w:top w:val="nil"/>
              <w:left w:val="single" w:sz="6" w:space="0" w:color="auto"/>
              <w:bottom w:val="nil"/>
              <w:right w:val="single" w:sz="6" w:space="0" w:color="auto"/>
            </w:tcBorders>
            <w:shd w:val="solid" w:color="FFFFFF" w:fill="auto"/>
          </w:tcPr>
          <w:p w14:paraId="19607500"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4,800,000</w:t>
            </w:r>
          </w:p>
        </w:tc>
        <w:tc>
          <w:tcPr>
            <w:tcW w:w="1134" w:type="dxa"/>
            <w:tcBorders>
              <w:top w:val="nil"/>
              <w:left w:val="single" w:sz="6" w:space="0" w:color="auto"/>
              <w:bottom w:val="nil"/>
              <w:right w:val="single" w:sz="6" w:space="0" w:color="auto"/>
            </w:tcBorders>
            <w:shd w:val="solid" w:color="FFFFFF" w:fill="auto"/>
          </w:tcPr>
          <w:p w14:paraId="24754809"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4,800,000</w:t>
            </w:r>
          </w:p>
        </w:tc>
        <w:tc>
          <w:tcPr>
            <w:tcW w:w="1134" w:type="dxa"/>
            <w:tcBorders>
              <w:top w:val="nil"/>
              <w:left w:val="single" w:sz="6" w:space="0" w:color="auto"/>
              <w:bottom w:val="nil"/>
              <w:right w:val="single" w:sz="6" w:space="0" w:color="auto"/>
            </w:tcBorders>
            <w:shd w:val="solid" w:color="FFFFFF" w:fill="auto"/>
          </w:tcPr>
          <w:p w14:paraId="42593C3D"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4,800,000</w:t>
            </w:r>
          </w:p>
        </w:tc>
      </w:tr>
      <w:tr w:rsidR="001A0595" w:rsidRPr="003B476C" w14:paraId="2ACA608B" w14:textId="77777777" w:rsidTr="003B476C">
        <w:trPr>
          <w:trHeight w:val="206"/>
        </w:trPr>
        <w:tc>
          <w:tcPr>
            <w:tcW w:w="2260" w:type="dxa"/>
            <w:tcBorders>
              <w:top w:val="nil"/>
              <w:left w:val="single" w:sz="6" w:space="0" w:color="auto"/>
              <w:bottom w:val="nil"/>
              <w:right w:val="single" w:sz="6" w:space="0" w:color="auto"/>
            </w:tcBorders>
          </w:tcPr>
          <w:p w14:paraId="72D256E7" w14:textId="77777777" w:rsidR="001A0595" w:rsidRPr="003B476C" w:rsidRDefault="001A0595">
            <w:pPr>
              <w:autoSpaceDE w:val="0"/>
              <w:autoSpaceDN w:val="0"/>
              <w:adjustRightInd w:val="0"/>
              <w:jc w:val="left"/>
              <w:rPr>
                <w:rFonts w:eastAsiaTheme="minorHAnsi" w:cs="Arial"/>
                <w:color w:val="000000"/>
                <w:sz w:val="14"/>
                <w:szCs w:val="14"/>
                <w:lang w:eastAsia="en-US"/>
              </w:rPr>
            </w:pPr>
            <w:r w:rsidRPr="003B476C">
              <w:rPr>
                <w:rFonts w:eastAsiaTheme="minorHAnsi" w:cs="Arial"/>
                <w:color w:val="000000"/>
                <w:sz w:val="14"/>
                <w:szCs w:val="14"/>
                <w:lang w:eastAsia="en-US"/>
              </w:rPr>
              <w:t>H.  Participaciones y Aportaciones</w:t>
            </w:r>
          </w:p>
        </w:tc>
        <w:tc>
          <w:tcPr>
            <w:tcW w:w="1134" w:type="dxa"/>
            <w:tcBorders>
              <w:top w:val="nil"/>
              <w:left w:val="single" w:sz="6" w:space="0" w:color="auto"/>
              <w:bottom w:val="nil"/>
              <w:right w:val="single" w:sz="6" w:space="0" w:color="auto"/>
            </w:tcBorders>
          </w:tcPr>
          <w:p w14:paraId="0A5CCFB0"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2,169,346,883</w:t>
            </w:r>
          </w:p>
        </w:tc>
        <w:tc>
          <w:tcPr>
            <w:tcW w:w="1134" w:type="dxa"/>
            <w:tcBorders>
              <w:top w:val="nil"/>
              <w:left w:val="single" w:sz="6" w:space="0" w:color="auto"/>
              <w:bottom w:val="nil"/>
              <w:right w:val="single" w:sz="6" w:space="0" w:color="auto"/>
            </w:tcBorders>
          </w:tcPr>
          <w:p w14:paraId="2598387B"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2,299,507,696</w:t>
            </w:r>
          </w:p>
        </w:tc>
        <w:tc>
          <w:tcPr>
            <w:tcW w:w="1129" w:type="dxa"/>
            <w:tcBorders>
              <w:top w:val="nil"/>
              <w:left w:val="single" w:sz="6" w:space="0" w:color="auto"/>
              <w:bottom w:val="nil"/>
              <w:right w:val="single" w:sz="6" w:space="0" w:color="auto"/>
            </w:tcBorders>
          </w:tcPr>
          <w:p w14:paraId="5BBB7A3C"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2,437,478,158</w:t>
            </w:r>
          </w:p>
        </w:tc>
        <w:tc>
          <w:tcPr>
            <w:tcW w:w="1139" w:type="dxa"/>
            <w:tcBorders>
              <w:top w:val="nil"/>
              <w:left w:val="single" w:sz="6" w:space="0" w:color="auto"/>
              <w:bottom w:val="nil"/>
              <w:right w:val="single" w:sz="6" w:space="0" w:color="auto"/>
            </w:tcBorders>
          </w:tcPr>
          <w:p w14:paraId="424D2870"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2,583,726,847</w:t>
            </w:r>
          </w:p>
        </w:tc>
        <w:tc>
          <w:tcPr>
            <w:tcW w:w="1134" w:type="dxa"/>
            <w:tcBorders>
              <w:top w:val="nil"/>
              <w:left w:val="single" w:sz="6" w:space="0" w:color="auto"/>
              <w:bottom w:val="nil"/>
              <w:right w:val="single" w:sz="6" w:space="0" w:color="auto"/>
            </w:tcBorders>
          </w:tcPr>
          <w:p w14:paraId="251525F5"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2,738,750,458</w:t>
            </w:r>
          </w:p>
        </w:tc>
        <w:tc>
          <w:tcPr>
            <w:tcW w:w="1134" w:type="dxa"/>
            <w:tcBorders>
              <w:top w:val="nil"/>
              <w:left w:val="single" w:sz="6" w:space="0" w:color="auto"/>
              <w:bottom w:val="nil"/>
              <w:right w:val="single" w:sz="6" w:space="0" w:color="auto"/>
            </w:tcBorders>
          </w:tcPr>
          <w:p w14:paraId="375DF69B"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2,903,075,486</w:t>
            </w:r>
          </w:p>
        </w:tc>
      </w:tr>
      <w:tr w:rsidR="001A0595" w:rsidRPr="003B476C" w14:paraId="13A16BA7" w14:textId="77777777" w:rsidTr="003B476C">
        <w:trPr>
          <w:trHeight w:val="206"/>
        </w:trPr>
        <w:tc>
          <w:tcPr>
            <w:tcW w:w="2260" w:type="dxa"/>
            <w:tcBorders>
              <w:top w:val="nil"/>
              <w:left w:val="single" w:sz="6" w:space="0" w:color="auto"/>
              <w:bottom w:val="nil"/>
              <w:right w:val="single" w:sz="6" w:space="0" w:color="auto"/>
            </w:tcBorders>
            <w:shd w:val="solid" w:color="FFFFFF" w:fill="auto"/>
          </w:tcPr>
          <w:p w14:paraId="30E66BDF" w14:textId="77777777" w:rsidR="001A0595" w:rsidRPr="003B476C" w:rsidRDefault="001A0595">
            <w:pPr>
              <w:autoSpaceDE w:val="0"/>
              <w:autoSpaceDN w:val="0"/>
              <w:adjustRightInd w:val="0"/>
              <w:jc w:val="left"/>
              <w:rPr>
                <w:rFonts w:eastAsiaTheme="minorHAnsi" w:cs="Arial"/>
                <w:color w:val="000000"/>
                <w:sz w:val="14"/>
                <w:szCs w:val="14"/>
                <w:lang w:eastAsia="en-US"/>
              </w:rPr>
            </w:pPr>
            <w:r w:rsidRPr="003B476C">
              <w:rPr>
                <w:rFonts w:eastAsiaTheme="minorHAnsi" w:cs="Arial"/>
                <w:color w:val="000000"/>
                <w:sz w:val="14"/>
                <w:szCs w:val="14"/>
                <w:lang w:eastAsia="en-US"/>
              </w:rPr>
              <w:t>I.   Deuda Pública</w:t>
            </w:r>
          </w:p>
        </w:tc>
        <w:tc>
          <w:tcPr>
            <w:tcW w:w="1134" w:type="dxa"/>
            <w:tcBorders>
              <w:top w:val="nil"/>
              <w:left w:val="single" w:sz="6" w:space="0" w:color="auto"/>
              <w:bottom w:val="nil"/>
              <w:right w:val="single" w:sz="6" w:space="0" w:color="auto"/>
            </w:tcBorders>
          </w:tcPr>
          <w:p w14:paraId="12C50668"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552,479,669</w:t>
            </w:r>
          </w:p>
        </w:tc>
        <w:tc>
          <w:tcPr>
            <w:tcW w:w="1134" w:type="dxa"/>
            <w:tcBorders>
              <w:top w:val="nil"/>
              <w:left w:val="single" w:sz="6" w:space="0" w:color="auto"/>
              <w:bottom w:val="nil"/>
              <w:right w:val="single" w:sz="6" w:space="0" w:color="auto"/>
            </w:tcBorders>
          </w:tcPr>
          <w:p w14:paraId="2B9386B2"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501,148,406</w:t>
            </w:r>
          </w:p>
        </w:tc>
        <w:tc>
          <w:tcPr>
            <w:tcW w:w="1129" w:type="dxa"/>
            <w:tcBorders>
              <w:top w:val="nil"/>
              <w:left w:val="single" w:sz="6" w:space="0" w:color="auto"/>
              <w:bottom w:val="nil"/>
              <w:right w:val="single" w:sz="6" w:space="0" w:color="auto"/>
            </w:tcBorders>
          </w:tcPr>
          <w:p w14:paraId="55A31602"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484,316,613</w:t>
            </w:r>
          </w:p>
        </w:tc>
        <w:tc>
          <w:tcPr>
            <w:tcW w:w="1139" w:type="dxa"/>
            <w:tcBorders>
              <w:top w:val="nil"/>
              <w:left w:val="single" w:sz="6" w:space="0" w:color="auto"/>
              <w:bottom w:val="nil"/>
              <w:right w:val="single" w:sz="6" w:space="0" w:color="auto"/>
            </w:tcBorders>
          </w:tcPr>
          <w:p w14:paraId="6C901F2B"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466,723,794</w:t>
            </w:r>
          </w:p>
        </w:tc>
        <w:tc>
          <w:tcPr>
            <w:tcW w:w="1134" w:type="dxa"/>
            <w:tcBorders>
              <w:top w:val="nil"/>
              <w:left w:val="single" w:sz="6" w:space="0" w:color="auto"/>
              <w:bottom w:val="nil"/>
              <w:right w:val="single" w:sz="6" w:space="0" w:color="auto"/>
            </w:tcBorders>
          </w:tcPr>
          <w:p w14:paraId="7008A9A8"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467,660,164</w:t>
            </w:r>
          </w:p>
        </w:tc>
        <w:tc>
          <w:tcPr>
            <w:tcW w:w="1134" w:type="dxa"/>
            <w:tcBorders>
              <w:top w:val="nil"/>
              <w:left w:val="single" w:sz="6" w:space="0" w:color="auto"/>
              <w:bottom w:val="nil"/>
              <w:right w:val="single" w:sz="6" w:space="0" w:color="auto"/>
            </w:tcBorders>
          </w:tcPr>
          <w:p w14:paraId="176187BF"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467,192,518</w:t>
            </w:r>
          </w:p>
        </w:tc>
      </w:tr>
      <w:tr w:rsidR="001A0595" w:rsidRPr="003B476C" w14:paraId="55564F15" w14:textId="77777777" w:rsidTr="003B476C">
        <w:trPr>
          <w:trHeight w:val="427"/>
        </w:trPr>
        <w:tc>
          <w:tcPr>
            <w:tcW w:w="2260" w:type="dxa"/>
            <w:tcBorders>
              <w:top w:val="nil"/>
              <w:left w:val="single" w:sz="6" w:space="0" w:color="auto"/>
              <w:bottom w:val="nil"/>
              <w:right w:val="single" w:sz="6" w:space="0" w:color="auto"/>
            </w:tcBorders>
          </w:tcPr>
          <w:p w14:paraId="32ABA12A" w14:textId="77777777" w:rsidR="001A0595" w:rsidRPr="003B476C" w:rsidRDefault="001A0595">
            <w:pPr>
              <w:autoSpaceDE w:val="0"/>
              <w:autoSpaceDN w:val="0"/>
              <w:adjustRightInd w:val="0"/>
              <w:jc w:val="left"/>
              <w:rPr>
                <w:rFonts w:eastAsiaTheme="minorHAnsi" w:cs="Arial"/>
                <w:b/>
                <w:bCs/>
                <w:color w:val="000000"/>
                <w:sz w:val="14"/>
                <w:szCs w:val="14"/>
                <w:lang w:eastAsia="en-US"/>
              </w:rPr>
            </w:pPr>
            <w:r w:rsidRPr="003B476C">
              <w:rPr>
                <w:rFonts w:eastAsiaTheme="minorHAnsi" w:cs="Arial"/>
                <w:b/>
                <w:bCs/>
                <w:color w:val="000000"/>
                <w:sz w:val="14"/>
                <w:szCs w:val="14"/>
                <w:lang w:eastAsia="en-US"/>
              </w:rPr>
              <w:t>2.  Gasto Etiquetado (2=A+B+C+D+E+F+G+H+I)</w:t>
            </w:r>
          </w:p>
        </w:tc>
        <w:tc>
          <w:tcPr>
            <w:tcW w:w="1134" w:type="dxa"/>
            <w:tcBorders>
              <w:top w:val="nil"/>
              <w:left w:val="single" w:sz="6" w:space="0" w:color="auto"/>
              <w:bottom w:val="nil"/>
              <w:right w:val="single" w:sz="6" w:space="0" w:color="auto"/>
            </w:tcBorders>
          </w:tcPr>
          <w:p w14:paraId="7D528446" w14:textId="77777777" w:rsidR="001A0595" w:rsidRPr="003B476C" w:rsidRDefault="001A0595">
            <w:pPr>
              <w:autoSpaceDE w:val="0"/>
              <w:autoSpaceDN w:val="0"/>
              <w:adjustRightInd w:val="0"/>
              <w:jc w:val="right"/>
              <w:rPr>
                <w:rFonts w:eastAsiaTheme="minorHAnsi" w:cs="Arial"/>
                <w:b/>
                <w:bCs/>
                <w:color w:val="000000"/>
                <w:sz w:val="14"/>
                <w:szCs w:val="14"/>
                <w:lang w:eastAsia="en-US"/>
              </w:rPr>
            </w:pPr>
            <w:r w:rsidRPr="003B476C">
              <w:rPr>
                <w:rFonts w:eastAsiaTheme="minorHAnsi" w:cs="Arial"/>
                <w:b/>
                <w:bCs/>
                <w:color w:val="000000"/>
                <w:sz w:val="14"/>
                <w:szCs w:val="14"/>
                <w:lang w:eastAsia="en-US"/>
              </w:rPr>
              <w:t>12,009,772,961</w:t>
            </w:r>
          </w:p>
        </w:tc>
        <w:tc>
          <w:tcPr>
            <w:tcW w:w="1134" w:type="dxa"/>
            <w:tcBorders>
              <w:top w:val="nil"/>
              <w:left w:val="single" w:sz="6" w:space="0" w:color="auto"/>
              <w:bottom w:val="nil"/>
              <w:right w:val="single" w:sz="6" w:space="0" w:color="auto"/>
            </w:tcBorders>
          </w:tcPr>
          <w:p w14:paraId="61A95E39" w14:textId="77777777" w:rsidR="001A0595" w:rsidRPr="003B476C" w:rsidRDefault="001A0595">
            <w:pPr>
              <w:autoSpaceDE w:val="0"/>
              <w:autoSpaceDN w:val="0"/>
              <w:adjustRightInd w:val="0"/>
              <w:jc w:val="right"/>
              <w:rPr>
                <w:rFonts w:eastAsiaTheme="minorHAnsi" w:cs="Arial"/>
                <w:b/>
                <w:bCs/>
                <w:color w:val="000000"/>
                <w:sz w:val="14"/>
                <w:szCs w:val="14"/>
                <w:lang w:eastAsia="en-US"/>
              </w:rPr>
            </w:pPr>
            <w:r w:rsidRPr="003B476C">
              <w:rPr>
                <w:rFonts w:eastAsiaTheme="minorHAnsi" w:cs="Arial"/>
                <w:b/>
                <w:bCs/>
                <w:color w:val="000000"/>
                <w:sz w:val="14"/>
                <w:szCs w:val="14"/>
                <w:lang w:eastAsia="en-US"/>
              </w:rPr>
              <w:t>12,029,160,744</w:t>
            </w:r>
          </w:p>
        </w:tc>
        <w:tc>
          <w:tcPr>
            <w:tcW w:w="1129" w:type="dxa"/>
            <w:tcBorders>
              <w:top w:val="nil"/>
              <w:left w:val="single" w:sz="6" w:space="0" w:color="auto"/>
              <w:bottom w:val="nil"/>
              <w:right w:val="single" w:sz="6" w:space="0" w:color="auto"/>
            </w:tcBorders>
          </w:tcPr>
          <w:p w14:paraId="3990A705" w14:textId="77777777" w:rsidR="001A0595" w:rsidRPr="003B476C" w:rsidRDefault="001A0595">
            <w:pPr>
              <w:autoSpaceDE w:val="0"/>
              <w:autoSpaceDN w:val="0"/>
              <w:adjustRightInd w:val="0"/>
              <w:jc w:val="right"/>
              <w:rPr>
                <w:rFonts w:eastAsiaTheme="minorHAnsi" w:cs="Arial"/>
                <w:b/>
                <w:bCs/>
                <w:color w:val="000000"/>
                <w:sz w:val="14"/>
                <w:szCs w:val="14"/>
                <w:lang w:eastAsia="en-US"/>
              </w:rPr>
            </w:pPr>
            <w:r w:rsidRPr="003B476C">
              <w:rPr>
                <w:rFonts w:eastAsiaTheme="minorHAnsi" w:cs="Arial"/>
                <w:b/>
                <w:bCs/>
                <w:color w:val="000000"/>
                <w:sz w:val="14"/>
                <w:szCs w:val="14"/>
                <w:lang w:eastAsia="en-US"/>
              </w:rPr>
              <w:t>12,747,708,337</w:t>
            </w:r>
          </w:p>
        </w:tc>
        <w:tc>
          <w:tcPr>
            <w:tcW w:w="1139" w:type="dxa"/>
            <w:tcBorders>
              <w:top w:val="nil"/>
              <w:left w:val="single" w:sz="6" w:space="0" w:color="auto"/>
              <w:bottom w:val="nil"/>
              <w:right w:val="single" w:sz="6" w:space="0" w:color="auto"/>
            </w:tcBorders>
          </w:tcPr>
          <w:p w14:paraId="7D643D62" w14:textId="77777777" w:rsidR="001A0595" w:rsidRPr="003B476C" w:rsidRDefault="001A0595">
            <w:pPr>
              <w:autoSpaceDE w:val="0"/>
              <w:autoSpaceDN w:val="0"/>
              <w:adjustRightInd w:val="0"/>
              <w:jc w:val="right"/>
              <w:rPr>
                <w:rFonts w:eastAsiaTheme="minorHAnsi" w:cs="Arial"/>
                <w:b/>
                <w:bCs/>
                <w:color w:val="000000"/>
                <w:sz w:val="14"/>
                <w:szCs w:val="14"/>
                <w:lang w:eastAsia="en-US"/>
              </w:rPr>
            </w:pPr>
            <w:r w:rsidRPr="003B476C">
              <w:rPr>
                <w:rFonts w:eastAsiaTheme="minorHAnsi" w:cs="Arial"/>
                <w:b/>
                <w:bCs/>
                <w:color w:val="000000"/>
                <w:sz w:val="14"/>
                <w:szCs w:val="14"/>
                <w:lang w:eastAsia="en-US"/>
              </w:rPr>
              <w:t>13,509,207,140</w:t>
            </w:r>
          </w:p>
        </w:tc>
        <w:tc>
          <w:tcPr>
            <w:tcW w:w="1134" w:type="dxa"/>
            <w:tcBorders>
              <w:top w:val="nil"/>
              <w:left w:val="single" w:sz="6" w:space="0" w:color="auto"/>
              <w:bottom w:val="nil"/>
              <w:right w:val="single" w:sz="6" w:space="0" w:color="auto"/>
            </w:tcBorders>
          </w:tcPr>
          <w:p w14:paraId="0993DF40" w14:textId="77777777" w:rsidR="001A0595" w:rsidRPr="003B476C" w:rsidRDefault="001A0595">
            <w:pPr>
              <w:autoSpaceDE w:val="0"/>
              <w:autoSpaceDN w:val="0"/>
              <w:adjustRightInd w:val="0"/>
              <w:jc w:val="right"/>
              <w:rPr>
                <w:rFonts w:eastAsiaTheme="minorHAnsi" w:cs="Arial"/>
                <w:b/>
                <w:bCs/>
                <w:color w:val="000000"/>
                <w:sz w:val="14"/>
                <w:szCs w:val="14"/>
                <w:lang w:eastAsia="en-US"/>
              </w:rPr>
            </w:pPr>
            <w:r w:rsidRPr="003B476C">
              <w:rPr>
                <w:rFonts w:eastAsiaTheme="minorHAnsi" w:cs="Arial"/>
                <w:b/>
                <w:bCs/>
                <w:color w:val="000000"/>
                <w:sz w:val="14"/>
                <w:szCs w:val="14"/>
                <w:lang w:eastAsia="en-US"/>
              </w:rPr>
              <w:t>14,316,226,061</w:t>
            </w:r>
          </w:p>
        </w:tc>
        <w:tc>
          <w:tcPr>
            <w:tcW w:w="1134" w:type="dxa"/>
            <w:tcBorders>
              <w:top w:val="nil"/>
              <w:left w:val="single" w:sz="6" w:space="0" w:color="auto"/>
              <w:bottom w:val="nil"/>
              <w:right w:val="single" w:sz="6" w:space="0" w:color="auto"/>
            </w:tcBorders>
          </w:tcPr>
          <w:p w14:paraId="08E85D77" w14:textId="77777777" w:rsidR="001A0595" w:rsidRPr="003B476C" w:rsidRDefault="001A0595">
            <w:pPr>
              <w:autoSpaceDE w:val="0"/>
              <w:autoSpaceDN w:val="0"/>
              <w:adjustRightInd w:val="0"/>
              <w:jc w:val="right"/>
              <w:rPr>
                <w:rFonts w:eastAsiaTheme="minorHAnsi" w:cs="Arial"/>
                <w:b/>
                <w:bCs/>
                <w:color w:val="000000"/>
                <w:sz w:val="14"/>
                <w:szCs w:val="14"/>
                <w:lang w:eastAsia="en-US"/>
              </w:rPr>
            </w:pPr>
            <w:r w:rsidRPr="003B476C">
              <w:rPr>
                <w:rFonts w:eastAsiaTheme="minorHAnsi" w:cs="Arial"/>
                <w:b/>
                <w:bCs/>
                <w:color w:val="000000"/>
                <w:sz w:val="14"/>
                <w:szCs w:val="14"/>
                <w:lang w:eastAsia="en-US"/>
              </w:rPr>
              <w:t>15,171,487,725</w:t>
            </w:r>
          </w:p>
        </w:tc>
      </w:tr>
      <w:tr w:rsidR="001A0595" w:rsidRPr="003B476C" w14:paraId="03EBD185" w14:textId="77777777" w:rsidTr="003B476C">
        <w:trPr>
          <w:trHeight w:val="206"/>
        </w:trPr>
        <w:tc>
          <w:tcPr>
            <w:tcW w:w="2260" w:type="dxa"/>
            <w:tcBorders>
              <w:top w:val="nil"/>
              <w:left w:val="single" w:sz="6" w:space="0" w:color="auto"/>
              <w:bottom w:val="nil"/>
              <w:right w:val="single" w:sz="6" w:space="0" w:color="auto"/>
            </w:tcBorders>
            <w:shd w:val="solid" w:color="FFFFFF" w:fill="000000"/>
          </w:tcPr>
          <w:p w14:paraId="6B24C2F3" w14:textId="77777777" w:rsidR="001A0595" w:rsidRPr="003B476C" w:rsidRDefault="001A0595">
            <w:pPr>
              <w:autoSpaceDE w:val="0"/>
              <w:autoSpaceDN w:val="0"/>
              <w:adjustRightInd w:val="0"/>
              <w:jc w:val="left"/>
              <w:rPr>
                <w:rFonts w:eastAsiaTheme="minorHAnsi" w:cs="Arial"/>
                <w:color w:val="000000"/>
                <w:sz w:val="14"/>
                <w:szCs w:val="14"/>
                <w:lang w:eastAsia="en-US"/>
              </w:rPr>
            </w:pPr>
            <w:r w:rsidRPr="003B476C">
              <w:rPr>
                <w:rFonts w:eastAsiaTheme="minorHAnsi" w:cs="Arial"/>
                <w:color w:val="000000"/>
                <w:sz w:val="14"/>
                <w:szCs w:val="14"/>
                <w:lang w:eastAsia="en-US"/>
              </w:rPr>
              <w:t>A.  Servicios Personales</w:t>
            </w:r>
          </w:p>
        </w:tc>
        <w:tc>
          <w:tcPr>
            <w:tcW w:w="1134" w:type="dxa"/>
            <w:tcBorders>
              <w:top w:val="nil"/>
              <w:left w:val="single" w:sz="6" w:space="0" w:color="auto"/>
              <w:bottom w:val="nil"/>
              <w:right w:val="single" w:sz="6" w:space="0" w:color="auto"/>
            </w:tcBorders>
            <w:shd w:val="solid" w:color="FFFFFF" w:fill="000000"/>
          </w:tcPr>
          <w:p w14:paraId="7C57DAD0"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287,720,576</w:t>
            </w:r>
          </w:p>
        </w:tc>
        <w:tc>
          <w:tcPr>
            <w:tcW w:w="1134" w:type="dxa"/>
            <w:tcBorders>
              <w:top w:val="nil"/>
              <w:left w:val="single" w:sz="6" w:space="0" w:color="auto"/>
              <w:bottom w:val="nil"/>
              <w:right w:val="single" w:sz="6" w:space="0" w:color="auto"/>
            </w:tcBorders>
            <w:shd w:val="solid" w:color="FFFFFF" w:fill="000000"/>
          </w:tcPr>
          <w:p w14:paraId="51724530"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0</w:t>
            </w:r>
          </w:p>
        </w:tc>
        <w:tc>
          <w:tcPr>
            <w:tcW w:w="1129" w:type="dxa"/>
            <w:tcBorders>
              <w:top w:val="nil"/>
              <w:left w:val="single" w:sz="6" w:space="0" w:color="auto"/>
              <w:bottom w:val="nil"/>
              <w:right w:val="single" w:sz="6" w:space="0" w:color="auto"/>
            </w:tcBorders>
            <w:shd w:val="solid" w:color="FFFFFF" w:fill="000000"/>
          </w:tcPr>
          <w:p w14:paraId="27D5245F"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0</w:t>
            </w:r>
          </w:p>
        </w:tc>
        <w:tc>
          <w:tcPr>
            <w:tcW w:w="1139" w:type="dxa"/>
            <w:tcBorders>
              <w:top w:val="nil"/>
              <w:left w:val="single" w:sz="6" w:space="0" w:color="auto"/>
              <w:bottom w:val="nil"/>
              <w:right w:val="single" w:sz="6" w:space="0" w:color="auto"/>
            </w:tcBorders>
            <w:shd w:val="solid" w:color="FFFFFF" w:fill="000000"/>
          </w:tcPr>
          <w:p w14:paraId="36E11380"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0</w:t>
            </w:r>
          </w:p>
        </w:tc>
        <w:tc>
          <w:tcPr>
            <w:tcW w:w="1134" w:type="dxa"/>
            <w:tcBorders>
              <w:top w:val="nil"/>
              <w:left w:val="single" w:sz="6" w:space="0" w:color="auto"/>
              <w:bottom w:val="nil"/>
              <w:right w:val="single" w:sz="6" w:space="0" w:color="auto"/>
            </w:tcBorders>
            <w:shd w:val="solid" w:color="FFFFFF" w:fill="000000"/>
          </w:tcPr>
          <w:p w14:paraId="73B5D7CF"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0</w:t>
            </w:r>
          </w:p>
        </w:tc>
        <w:tc>
          <w:tcPr>
            <w:tcW w:w="1134" w:type="dxa"/>
            <w:tcBorders>
              <w:top w:val="nil"/>
              <w:left w:val="single" w:sz="6" w:space="0" w:color="auto"/>
              <w:bottom w:val="nil"/>
              <w:right w:val="single" w:sz="6" w:space="0" w:color="auto"/>
            </w:tcBorders>
            <w:shd w:val="solid" w:color="FFFFFF" w:fill="000000"/>
          </w:tcPr>
          <w:p w14:paraId="222516E3"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0</w:t>
            </w:r>
          </w:p>
        </w:tc>
      </w:tr>
      <w:tr w:rsidR="001A0595" w:rsidRPr="003B476C" w14:paraId="18ABB260" w14:textId="77777777" w:rsidTr="003B476C">
        <w:trPr>
          <w:trHeight w:val="206"/>
        </w:trPr>
        <w:tc>
          <w:tcPr>
            <w:tcW w:w="2260" w:type="dxa"/>
            <w:tcBorders>
              <w:top w:val="nil"/>
              <w:left w:val="single" w:sz="6" w:space="0" w:color="auto"/>
              <w:bottom w:val="nil"/>
              <w:right w:val="single" w:sz="6" w:space="0" w:color="auto"/>
            </w:tcBorders>
            <w:shd w:val="solid" w:color="FFFFFF" w:fill="000000"/>
          </w:tcPr>
          <w:p w14:paraId="08D180A2" w14:textId="77777777" w:rsidR="001A0595" w:rsidRPr="003B476C" w:rsidRDefault="001A0595">
            <w:pPr>
              <w:autoSpaceDE w:val="0"/>
              <w:autoSpaceDN w:val="0"/>
              <w:adjustRightInd w:val="0"/>
              <w:jc w:val="left"/>
              <w:rPr>
                <w:rFonts w:eastAsiaTheme="minorHAnsi" w:cs="Arial"/>
                <w:color w:val="000000"/>
                <w:sz w:val="14"/>
                <w:szCs w:val="14"/>
                <w:lang w:eastAsia="en-US"/>
              </w:rPr>
            </w:pPr>
            <w:r w:rsidRPr="003B476C">
              <w:rPr>
                <w:rFonts w:eastAsiaTheme="minorHAnsi" w:cs="Arial"/>
                <w:color w:val="000000"/>
                <w:sz w:val="14"/>
                <w:szCs w:val="14"/>
                <w:lang w:eastAsia="en-US"/>
              </w:rPr>
              <w:t>B.  Materiales y Suministros</w:t>
            </w:r>
          </w:p>
        </w:tc>
        <w:tc>
          <w:tcPr>
            <w:tcW w:w="1134" w:type="dxa"/>
            <w:tcBorders>
              <w:top w:val="nil"/>
              <w:left w:val="single" w:sz="6" w:space="0" w:color="auto"/>
              <w:bottom w:val="nil"/>
              <w:right w:val="single" w:sz="6" w:space="0" w:color="auto"/>
            </w:tcBorders>
            <w:shd w:val="solid" w:color="FFFFFF" w:fill="000000"/>
          </w:tcPr>
          <w:p w14:paraId="68408BDC"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84,320,334</w:t>
            </w:r>
          </w:p>
        </w:tc>
        <w:tc>
          <w:tcPr>
            <w:tcW w:w="1134" w:type="dxa"/>
            <w:tcBorders>
              <w:top w:val="nil"/>
              <w:left w:val="single" w:sz="6" w:space="0" w:color="auto"/>
              <w:bottom w:val="nil"/>
              <w:right w:val="single" w:sz="6" w:space="0" w:color="auto"/>
            </w:tcBorders>
          </w:tcPr>
          <w:p w14:paraId="0F425BEE"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88,536,351</w:t>
            </w:r>
          </w:p>
        </w:tc>
        <w:tc>
          <w:tcPr>
            <w:tcW w:w="1129" w:type="dxa"/>
            <w:tcBorders>
              <w:top w:val="nil"/>
              <w:left w:val="single" w:sz="6" w:space="0" w:color="auto"/>
              <w:bottom w:val="nil"/>
              <w:right w:val="single" w:sz="6" w:space="0" w:color="auto"/>
            </w:tcBorders>
          </w:tcPr>
          <w:p w14:paraId="7FCD673D"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92,963,168</w:t>
            </w:r>
          </w:p>
        </w:tc>
        <w:tc>
          <w:tcPr>
            <w:tcW w:w="1139" w:type="dxa"/>
            <w:tcBorders>
              <w:top w:val="nil"/>
              <w:left w:val="single" w:sz="6" w:space="0" w:color="auto"/>
              <w:bottom w:val="nil"/>
              <w:right w:val="single" w:sz="6" w:space="0" w:color="auto"/>
            </w:tcBorders>
          </w:tcPr>
          <w:p w14:paraId="05FE8EB1"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97,611,327</w:t>
            </w:r>
          </w:p>
        </w:tc>
        <w:tc>
          <w:tcPr>
            <w:tcW w:w="1134" w:type="dxa"/>
            <w:tcBorders>
              <w:top w:val="nil"/>
              <w:left w:val="single" w:sz="6" w:space="0" w:color="auto"/>
              <w:bottom w:val="nil"/>
              <w:right w:val="single" w:sz="6" w:space="0" w:color="auto"/>
            </w:tcBorders>
          </w:tcPr>
          <w:p w14:paraId="11B4D5C6"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102,491,893</w:t>
            </w:r>
          </w:p>
        </w:tc>
        <w:tc>
          <w:tcPr>
            <w:tcW w:w="1134" w:type="dxa"/>
            <w:tcBorders>
              <w:top w:val="nil"/>
              <w:left w:val="single" w:sz="6" w:space="0" w:color="auto"/>
              <w:bottom w:val="nil"/>
              <w:right w:val="single" w:sz="6" w:space="0" w:color="auto"/>
            </w:tcBorders>
          </w:tcPr>
          <w:p w14:paraId="6179CC9E"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107,616,488</w:t>
            </w:r>
          </w:p>
        </w:tc>
      </w:tr>
      <w:tr w:rsidR="001A0595" w:rsidRPr="003B476C" w14:paraId="2D7BE7B0" w14:textId="77777777" w:rsidTr="003B476C">
        <w:trPr>
          <w:trHeight w:val="206"/>
        </w:trPr>
        <w:tc>
          <w:tcPr>
            <w:tcW w:w="2260" w:type="dxa"/>
            <w:tcBorders>
              <w:top w:val="nil"/>
              <w:left w:val="single" w:sz="6" w:space="0" w:color="auto"/>
              <w:bottom w:val="nil"/>
              <w:right w:val="single" w:sz="6" w:space="0" w:color="auto"/>
            </w:tcBorders>
            <w:shd w:val="solid" w:color="FFFFFF" w:fill="000000"/>
          </w:tcPr>
          <w:p w14:paraId="0DE6D2B6" w14:textId="77777777" w:rsidR="001A0595" w:rsidRPr="003B476C" w:rsidRDefault="001A0595">
            <w:pPr>
              <w:autoSpaceDE w:val="0"/>
              <w:autoSpaceDN w:val="0"/>
              <w:adjustRightInd w:val="0"/>
              <w:jc w:val="left"/>
              <w:rPr>
                <w:rFonts w:eastAsiaTheme="minorHAnsi" w:cs="Arial"/>
                <w:color w:val="000000"/>
                <w:sz w:val="14"/>
                <w:szCs w:val="14"/>
                <w:lang w:eastAsia="en-US"/>
              </w:rPr>
            </w:pPr>
            <w:r w:rsidRPr="003B476C">
              <w:rPr>
                <w:rFonts w:eastAsiaTheme="minorHAnsi" w:cs="Arial"/>
                <w:color w:val="000000"/>
                <w:sz w:val="14"/>
                <w:szCs w:val="14"/>
                <w:lang w:eastAsia="en-US"/>
              </w:rPr>
              <w:t>C.  Servicios Generales</w:t>
            </w:r>
          </w:p>
        </w:tc>
        <w:tc>
          <w:tcPr>
            <w:tcW w:w="1134" w:type="dxa"/>
            <w:tcBorders>
              <w:top w:val="nil"/>
              <w:left w:val="single" w:sz="6" w:space="0" w:color="auto"/>
              <w:bottom w:val="nil"/>
              <w:right w:val="single" w:sz="6" w:space="0" w:color="auto"/>
            </w:tcBorders>
            <w:shd w:val="solid" w:color="FFFFFF" w:fill="000000"/>
          </w:tcPr>
          <w:p w14:paraId="6B2E4EAE"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104,447,366</w:t>
            </w:r>
          </w:p>
        </w:tc>
        <w:tc>
          <w:tcPr>
            <w:tcW w:w="1134" w:type="dxa"/>
            <w:tcBorders>
              <w:top w:val="nil"/>
              <w:left w:val="single" w:sz="6" w:space="0" w:color="auto"/>
              <w:bottom w:val="nil"/>
              <w:right w:val="single" w:sz="6" w:space="0" w:color="auto"/>
            </w:tcBorders>
          </w:tcPr>
          <w:p w14:paraId="6A8D5CC0"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109,669,734</w:t>
            </w:r>
          </w:p>
        </w:tc>
        <w:tc>
          <w:tcPr>
            <w:tcW w:w="1129" w:type="dxa"/>
            <w:tcBorders>
              <w:top w:val="nil"/>
              <w:left w:val="single" w:sz="6" w:space="0" w:color="auto"/>
              <w:bottom w:val="nil"/>
              <w:right w:val="single" w:sz="6" w:space="0" w:color="auto"/>
            </w:tcBorders>
          </w:tcPr>
          <w:p w14:paraId="4C2C0F2F"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115,153,221</w:t>
            </w:r>
          </w:p>
        </w:tc>
        <w:tc>
          <w:tcPr>
            <w:tcW w:w="1139" w:type="dxa"/>
            <w:tcBorders>
              <w:top w:val="nil"/>
              <w:left w:val="single" w:sz="6" w:space="0" w:color="auto"/>
              <w:bottom w:val="nil"/>
              <w:right w:val="single" w:sz="6" w:space="0" w:color="auto"/>
            </w:tcBorders>
          </w:tcPr>
          <w:p w14:paraId="514F6B52"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120,910,882</w:t>
            </w:r>
          </w:p>
        </w:tc>
        <w:tc>
          <w:tcPr>
            <w:tcW w:w="1134" w:type="dxa"/>
            <w:tcBorders>
              <w:top w:val="nil"/>
              <w:left w:val="single" w:sz="6" w:space="0" w:color="auto"/>
              <w:bottom w:val="nil"/>
              <w:right w:val="single" w:sz="6" w:space="0" w:color="auto"/>
            </w:tcBorders>
          </w:tcPr>
          <w:p w14:paraId="6ED4FC2F"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126,956,426</w:t>
            </w:r>
          </w:p>
        </w:tc>
        <w:tc>
          <w:tcPr>
            <w:tcW w:w="1134" w:type="dxa"/>
            <w:tcBorders>
              <w:top w:val="nil"/>
              <w:left w:val="single" w:sz="6" w:space="0" w:color="auto"/>
              <w:bottom w:val="nil"/>
              <w:right w:val="single" w:sz="6" w:space="0" w:color="auto"/>
            </w:tcBorders>
          </w:tcPr>
          <w:p w14:paraId="7BDB7747"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133,304,247</w:t>
            </w:r>
          </w:p>
        </w:tc>
      </w:tr>
      <w:tr w:rsidR="001A0595" w:rsidRPr="003B476C" w14:paraId="49E7F844" w14:textId="77777777" w:rsidTr="003B476C">
        <w:trPr>
          <w:trHeight w:val="408"/>
        </w:trPr>
        <w:tc>
          <w:tcPr>
            <w:tcW w:w="2260" w:type="dxa"/>
            <w:tcBorders>
              <w:top w:val="nil"/>
              <w:left w:val="single" w:sz="6" w:space="0" w:color="auto"/>
              <w:bottom w:val="nil"/>
              <w:right w:val="single" w:sz="6" w:space="0" w:color="auto"/>
            </w:tcBorders>
            <w:shd w:val="solid" w:color="FFFFFF" w:fill="000000"/>
          </w:tcPr>
          <w:p w14:paraId="05741F63" w14:textId="77777777" w:rsidR="001A0595" w:rsidRPr="003B476C" w:rsidRDefault="001A0595">
            <w:pPr>
              <w:autoSpaceDE w:val="0"/>
              <w:autoSpaceDN w:val="0"/>
              <w:adjustRightInd w:val="0"/>
              <w:jc w:val="left"/>
              <w:rPr>
                <w:rFonts w:eastAsiaTheme="minorHAnsi" w:cs="Arial"/>
                <w:color w:val="000000"/>
                <w:sz w:val="14"/>
                <w:szCs w:val="14"/>
                <w:lang w:eastAsia="en-US"/>
              </w:rPr>
            </w:pPr>
            <w:r w:rsidRPr="003B476C">
              <w:rPr>
                <w:rFonts w:eastAsiaTheme="minorHAnsi" w:cs="Arial"/>
                <w:color w:val="000000"/>
                <w:sz w:val="14"/>
                <w:szCs w:val="14"/>
                <w:lang w:eastAsia="en-US"/>
              </w:rPr>
              <w:t>D.  Transferencias, Asignaciones, Subsidios y Otras Ayudas</w:t>
            </w:r>
          </w:p>
        </w:tc>
        <w:tc>
          <w:tcPr>
            <w:tcW w:w="1134" w:type="dxa"/>
            <w:tcBorders>
              <w:top w:val="nil"/>
              <w:left w:val="single" w:sz="6" w:space="0" w:color="auto"/>
              <w:bottom w:val="nil"/>
              <w:right w:val="single" w:sz="6" w:space="0" w:color="auto"/>
            </w:tcBorders>
            <w:shd w:val="solid" w:color="FFFFFF" w:fill="000000"/>
          </w:tcPr>
          <w:p w14:paraId="52E4C147"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9,852,026,090</w:t>
            </w:r>
          </w:p>
        </w:tc>
        <w:tc>
          <w:tcPr>
            <w:tcW w:w="1134" w:type="dxa"/>
            <w:tcBorders>
              <w:top w:val="nil"/>
              <w:left w:val="single" w:sz="6" w:space="0" w:color="auto"/>
              <w:bottom w:val="nil"/>
              <w:right w:val="single" w:sz="6" w:space="0" w:color="auto"/>
            </w:tcBorders>
          </w:tcPr>
          <w:p w14:paraId="2CD78FFE"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10,443,147,655</w:t>
            </w:r>
          </w:p>
        </w:tc>
        <w:tc>
          <w:tcPr>
            <w:tcW w:w="1129" w:type="dxa"/>
            <w:tcBorders>
              <w:top w:val="nil"/>
              <w:left w:val="single" w:sz="6" w:space="0" w:color="auto"/>
              <w:bottom w:val="nil"/>
              <w:right w:val="single" w:sz="6" w:space="0" w:color="auto"/>
            </w:tcBorders>
          </w:tcPr>
          <w:p w14:paraId="64BBDCE3"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11,069,736,515</w:t>
            </w:r>
          </w:p>
        </w:tc>
        <w:tc>
          <w:tcPr>
            <w:tcW w:w="1139" w:type="dxa"/>
            <w:tcBorders>
              <w:top w:val="nil"/>
              <w:left w:val="single" w:sz="6" w:space="0" w:color="auto"/>
              <w:bottom w:val="nil"/>
              <w:right w:val="single" w:sz="6" w:space="0" w:color="auto"/>
            </w:tcBorders>
          </w:tcPr>
          <w:p w14:paraId="1615D399"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11,733,920,706</w:t>
            </w:r>
          </w:p>
        </w:tc>
        <w:tc>
          <w:tcPr>
            <w:tcW w:w="1134" w:type="dxa"/>
            <w:tcBorders>
              <w:top w:val="nil"/>
              <w:left w:val="single" w:sz="6" w:space="0" w:color="auto"/>
              <w:bottom w:val="nil"/>
              <w:right w:val="single" w:sz="6" w:space="0" w:color="auto"/>
            </w:tcBorders>
          </w:tcPr>
          <w:p w14:paraId="5E6353F8"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12,437,955,948</w:t>
            </w:r>
          </w:p>
        </w:tc>
        <w:tc>
          <w:tcPr>
            <w:tcW w:w="1134" w:type="dxa"/>
            <w:tcBorders>
              <w:top w:val="nil"/>
              <w:left w:val="single" w:sz="6" w:space="0" w:color="auto"/>
              <w:bottom w:val="nil"/>
              <w:right w:val="single" w:sz="6" w:space="0" w:color="auto"/>
            </w:tcBorders>
          </w:tcPr>
          <w:p w14:paraId="2399448F"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13,184,233,305</w:t>
            </w:r>
          </w:p>
        </w:tc>
      </w:tr>
      <w:tr w:rsidR="001A0595" w:rsidRPr="003B476C" w14:paraId="2B8E5DF8" w14:textId="77777777" w:rsidTr="003B476C">
        <w:trPr>
          <w:trHeight w:val="408"/>
        </w:trPr>
        <w:tc>
          <w:tcPr>
            <w:tcW w:w="2260" w:type="dxa"/>
            <w:tcBorders>
              <w:top w:val="nil"/>
              <w:left w:val="single" w:sz="6" w:space="0" w:color="auto"/>
              <w:bottom w:val="nil"/>
              <w:right w:val="single" w:sz="6" w:space="0" w:color="auto"/>
            </w:tcBorders>
            <w:shd w:val="solid" w:color="FFFFFF" w:fill="auto"/>
          </w:tcPr>
          <w:p w14:paraId="632C2C22" w14:textId="77777777" w:rsidR="001A0595" w:rsidRPr="003B476C" w:rsidRDefault="001A0595">
            <w:pPr>
              <w:autoSpaceDE w:val="0"/>
              <w:autoSpaceDN w:val="0"/>
              <w:adjustRightInd w:val="0"/>
              <w:jc w:val="left"/>
              <w:rPr>
                <w:rFonts w:eastAsiaTheme="minorHAnsi" w:cs="Arial"/>
                <w:color w:val="000000"/>
                <w:sz w:val="14"/>
                <w:szCs w:val="14"/>
                <w:lang w:eastAsia="en-US"/>
              </w:rPr>
            </w:pPr>
            <w:r w:rsidRPr="003B476C">
              <w:rPr>
                <w:rFonts w:eastAsiaTheme="minorHAnsi" w:cs="Arial"/>
                <w:color w:val="000000"/>
                <w:sz w:val="14"/>
                <w:szCs w:val="14"/>
                <w:lang w:eastAsia="en-US"/>
              </w:rPr>
              <w:t>E.  Bienes Muebles, Inmuebles e Intangibles</w:t>
            </w:r>
          </w:p>
        </w:tc>
        <w:tc>
          <w:tcPr>
            <w:tcW w:w="1134" w:type="dxa"/>
            <w:tcBorders>
              <w:top w:val="nil"/>
              <w:left w:val="single" w:sz="6" w:space="0" w:color="auto"/>
              <w:bottom w:val="nil"/>
              <w:right w:val="single" w:sz="6" w:space="0" w:color="auto"/>
            </w:tcBorders>
            <w:shd w:val="solid" w:color="FFFFFF" w:fill="auto"/>
          </w:tcPr>
          <w:p w14:paraId="30A5EF9E"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86,823,752</w:t>
            </w:r>
          </w:p>
        </w:tc>
        <w:tc>
          <w:tcPr>
            <w:tcW w:w="1134" w:type="dxa"/>
            <w:tcBorders>
              <w:top w:val="nil"/>
              <w:left w:val="single" w:sz="6" w:space="0" w:color="auto"/>
              <w:bottom w:val="nil"/>
              <w:right w:val="single" w:sz="6" w:space="0" w:color="auto"/>
            </w:tcBorders>
          </w:tcPr>
          <w:p w14:paraId="68E63D03"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91,164,940</w:t>
            </w:r>
          </w:p>
        </w:tc>
        <w:tc>
          <w:tcPr>
            <w:tcW w:w="1129" w:type="dxa"/>
            <w:tcBorders>
              <w:top w:val="nil"/>
              <w:left w:val="single" w:sz="6" w:space="0" w:color="auto"/>
              <w:bottom w:val="nil"/>
              <w:right w:val="single" w:sz="6" w:space="0" w:color="auto"/>
            </w:tcBorders>
          </w:tcPr>
          <w:p w14:paraId="63BF9A44"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95,723,187</w:t>
            </w:r>
          </w:p>
        </w:tc>
        <w:tc>
          <w:tcPr>
            <w:tcW w:w="1139" w:type="dxa"/>
            <w:tcBorders>
              <w:top w:val="nil"/>
              <w:left w:val="single" w:sz="6" w:space="0" w:color="auto"/>
              <w:bottom w:val="nil"/>
              <w:right w:val="single" w:sz="6" w:space="0" w:color="auto"/>
            </w:tcBorders>
          </w:tcPr>
          <w:p w14:paraId="488E1E69"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100,509,346</w:t>
            </w:r>
          </w:p>
        </w:tc>
        <w:tc>
          <w:tcPr>
            <w:tcW w:w="1134" w:type="dxa"/>
            <w:tcBorders>
              <w:top w:val="nil"/>
              <w:left w:val="single" w:sz="6" w:space="0" w:color="auto"/>
              <w:bottom w:val="nil"/>
              <w:right w:val="single" w:sz="6" w:space="0" w:color="auto"/>
            </w:tcBorders>
          </w:tcPr>
          <w:p w14:paraId="0F3177B7"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105,534,813</w:t>
            </w:r>
          </w:p>
        </w:tc>
        <w:tc>
          <w:tcPr>
            <w:tcW w:w="1134" w:type="dxa"/>
            <w:tcBorders>
              <w:top w:val="nil"/>
              <w:left w:val="single" w:sz="6" w:space="0" w:color="auto"/>
              <w:bottom w:val="nil"/>
              <w:right w:val="single" w:sz="6" w:space="0" w:color="auto"/>
            </w:tcBorders>
          </w:tcPr>
          <w:p w14:paraId="77CA6B96"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110,811,554</w:t>
            </w:r>
          </w:p>
        </w:tc>
      </w:tr>
      <w:tr w:rsidR="001A0595" w:rsidRPr="003B476C" w14:paraId="17D09EDA" w14:textId="77777777" w:rsidTr="003B476C">
        <w:trPr>
          <w:trHeight w:val="206"/>
        </w:trPr>
        <w:tc>
          <w:tcPr>
            <w:tcW w:w="2260" w:type="dxa"/>
            <w:tcBorders>
              <w:top w:val="nil"/>
              <w:left w:val="single" w:sz="6" w:space="0" w:color="auto"/>
              <w:bottom w:val="nil"/>
              <w:right w:val="single" w:sz="6" w:space="0" w:color="auto"/>
            </w:tcBorders>
          </w:tcPr>
          <w:p w14:paraId="0FB7ABF8" w14:textId="77777777" w:rsidR="001A0595" w:rsidRPr="003B476C" w:rsidRDefault="001A0595">
            <w:pPr>
              <w:autoSpaceDE w:val="0"/>
              <w:autoSpaceDN w:val="0"/>
              <w:adjustRightInd w:val="0"/>
              <w:jc w:val="left"/>
              <w:rPr>
                <w:rFonts w:eastAsiaTheme="minorHAnsi" w:cs="Arial"/>
                <w:color w:val="000000"/>
                <w:sz w:val="14"/>
                <w:szCs w:val="14"/>
                <w:lang w:eastAsia="en-US"/>
              </w:rPr>
            </w:pPr>
            <w:r w:rsidRPr="003B476C">
              <w:rPr>
                <w:rFonts w:eastAsiaTheme="minorHAnsi" w:cs="Arial"/>
                <w:color w:val="000000"/>
                <w:sz w:val="14"/>
                <w:szCs w:val="14"/>
                <w:lang w:eastAsia="en-US"/>
              </w:rPr>
              <w:t>F.  Inversión Pública</w:t>
            </w:r>
          </w:p>
        </w:tc>
        <w:tc>
          <w:tcPr>
            <w:tcW w:w="1134" w:type="dxa"/>
            <w:tcBorders>
              <w:top w:val="nil"/>
              <w:left w:val="single" w:sz="6" w:space="0" w:color="auto"/>
              <w:bottom w:val="nil"/>
              <w:right w:val="single" w:sz="6" w:space="0" w:color="auto"/>
            </w:tcBorders>
            <w:shd w:val="solid" w:color="FFFFFF" w:fill="auto"/>
          </w:tcPr>
          <w:p w14:paraId="144CF767"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58,453,439</w:t>
            </w:r>
          </w:p>
        </w:tc>
        <w:tc>
          <w:tcPr>
            <w:tcW w:w="1134" w:type="dxa"/>
            <w:tcBorders>
              <w:top w:val="nil"/>
              <w:left w:val="single" w:sz="6" w:space="0" w:color="auto"/>
              <w:bottom w:val="nil"/>
              <w:right w:val="single" w:sz="6" w:space="0" w:color="auto"/>
            </w:tcBorders>
          </w:tcPr>
          <w:p w14:paraId="67BBE7A2"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61,668,378</w:t>
            </w:r>
          </w:p>
        </w:tc>
        <w:tc>
          <w:tcPr>
            <w:tcW w:w="1129" w:type="dxa"/>
            <w:tcBorders>
              <w:top w:val="nil"/>
              <w:left w:val="single" w:sz="6" w:space="0" w:color="auto"/>
              <w:bottom w:val="nil"/>
              <w:right w:val="single" w:sz="6" w:space="0" w:color="auto"/>
            </w:tcBorders>
          </w:tcPr>
          <w:p w14:paraId="2EB21B0D"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65,060,139</w:t>
            </w:r>
          </w:p>
        </w:tc>
        <w:tc>
          <w:tcPr>
            <w:tcW w:w="1139" w:type="dxa"/>
            <w:tcBorders>
              <w:top w:val="nil"/>
              <w:left w:val="single" w:sz="6" w:space="0" w:color="auto"/>
              <w:bottom w:val="nil"/>
              <w:right w:val="single" w:sz="6" w:space="0" w:color="auto"/>
            </w:tcBorders>
          </w:tcPr>
          <w:p w14:paraId="01C49C77"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68,638,447</w:t>
            </w:r>
          </w:p>
        </w:tc>
        <w:tc>
          <w:tcPr>
            <w:tcW w:w="1134" w:type="dxa"/>
            <w:tcBorders>
              <w:top w:val="nil"/>
              <w:left w:val="single" w:sz="6" w:space="0" w:color="auto"/>
              <w:bottom w:val="nil"/>
              <w:right w:val="single" w:sz="6" w:space="0" w:color="auto"/>
            </w:tcBorders>
          </w:tcPr>
          <w:p w14:paraId="6EB3336E"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72,413,561</w:t>
            </w:r>
          </w:p>
        </w:tc>
        <w:tc>
          <w:tcPr>
            <w:tcW w:w="1134" w:type="dxa"/>
            <w:tcBorders>
              <w:top w:val="nil"/>
              <w:left w:val="single" w:sz="6" w:space="0" w:color="auto"/>
              <w:bottom w:val="nil"/>
              <w:right w:val="single" w:sz="6" w:space="0" w:color="auto"/>
            </w:tcBorders>
          </w:tcPr>
          <w:p w14:paraId="6BC8F7A0"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76,396,307</w:t>
            </w:r>
          </w:p>
        </w:tc>
      </w:tr>
      <w:tr w:rsidR="001A0595" w:rsidRPr="003B476C" w14:paraId="63FB5996" w14:textId="77777777" w:rsidTr="003B476C">
        <w:trPr>
          <w:trHeight w:val="408"/>
        </w:trPr>
        <w:tc>
          <w:tcPr>
            <w:tcW w:w="2260" w:type="dxa"/>
            <w:tcBorders>
              <w:top w:val="nil"/>
              <w:left w:val="single" w:sz="6" w:space="0" w:color="auto"/>
              <w:bottom w:val="nil"/>
              <w:right w:val="single" w:sz="6" w:space="0" w:color="auto"/>
            </w:tcBorders>
            <w:shd w:val="solid" w:color="FFFFFF" w:fill="000000"/>
          </w:tcPr>
          <w:p w14:paraId="396AD010" w14:textId="77777777" w:rsidR="001A0595" w:rsidRPr="003B476C" w:rsidRDefault="001A0595">
            <w:pPr>
              <w:autoSpaceDE w:val="0"/>
              <w:autoSpaceDN w:val="0"/>
              <w:adjustRightInd w:val="0"/>
              <w:jc w:val="left"/>
              <w:rPr>
                <w:rFonts w:eastAsiaTheme="minorHAnsi" w:cs="Arial"/>
                <w:color w:val="000000"/>
                <w:sz w:val="14"/>
                <w:szCs w:val="14"/>
                <w:lang w:eastAsia="en-US"/>
              </w:rPr>
            </w:pPr>
            <w:r w:rsidRPr="003B476C">
              <w:rPr>
                <w:rFonts w:eastAsiaTheme="minorHAnsi" w:cs="Arial"/>
                <w:color w:val="000000"/>
                <w:sz w:val="14"/>
                <w:szCs w:val="14"/>
                <w:lang w:eastAsia="en-US"/>
              </w:rPr>
              <w:t>G.  Inversiones Financieras y Otras Provisiones</w:t>
            </w:r>
          </w:p>
        </w:tc>
        <w:tc>
          <w:tcPr>
            <w:tcW w:w="1134" w:type="dxa"/>
            <w:tcBorders>
              <w:top w:val="nil"/>
              <w:left w:val="single" w:sz="6" w:space="0" w:color="auto"/>
              <w:bottom w:val="nil"/>
              <w:right w:val="single" w:sz="6" w:space="0" w:color="auto"/>
            </w:tcBorders>
            <w:shd w:val="solid" w:color="FFFFFF" w:fill="000000"/>
          </w:tcPr>
          <w:p w14:paraId="51BCB87F"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0</w:t>
            </w:r>
          </w:p>
        </w:tc>
        <w:tc>
          <w:tcPr>
            <w:tcW w:w="1134" w:type="dxa"/>
            <w:tcBorders>
              <w:top w:val="nil"/>
              <w:left w:val="single" w:sz="6" w:space="0" w:color="auto"/>
              <w:bottom w:val="nil"/>
              <w:right w:val="single" w:sz="6" w:space="0" w:color="auto"/>
            </w:tcBorders>
          </w:tcPr>
          <w:p w14:paraId="4FFED34D"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0</w:t>
            </w:r>
          </w:p>
        </w:tc>
        <w:tc>
          <w:tcPr>
            <w:tcW w:w="1129" w:type="dxa"/>
            <w:tcBorders>
              <w:top w:val="nil"/>
              <w:left w:val="single" w:sz="6" w:space="0" w:color="auto"/>
              <w:bottom w:val="nil"/>
              <w:right w:val="single" w:sz="6" w:space="0" w:color="auto"/>
            </w:tcBorders>
            <w:shd w:val="solid" w:color="FFFFFF" w:fill="000000"/>
          </w:tcPr>
          <w:p w14:paraId="7DFD11C7"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0</w:t>
            </w:r>
          </w:p>
        </w:tc>
        <w:tc>
          <w:tcPr>
            <w:tcW w:w="1139" w:type="dxa"/>
            <w:tcBorders>
              <w:top w:val="nil"/>
              <w:left w:val="single" w:sz="6" w:space="0" w:color="auto"/>
              <w:bottom w:val="nil"/>
              <w:right w:val="single" w:sz="6" w:space="0" w:color="auto"/>
            </w:tcBorders>
            <w:shd w:val="solid" w:color="FFFFFF" w:fill="000000"/>
          </w:tcPr>
          <w:p w14:paraId="709FF334"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0</w:t>
            </w:r>
          </w:p>
        </w:tc>
        <w:tc>
          <w:tcPr>
            <w:tcW w:w="1134" w:type="dxa"/>
            <w:tcBorders>
              <w:top w:val="nil"/>
              <w:left w:val="single" w:sz="6" w:space="0" w:color="auto"/>
              <w:bottom w:val="nil"/>
              <w:right w:val="single" w:sz="6" w:space="0" w:color="auto"/>
            </w:tcBorders>
            <w:shd w:val="solid" w:color="FFFFFF" w:fill="000000"/>
          </w:tcPr>
          <w:p w14:paraId="43421218"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0</w:t>
            </w:r>
          </w:p>
        </w:tc>
        <w:tc>
          <w:tcPr>
            <w:tcW w:w="1134" w:type="dxa"/>
            <w:tcBorders>
              <w:top w:val="nil"/>
              <w:left w:val="single" w:sz="6" w:space="0" w:color="auto"/>
              <w:bottom w:val="nil"/>
              <w:right w:val="single" w:sz="6" w:space="0" w:color="auto"/>
            </w:tcBorders>
            <w:shd w:val="solid" w:color="FFFFFF" w:fill="000000"/>
          </w:tcPr>
          <w:p w14:paraId="58BCF477"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0</w:t>
            </w:r>
          </w:p>
        </w:tc>
      </w:tr>
      <w:tr w:rsidR="001A0595" w:rsidRPr="003B476C" w14:paraId="34054B3B" w14:textId="77777777" w:rsidTr="003B476C">
        <w:trPr>
          <w:trHeight w:val="206"/>
        </w:trPr>
        <w:tc>
          <w:tcPr>
            <w:tcW w:w="2260" w:type="dxa"/>
            <w:tcBorders>
              <w:top w:val="nil"/>
              <w:left w:val="single" w:sz="6" w:space="0" w:color="auto"/>
              <w:bottom w:val="nil"/>
              <w:right w:val="single" w:sz="6" w:space="0" w:color="auto"/>
            </w:tcBorders>
          </w:tcPr>
          <w:p w14:paraId="3CA8BFF6" w14:textId="77777777" w:rsidR="001A0595" w:rsidRPr="003B476C" w:rsidRDefault="001A0595">
            <w:pPr>
              <w:autoSpaceDE w:val="0"/>
              <w:autoSpaceDN w:val="0"/>
              <w:adjustRightInd w:val="0"/>
              <w:jc w:val="left"/>
              <w:rPr>
                <w:rFonts w:eastAsiaTheme="minorHAnsi" w:cs="Arial"/>
                <w:color w:val="000000"/>
                <w:sz w:val="14"/>
                <w:szCs w:val="14"/>
                <w:lang w:eastAsia="en-US"/>
              </w:rPr>
            </w:pPr>
            <w:r w:rsidRPr="003B476C">
              <w:rPr>
                <w:rFonts w:eastAsiaTheme="minorHAnsi" w:cs="Arial"/>
                <w:color w:val="000000"/>
                <w:sz w:val="14"/>
                <w:szCs w:val="14"/>
                <w:lang w:eastAsia="en-US"/>
              </w:rPr>
              <w:t>H.  Participaciones y Aportaciones</w:t>
            </w:r>
          </w:p>
        </w:tc>
        <w:tc>
          <w:tcPr>
            <w:tcW w:w="1134" w:type="dxa"/>
            <w:tcBorders>
              <w:top w:val="nil"/>
              <w:left w:val="single" w:sz="6" w:space="0" w:color="auto"/>
              <w:bottom w:val="nil"/>
              <w:right w:val="single" w:sz="6" w:space="0" w:color="auto"/>
            </w:tcBorders>
            <w:shd w:val="solid" w:color="FFFFFF" w:fill="000000"/>
          </w:tcPr>
          <w:p w14:paraId="30D90C7F"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1,165,069,515</w:t>
            </w:r>
          </w:p>
        </w:tc>
        <w:tc>
          <w:tcPr>
            <w:tcW w:w="1134" w:type="dxa"/>
            <w:tcBorders>
              <w:top w:val="nil"/>
              <w:left w:val="single" w:sz="6" w:space="0" w:color="auto"/>
              <w:bottom w:val="nil"/>
              <w:right w:val="single" w:sz="6" w:space="0" w:color="auto"/>
            </w:tcBorders>
          </w:tcPr>
          <w:p w14:paraId="11C12C98"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1,234,973,686</w:t>
            </w:r>
          </w:p>
        </w:tc>
        <w:tc>
          <w:tcPr>
            <w:tcW w:w="1129" w:type="dxa"/>
            <w:tcBorders>
              <w:top w:val="nil"/>
              <w:left w:val="single" w:sz="6" w:space="0" w:color="auto"/>
              <w:bottom w:val="nil"/>
              <w:right w:val="single" w:sz="6" w:space="0" w:color="auto"/>
            </w:tcBorders>
          </w:tcPr>
          <w:p w14:paraId="3AD88F7F"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1,309,072,107</w:t>
            </w:r>
          </w:p>
        </w:tc>
        <w:tc>
          <w:tcPr>
            <w:tcW w:w="1139" w:type="dxa"/>
            <w:tcBorders>
              <w:top w:val="nil"/>
              <w:left w:val="single" w:sz="6" w:space="0" w:color="auto"/>
              <w:bottom w:val="nil"/>
              <w:right w:val="single" w:sz="6" w:space="0" w:color="auto"/>
            </w:tcBorders>
          </w:tcPr>
          <w:p w14:paraId="2105D188"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1,387,616,433</w:t>
            </w:r>
          </w:p>
        </w:tc>
        <w:tc>
          <w:tcPr>
            <w:tcW w:w="1134" w:type="dxa"/>
            <w:tcBorders>
              <w:top w:val="nil"/>
              <w:left w:val="single" w:sz="6" w:space="0" w:color="auto"/>
              <w:bottom w:val="nil"/>
              <w:right w:val="single" w:sz="6" w:space="0" w:color="auto"/>
            </w:tcBorders>
          </w:tcPr>
          <w:p w14:paraId="77441270"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1,470,873,419</w:t>
            </w:r>
          </w:p>
        </w:tc>
        <w:tc>
          <w:tcPr>
            <w:tcW w:w="1134" w:type="dxa"/>
            <w:tcBorders>
              <w:top w:val="nil"/>
              <w:left w:val="single" w:sz="6" w:space="0" w:color="auto"/>
              <w:bottom w:val="nil"/>
              <w:right w:val="single" w:sz="6" w:space="0" w:color="auto"/>
            </w:tcBorders>
          </w:tcPr>
          <w:p w14:paraId="09845032"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1,559,125,825</w:t>
            </w:r>
          </w:p>
        </w:tc>
      </w:tr>
      <w:tr w:rsidR="001A0595" w:rsidRPr="003B476C" w14:paraId="4DBF2678" w14:textId="77777777" w:rsidTr="003B476C">
        <w:trPr>
          <w:trHeight w:val="206"/>
        </w:trPr>
        <w:tc>
          <w:tcPr>
            <w:tcW w:w="2260" w:type="dxa"/>
            <w:tcBorders>
              <w:top w:val="nil"/>
              <w:left w:val="single" w:sz="6" w:space="0" w:color="auto"/>
              <w:bottom w:val="nil"/>
              <w:right w:val="single" w:sz="6" w:space="0" w:color="auto"/>
            </w:tcBorders>
            <w:shd w:val="solid" w:color="FFFFFF" w:fill="auto"/>
          </w:tcPr>
          <w:p w14:paraId="4A23F1B2" w14:textId="77777777" w:rsidR="001A0595" w:rsidRPr="003B476C" w:rsidRDefault="001A0595">
            <w:pPr>
              <w:autoSpaceDE w:val="0"/>
              <w:autoSpaceDN w:val="0"/>
              <w:adjustRightInd w:val="0"/>
              <w:jc w:val="left"/>
              <w:rPr>
                <w:rFonts w:eastAsiaTheme="minorHAnsi" w:cs="Arial"/>
                <w:color w:val="000000"/>
                <w:sz w:val="14"/>
                <w:szCs w:val="14"/>
                <w:lang w:eastAsia="en-US"/>
              </w:rPr>
            </w:pPr>
            <w:r w:rsidRPr="003B476C">
              <w:rPr>
                <w:rFonts w:eastAsiaTheme="minorHAnsi" w:cs="Arial"/>
                <w:color w:val="000000"/>
                <w:sz w:val="14"/>
                <w:szCs w:val="14"/>
                <w:lang w:eastAsia="en-US"/>
              </w:rPr>
              <w:t>I.   Deuda Pública</w:t>
            </w:r>
          </w:p>
        </w:tc>
        <w:tc>
          <w:tcPr>
            <w:tcW w:w="1134" w:type="dxa"/>
            <w:tcBorders>
              <w:top w:val="nil"/>
              <w:left w:val="single" w:sz="6" w:space="0" w:color="auto"/>
              <w:bottom w:val="nil"/>
              <w:right w:val="single" w:sz="6" w:space="0" w:color="auto"/>
            </w:tcBorders>
            <w:shd w:val="solid" w:color="FFFFFF" w:fill="auto"/>
          </w:tcPr>
          <w:p w14:paraId="5FFC1CA5"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370,911,889</w:t>
            </w:r>
          </w:p>
        </w:tc>
        <w:tc>
          <w:tcPr>
            <w:tcW w:w="1134" w:type="dxa"/>
            <w:tcBorders>
              <w:top w:val="nil"/>
              <w:left w:val="single" w:sz="6" w:space="0" w:color="auto"/>
              <w:bottom w:val="nil"/>
              <w:right w:val="single" w:sz="6" w:space="0" w:color="auto"/>
            </w:tcBorders>
            <w:shd w:val="solid" w:color="FFFFFF" w:fill="auto"/>
          </w:tcPr>
          <w:p w14:paraId="65E3BDC1"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0</w:t>
            </w:r>
          </w:p>
        </w:tc>
        <w:tc>
          <w:tcPr>
            <w:tcW w:w="1129" w:type="dxa"/>
            <w:tcBorders>
              <w:top w:val="nil"/>
              <w:left w:val="single" w:sz="6" w:space="0" w:color="auto"/>
              <w:bottom w:val="nil"/>
              <w:right w:val="single" w:sz="6" w:space="0" w:color="auto"/>
            </w:tcBorders>
            <w:shd w:val="solid" w:color="FFFFFF" w:fill="auto"/>
          </w:tcPr>
          <w:p w14:paraId="6CF390D1"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0</w:t>
            </w:r>
          </w:p>
        </w:tc>
        <w:tc>
          <w:tcPr>
            <w:tcW w:w="1139" w:type="dxa"/>
            <w:tcBorders>
              <w:top w:val="nil"/>
              <w:left w:val="single" w:sz="6" w:space="0" w:color="auto"/>
              <w:bottom w:val="nil"/>
              <w:right w:val="single" w:sz="6" w:space="0" w:color="auto"/>
            </w:tcBorders>
            <w:shd w:val="solid" w:color="FFFFFF" w:fill="auto"/>
          </w:tcPr>
          <w:p w14:paraId="57079DDB"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0</w:t>
            </w:r>
          </w:p>
        </w:tc>
        <w:tc>
          <w:tcPr>
            <w:tcW w:w="1134" w:type="dxa"/>
            <w:tcBorders>
              <w:top w:val="nil"/>
              <w:left w:val="single" w:sz="6" w:space="0" w:color="auto"/>
              <w:bottom w:val="nil"/>
              <w:right w:val="single" w:sz="6" w:space="0" w:color="auto"/>
            </w:tcBorders>
            <w:shd w:val="solid" w:color="FFFFFF" w:fill="auto"/>
          </w:tcPr>
          <w:p w14:paraId="5A3FC52E"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0</w:t>
            </w:r>
          </w:p>
        </w:tc>
        <w:tc>
          <w:tcPr>
            <w:tcW w:w="1134" w:type="dxa"/>
            <w:tcBorders>
              <w:top w:val="nil"/>
              <w:left w:val="single" w:sz="6" w:space="0" w:color="auto"/>
              <w:bottom w:val="nil"/>
              <w:right w:val="single" w:sz="6" w:space="0" w:color="auto"/>
            </w:tcBorders>
            <w:shd w:val="solid" w:color="FFFFFF" w:fill="auto"/>
          </w:tcPr>
          <w:p w14:paraId="5B7C61C2" w14:textId="77777777" w:rsidR="001A0595" w:rsidRPr="003B476C" w:rsidRDefault="001A0595">
            <w:pPr>
              <w:autoSpaceDE w:val="0"/>
              <w:autoSpaceDN w:val="0"/>
              <w:adjustRightInd w:val="0"/>
              <w:jc w:val="right"/>
              <w:rPr>
                <w:rFonts w:eastAsiaTheme="minorHAnsi" w:cs="Arial"/>
                <w:color w:val="000000"/>
                <w:sz w:val="14"/>
                <w:szCs w:val="14"/>
                <w:lang w:eastAsia="en-US"/>
              </w:rPr>
            </w:pPr>
            <w:r w:rsidRPr="003B476C">
              <w:rPr>
                <w:rFonts w:eastAsiaTheme="minorHAnsi" w:cs="Arial"/>
                <w:color w:val="000000"/>
                <w:sz w:val="14"/>
                <w:szCs w:val="14"/>
                <w:lang w:eastAsia="en-US"/>
              </w:rPr>
              <w:t>0</w:t>
            </w:r>
          </w:p>
        </w:tc>
      </w:tr>
      <w:tr w:rsidR="001A0595" w:rsidRPr="003B476C" w14:paraId="2C7EFC0D" w14:textId="77777777" w:rsidTr="003B476C">
        <w:trPr>
          <w:trHeight w:val="216"/>
        </w:trPr>
        <w:tc>
          <w:tcPr>
            <w:tcW w:w="2260" w:type="dxa"/>
            <w:tcBorders>
              <w:top w:val="nil"/>
              <w:left w:val="single" w:sz="6" w:space="0" w:color="auto"/>
              <w:bottom w:val="single" w:sz="6" w:space="0" w:color="auto"/>
              <w:right w:val="single" w:sz="6" w:space="0" w:color="auto"/>
            </w:tcBorders>
          </w:tcPr>
          <w:p w14:paraId="39339F03" w14:textId="77777777" w:rsidR="001A0595" w:rsidRPr="003B476C" w:rsidRDefault="001A0595">
            <w:pPr>
              <w:autoSpaceDE w:val="0"/>
              <w:autoSpaceDN w:val="0"/>
              <w:adjustRightInd w:val="0"/>
              <w:jc w:val="left"/>
              <w:rPr>
                <w:rFonts w:eastAsiaTheme="minorHAnsi" w:cs="Arial"/>
                <w:b/>
                <w:bCs/>
                <w:color w:val="000000"/>
                <w:sz w:val="14"/>
                <w:szCs w:val="14"/>
                <w:lang w:eastAsia="en-US"/>
              </w:rPr>
            </w:pPr>
            <w:r w:rsidRPr="003B476C">
              <w:rPr>
                <w:rFonts w:eastAsiaTheme="minorHAnsi" w:cs="Arial"/>
                <w:b/>
                <w:bCs/>
                <w:color w:val="000000"/>
                <w:sz w:val="14"/>
                <w:szCs w:val="14"/>
                <w:lang w:eastAsia="en-US"/>
              </w:rPr>
              <w:t>3.  Total de Egresos Proyectados (3=1+2)</w:t>
            </w:r>
          </w:p>
        </w:tc>
        <w:tc>
          <w:tcPr>
            <w:tcW w:w="1134" w:type="dxa"/>
            <w:tcBorders>
              <w:top w:val="nil"/>
              <w:left w:val="single" w:sz="6" w:space="0" w:color="auto"/>
              <w:bottom w:val="single" w:sz="6" w:space="0" w:color="auto"/>
              <w:right w:val="single" w:sz="6" w:space="0" w:color="auto"/>
            </w:tcBorders>
          </w:tcPr>
          <w:p w14:paraId="0C6812A1" w14:textId="4C094688" w:rsidR="001A0595" w:rsidRPr="003B476C" w:rsidRDefault="00B72E0F">
            <w:pPr>
              <w:autoSpaceDE w:val="0"/>
              <w:autoSpaceDN w:val="0"/>
              <w:adjustRightInd w:val="0"/>
              <w:jc w:val="right"/>
              <w:rPr>
                <w:rFonts w:eastAsiaTheme="minorHAnsi" w:cs="Arial"/>
                <w:b/>
                <w:bCs/>
                <w:color w:val="000000"/>
                <w:sz w:val="14"/>
                <w:szCs w:val="14"/>
                <w:lang w:eastAsia="en-US"/>
              </w:rPr>
            </w:pPr>
            <w:r w:rsidRPr="003B476C">
              <w:rPr>
                <w:rFonts w:eastAsiaTheme="minorHAnsi" w:cs="Arial"/>
                <w:b/>
                <w:bCs/>
                <w:color w:val="000000"/>
                <w:sz w:val="14"/>
                <w:szCs w:val="14"/>
                <w:lang w:eastAsia="en-US"/>
              </w:rPr>
              <w:t>23,004,130,279</w:t>
            </w:r>
          </w:p>
        </w:tc>
        <w:tc>
          <w:tcPr>
            <w:tcW w:w="1134" w:type="dxa"/>
            <w:tcBorders>
              <w:top w:val="nil"/>
              <w:left w:val="single" w:sz="6" w:space="0" w:color="auto"/>
              <w:bottom w:val="single" w:sz="6" w:space="0" w:color="auto"/>
              <w:right w:val="single" w:sz="6" w:space="0" w:color="auto"/>
            </w:tcBorders>
          </w:tcPr>
          <w:p w14:paraId="0F9F6A7B" w14:textId="77777777" w:rsidR="001A0595" w:rsidRPr="003B476C" w:rsidRDefault="001A0595">
            <w:pPr>
              <w:autoSpaceDE w:val="0"/>
              <w:autoSpaceDN w:val="0"/>
              <w:adjustRightInd w:val="0"/>
              <w:jc w:val="right"/>
              <w:rPr>
                <w:rFonts w:eastAsiaTheme="minorHAnsi" w:cs="Arial"/>
                <w:b/>
                <w:bCs/>
                <w:color w:val="000000"/>
                <w:sz w:val="14"/>
                <w:szCs w:val="14"/>
                <w:lang w:eastAsia="en-US"/>
              </w:rPr>
            </w:pPr>
            <w:r w:rsidRPr="003B476C">
              <w:rPr>
                <w:rFonts w:eastAsiaTheme="minorHAnsi" w:cs="Arial"/>
                <w:b/>
                <w:bCs/>
                <w:color w:val="000000"/>
                <w:sz w:val="14"/>
                <w:szCs w:val="14"/>
                <w:lang w:eastAsia="en-US"/>
              </w:rPr>
              <w:t>23,203,165,053</w:t>
            </w:r>
          </w:p>
        </w:tc>
        <w:tc>
          <w:tcPr>
            <w:tcW w:w="1129" w:type="dxa"/>
            <w:tcBorders>
              <w:top w:val="nil"/>
              <w:left w:val="single" w:sz="6" w:space="0" w:color="auto"/>
              <w:bottom w:val="single" w:sz="6" w:space="0" w:color="auto"/>
              <w:right w:val="single" w:sz="6" w:space="0" w:color="auto"/>
            </w:tcBorders>
          </w:tcPr>
          <w:p w14:paraId="71C4A8CD" w14:textId="77777777" w:rsidR="001A0595" w:rsidRPr="003B476C" w:rsidRDefault="001A0595">
            <w:pPr>
              <w:autoSpaceDE w:val="0"/>
              <w:autoSpaceDN w:val="0"/>
              <w:adjustRightInd w:val="0"/>
              <w:jc w:val="right"/>
              <w:rPr>
                <w:rFonts w:eastAsiaTheme="minorHAnsi" w:cs="Arial"/>
                <w:b/>
                <w:bCs/>
                <w:color w:val="000000"/>
                <w:sz w:val="14"/>
                <w:szCs w:val="14"/>
                <w:lang w:eastAsia="en-US"/>
              </w:rPr>
            </w:pPr>
            <w:r w:rsidRPr="003B476C">
              <w:rPr>
                <w:rFonts w:eastAsiaTheme="minorHAnsi" w:cs="Arial"/>
                <w:b/>
                <w:bCs/>
                <w:color w:val="000000"/>
                <w:sz w:val="14"/>
                <w:szCs w:val="14"/>
                <w:lang w:eastAsia="en-US"/>
              </w:rPr>
              <w:t>24,511,450,542</w:t>
            </w:r>
          </w:p>
        </w:tc>
        <w:tc>
          <w:tcPr>
            <w:tcW w:w="1139" w:type="dxa"/>
            <w:tcBorders>
              <w:top w:val="nil"/>
              <w:left w:val="single" w:sz="6" w:space="0" w:color="auto"/>
              <w:bottom w:val="single" w:sz="6" w:space="0" w:color="auto"/>
              <w:right w:val="single" w:sz="6" w:space="0" w:color="auto"/>
            </w:tcBorders>
          </w:tcPr>
          <w:p w14:paraId="208CC28D" w14:textId="77777777" w:rsidR="001A0595" w:rsidRPr="003B476C" w:rsidRDefault="001A0595">
            <w:pPr>
              <w:autoSpaceDE w:val="0"/>
              <w:autoSpaceDN w:val="0"/>
              <w:adjustRightInd w:val="0"/>
              <w:jc w:val="right"/>
              <w:rPr>
                <w:rFonts w:eastAsiaTheme="minorHAnsi" w:cs="Arial"/>
                <w:b/>
                <w:bCs/>
                <w:color w:val="000000"/>
                <w:sz w:val="14"/>
                <w:szCs w:val="14"/>
                <w:lang w:eastAsia="en-US"/>
              </w:rPr>
            </w:pPr>
            <w:r w:rsidRPr="003B476C">
              <w:rPr>
                <w:rFonts w:eastAsiaTheme="minorHAnsi" w:cs="Arial"/>
                <w:b/>
                <w:bCs/>
                <w:color w:val="000000"/>
                <w:sz w:val="14"/>
                <w:szCs w:val="14"/>
                <w:lang w:eastAsia="en-US"/>
              </w:rPr>
              <w:t>25,896,512,578</w:t>
            </w:r>
          </w:p>
        </w:tc>
        <w:tc>
          <w:tcPr>
            <w:tcW w:w="1134" w:type="dxa"/>
            <w:tcBorders>
              <w:top w:val="nil"/>
              <w:left w:val="single" w:sz="6" w:space="0" w:color="auto"/>
              <w:bottom w:val="single" w:sz="6" w:space="0" w:color="auto"/>
              <w:right w:val="single" w:sz="6" w:space="0" w:color="auto"/>
            </w:tcBorders>
          </w:tcPr>
          <w:p w14:paraId="53105B49" w14:textId="77777777" w:rsidR="001A0595" w:rsidRPr="003B476C" w:rsidRDefault="001A0595">
            <w:pPr>
              <w:autoSpaceDE w:val="0"/>
              <w:autoSpaceDN w:val="0"/>
              <w:adjustRightInd w:val="0"/>
              <w:jc w:val="right"/>
              <w:rPr>
                <w:rFonts w:eastAsiaTheme="minorHAnsi" w:cs="Arial"/>
                <w:b/>
                <w:bCs/>
                <w:color w:val="000000"/>
                <w:sz w:val="14"/>
                <w:szCs w:val="14"/>
                <w:lang w:eastAsia="en-US"/>
              </w:rPr>
            </w:pPr>
            <w:r w:rsidRPr="003B476C">
              <w:rPr>
                <w:rFonts w:eastAsiaTheme="minorHAnsi" w:cs="Arial"/>
                <w:b/>
                <w:bCs/>
                <w:color w:val="000000"/>
                <w:sz w:val="14"/>
                <w:szCs w:val="14"/>
                <w:lang w:eastAsia="en-US"/>
              </w:rPr>
              <w:t>27,382,187,805</w:t>
            </w:r>
          </w:p>
        </w:tc>
        <w:tc>
          <w:tcPr>
            <w:tcW w:w="1134" w:type="dxa"/>
            <w:tcBorders>
              <w:top w:val="nil"/>
              <w:left w:val="single" w:sz="6" w:space="0" w:color="auto"/>
              <w:bottom w:val="single" w:sz="6" w:space="0" w:color="auto"/>
              <w:right w:val="single" w:sz="6" w:space="0" w:color="auto"/>
            </w:tcBorders>
          </w:tcPr>
          <w:p w14:paraId="358AE4F9" w14:textId="77777777" w:rsidR="001A0595" w:rsidRPr="003B476C" w:rsidRDefault="001A0595">
            <w:pPr>
              <w:autoSpaceDE w:val="0"/>
              <w:autoSpaceDN w:val="0"/>
              <w:adjustRightInd w:val="0"/>
              <w:jc w:val="right"/>
              <w:rPr>
                <w:rFonts w:eastAsiaTheme="minorHAnsi" w:cs="Arial"/>
                <w:b/>
                <w:bCs/>
                <w:color w:val="000000"/>
                <w:sz w:val="14"/>
                <w:szCs w:val="14"/>
                <w:lang w:eastAsia="en-US"/>
              </w:rPr>
            </w:pPr>
            <w:r w:rsidRPr="003B476C">
              <w:rPr>
                <w:rFonts w:eastAsiaTheme="minorHAnsi" w:cs="Arial"/>
                <w:b/>
                <w:bCs/>
                <w:color w:val="000000"/>
                <w:sz w:val="14"/>
                <w:szCs w:val="14"/>
                <w:lang w:eastAsia="en-US"/>
              </w:rPr>
              <w:t>28,953,356,534</w:t>
            </w:r>
          </w:p>
        </w:tc>
      </w:tr>
    </w:tbl>
    <w:p w14:paraId="41C4E52B" w14:textId="77777777" w:rsidR="00285FFF" w:rsidRPr="00516AFF" w:rsidRDefault="00285FFF" w:rsidP="003D40E2">
      <w:pPr>
        <w:rPr>
          <w:rFonts w:cs="Arial"/>
        </w:rPr>
      </w:pPr>
    </w:p>
    <w:p w14:paraId="06E63FC8" w14:textId="4D8B4F61" w:rsidR="000A643E" w:rsidRDefault="000A643E" w:rsidP="003D40E2">
      <w:pPr>
        <w:rPr>
          <w:rFonts w:cs="Arial"/>
        </w:rPr>
      </w:pPr>
    </w:p>
    <w:p w14:paraId="747119D2" w14:textId="77777777" w:rsidR="00382F53" w:rsidRDefault="00382F53" w:rsidP="003D40E2">
      <w:pPr>
        <w:rPr>
          <w:rFonts w:cs="Arial"/>
        </w:rPr>
      </w:pPr>
    </w:p>
    <w:p w14:paraId="39E230B7" w14:textId="77777777" w:rsidR="003D40E2" w:rsidRPr="00516AFF" w:rsidRDefault="003D40E2" w:rsidP="003D40E2">
      <w:pPr>
        <w:pStyle w:val="Ttulo2"/>
        <w:rPr>
          <w:rFonts w:cs="Arial"/>
        </w:rPr>
      </w:pPr>
      <w:r w:rsidRPr="00516AFF">
        <w:rPr>
          <w:rFonts w:cs="Arial"/>
        </w:rPr>
        <w:t>2.III. Descripción de los riesgos relevantes para las finanzas públicas, incluyendo los montos de Deuda Contingente, acompañados de propuestas de acción para enfrentarlos.</w:t>
      </w:r>
    </w:p>
    <w:p w14:paraId="3573C1A2" w14:textId="77777777" w:rsidR="003D40E2" w:rsidRPr="00516AFF" w:rsidRDefault="003D40E2" w:rsidP="003D40E2">
      <w:pPr>
        <w:rPr>
          <w:rFonts w:cs="Arial"/>
          <w:b/>
          <w:bCs/>
        </w:rPr>
      </w:pPr>
    </w:p>
    <w:p w14:paraId="34D845EF" w14:textId="1009783C" w:rsidR="003D40E2" w:rsidRDefault="003D40E2" w:rsidP="003D40E2">
      <w:pPr>
        <w:pStyle w:val="Ttulo3"/>
        <w:rPr>
          <w:rFonts w:cs="Arial"/>
        </w:rPr>
      </w:pPr>
      <w:r w:rsidRPr="00516AFF">
        <w:rPr>
          <w:rFonts w:cs="Arial"/>
        </w:rPr>
        <w:t xml:space="preserve">2.III.A. </w:t>
      </w:r>
      <w:r w:rsidR="005E7F8F" w:rsidRPr="005E7F8F">
        <w:rPr>
          <w:rFonts w:cs="Arial"/>
        </w:rPr>
        <w:t>Riesgos relevantes para las finanzas públicas</w:t>
      </w:r>
      <w:r w:rsidRPr="00516AFF">
        <w:rPr>
          <w:rFonts w:cs="Arial"/>
        </w:rPr>
        <w:t xml:space="preserve"> en el ámbito nacional.</w:t>
      </w:r>
    </w:p>
    <w:p w14:paraId="67FFB2BF" w14:textId="3D607BDA" w:rsidR="003D40E2" w:rsidRDefault="003D40E2" w:rsidP="003D40E2">
      <w:pPr>
        <w:rPr>
          <w:b/>
          <w:lang w:val="es-ES" w:eastAsia="en-US"/>
        </w:rPr>
      </w:pPr>
    </w:p>
    <w:p w14:paraId="474E4A1E" w14:textId="522AB3EB" w:rsidR="00293EDB" w:rsidRDefault="00293EDB" w:rsidP="00293EDB">
      <w:pPr>
        <w:rPr>
          <w:rFonts w:cs="Arial"/>
        </w:rPr>
      </w:pPr>
      <w:r>
        <w:rPr>
          <w:rFonts w:cs="Arial"/>
        </w:rPr>
        <w:t xml:space="preserve">El entorno económico del cuál se habló anteriormente, se encuentra sujeto a los presentes riesgos que de alguna u otra manera podrían modificar las estimaciones planteadas: </w:t>
      </w:r>
    </w:p>
    <w:p w14:paraId="4B452BB1" w14:textId="77777777" w:rsidR="00702C1C" w:rsidRDefault="00702C1C" w:rsidP="00293EDB">
      <w:pPr>
        <w:rPr>
          <w:rFonts w:cs="Arial"/>
        </w:rPr>
      </w:pPr>
    </w:p>
    <w:p w14:paraId="217E2ED3" w14:textId="77777777" w:rsidR="00293EDB" w:rsidRDefault="00293EDB" w:rsidP="00293EDB">
      <w:pPr>
        <w:rPr>
          <w:rFonts w:cs="Arial"/>
        </w:rPr>
      </w:pPr>
    </w:p>
    <w:tbl>
      <w:tblPr>
        <w:tblStyle w:val="Tablaconcuadrcula"/>
        <w:tblW w:w="0" w:type="auto"/>
        <w:tblLook w:val="04A0" w:firstRow="1" w:lastRow="0" w:firstColumn="1" w:lastColumn="0" w:noHBand="0" w:noVBand="1"/>
      </w:tblPr>
      <w:tblGrid>
        <w:gridCol w:w="4414"/>
        <w:gridCol w:w="4414"/>
      </w:tblGrid>
      <w:tr w:rsidR="00293EDB" w14:paraId="54E9390D" w14:textId="77777777" w:rsidTr="00A04566">
        <w:tc>
          <w:tcPr>
            <w:tcW w:w="4414" w:type="dxa"/>
            <w:shd w:val="clear" w:color="auto" w:fill="D9D9D9" w:themeFill="background1" w:themeFillShade="D9"/>
          </w:tcPr>
          <w:p w14:paraId="00D72AE6" w14:textId="77777777" w:rsidR="00293EDB" w:rsidRPr="007B7992" w:rsidRDefault="00293EDB" w:rsidP="00A04566">
            <w:pPr>
              <w:jc w:val="center"/>
              <w:rPr>
                <w:rFonts w:cs="Arial"/>
                <w:b/>
                <w:bCs/>
              </w:rPr>
            </w:pPr>
            <w:r w:rsidRPr="007B7992">
              <w:rPr>
                <w:rFonts w:cs="Arial"/>
                <w:b/>
                <w:bCs/>
              </w:rPr>
              <w:t>Riesgos a la baja</w:t>
            </w:r>
          </w:p>
        </w:tc>
        <w:tc>
          <w:tcPr>
            <w:tcW w:w="4414" w:type="dxa"/>
            <w:shd w:val="clear" w:color="auto" w:fill="D9D9D9" w:themeFill="background1" w:themeFillShade="D9"/>
          </w:tcPr>
          <w:p w14:paraId="59956FA7" w14:textId="77777777" w:rsidR="00293EDB" w:rsidRPr="007B7992" w:rsidRDefault="00293EDB" w:rsidP="00A04566">
            <w:pPr>
              <w:jc w:val="center"/>
              <w:rPr>
                <w:rFonts w:cs="Arial"/>
                <w:b/>
                <w:bCs/>
              </w:rPr>
            </w:pPr>
            <w:r w:rsidRPr="007B7992">
              <w:rPr>
                <w:rFonts w:cs="Arial"/>
                <w:b/>
                <w:bCs/>
              </w:rPr>
              <w:t>Riesgos al alza</w:t>
            </w:r>
          </w:p>
        </w:tc>
      </w:tr>
      <w:tr w:rsidR="00293EDB" w:rsidRPr="00B25EA8" w14:paraId="1743456B" w14:textId="77777777" w:rsidTr="00A04566">
        <w:tc>
          <w:tcPr>
            <w:tcW w:w="4414" w:type="dxa"/>
          </w:tcPr>
          <w:p w14:paraId="123E95CC" w14:textId="77777777" w:rsidR="00293EDB" w:rsidRPr="00B25EA8" w:rsidRDefault="00293EDB" w:rsidP="00293EDB">
            <w:pPr>
              <w:pStyle w:val="Prrafodelista"/>
              <w:numPr>
                <w:ilvl w:val="0"/>
                <w:numId w:val="34"/>
              </w:numPr>
              <w:rPr>
                <w:rFonts w:cs="Arial"/>
                <w:sz w:val="16"/>
                <w:szCs w:val="16"/>
              </w:rPr>
            </w:pPr>
            <w:r w:rsidRPr="00B25EA8">
              <w:rPr>
                <w:rFonts w:cs="Arial"/>
                <w:sz w:val="16"/>
                <w:szCs w:val="16"/>
              </w:rPr>
              <w:t>Efectos climatológicos adversos que generen sequías e inundaciones extremas con afectaciones en cosechas, granos básicos y estrés hídrico en zonas del país, así como en rutas comerciales importantes, que en última instancia afecten la formación de precios de productos agropecuarios, alimentos procesados o insumos energéticos, y repercutan en la actividad económica.</w:t>
            </w:r>
          </w:p>
        </w:tc>
        <w:tc>
          <w:tcPr>
            <w:tcW w:w="4414" w:type="dxa"/>
          </w:tcPr>
          <w:p w14:paraId="06056012" w14:textId="77777777" w:rsidR="00293EDB" w:rsidRPr="00B25EA8" w:rsidRDefault="00293EDB" w:rsidP="00293EDB">
            <w:pPr>
              <w:pStyle w:val="Prrafodelista"/>
              <w:numPr>
                <w:ilvl w:val="0"/>
                <w:numId w:val="34"/>
              </w:numPr>
              <w:rPr>
                <w:rFonts w:cs="Arial"/>
                <w:sz w:val="16"/>
                <w:szCs w:val="16"/>
              </w:rPr>
            </w:pPr>
            <w:r w:rsidRPr="00B25EA8">
              <w:rPr>
                <w:rFonts w:cs="Arial"/>
                <w:sz w:val="16"/>
                <w:szCs w:val="16"/>
              </w:rPr>
              <w:t>Una disminución más rápida de cuellos de botella en la producción y condiciones climatológicas que afectan la producción o el transporte de mercancías. Ello permitiría un entorno de mayor actividad comercial con un impacto positivo en el crecimiento económico y una menor inflación.</w:t>
            </w:r>
          </w:p>
        </w:tc>
      </w:tr>
      <w:tr w:rsidR="00293EDB" w:rsidRPr="00B25EA8" w14:paraId="241A380F" w14:textId="77777777" w:rsidTr="00A04566">
        <w:tc>
          <w:tcPr>
            <w:tcW w:w="4414" w:type="dxa"/>
          </w:tcPr>
          <w:p w14:paraId="0ACADA2A" w14:textId="77777777" w:rsidR="00293EDB" w:rsidRPr="00B25EA8" w:rsidRDefault="00293EDB" w:rsidP="00293EDB">
            <w:pPr>
              <w:pStyle w:val="Prrafodelista"/>
              <w:numPr>
                <w:ilvl w:val="0"/>
                <w:numId w:val="34"/>
              </w:numPr>
              <w:rPr>
                <w:rFonts w:cs="Arial"/>
                <w:sz w:val="16"/>
                <w:szCs w:val="16"/>
              </w:rPr>
            </w:pPr>
            <w:r w:rsidRPr="00B25EA8">
              <w:rPr>
                <w:rFonts w:cs="Arial"/>
                <w:sz w:val="16"/>
                <w:szCs w:val="16"/>
              </w:rPr>
              <w:t>Prolongación o aumento de las tensiones geopolíticas que ocasionen disrupciones en las cadenas de suministro, retraso en los tiempos de envío y presiones inflacionarias por el lado de los costos de distribución.</w:t>
            </w:r>
          </w:p>
        </w:tc>
        <w:tc>
          <w:tcPr>
            <w:tcW w:w="4414" w:type="dxa"/>
          </w:tcPr>
          <w:p w14:paraId="23202AE4" w14:textId="77777777" w:rsidR="00293EDB" w:rsidRPr="00B25EA8" w:rsidRDefault="00293EDB" w:rsidP="00293EDB">
            <w:pPr>
              <w:pStyle w:val="Prrafodelista"/>
              <w:numPr>
                <w:ilvl w:val="0"/>
                <w:numId w:val="34"/>
              </w:numPr>
              <w:rPr>
                <w:rFonts w:cs="Arial"/>
                <w:sz w:val="16"/>
                <w:szCs w:val="16"/>
              </w:rPr>
            </w:pPr>
            <w:r w:rsidRPr="00B25EA8">
              <w:rPr>
                <w:rFonts w:cs="Arial"/>
                <w:sz w:val="16"/>
                <w:szCs w:val="16"/>
              </w:rPr>
              <w:t>Que los proyectos de infraestructura aceleren sus beneficios sobre el crecimiento económico y su impacto sobre el PIB potencial, mejorando la oferta de bienes y servicios, así como por el posicionamiento del país como destino de inversiones productivas.</w:t>
            </w:r>
          </w:p>
        </w:tc>
      </w:tr>
      <w:tr w:rsidR="00293EDB" w:rsidRPr="00B25EA8" w14:paraId="51B61D66" w14:textId="77777777" w:rsidTr="00A04566">
        <w:tc>
          <w:tcPr>
            <w:tcW w:w="4414" w:type="dxa"/>
          </w:tcPr>
          <w:p w14:paraId="1CE55904" w14:textId="77777777" w:rsidR="00293EDB" w:rsidRPr="00B25EA8" w:rsidRDefault="00293EDB" w:rsidP="00293EDB">
            <w:pPr>
              <w:pStyle w:val="Prrafodelista"/>
              <w:numPr>
                <w:ilvl w:val="0"/>
                <w:numId w:val="34"/>
              </w:numPr>
              <w:rPr>
                <w:rFonts w:cs="Arial"/>
                <w:sz w:val="16"/>
                <w:szCs w:val="16"/>
              </w:rPr>
            </w:pPr>
            <w:r w:rsidRPr="00B25EA8">
              <w:rPr>
                <w:rFonts w:cs="Arial"/>
                <w:sz w:val="16"/>
                <w:szCs w:val="16"/>
              </w:rPr>
              <w:t>Escalamiento de conflictos geopolíticos que ocasionen la imposición de sanciones como aranceles, cuotas de importación o exportación, o cualquier otra restricción en el comercio, con efectos en el abasto de insumos y disrupciones al comercio y las cadenas de valor globales.</w:t>
            </w:r>
          </w:p>
        </w:tc>
        <w:tc>
          <w:tcPr>
            <w:tcW w:w="4414" w:type="dxa"/>
          </w:tcPr>
          <w:p w14:paraId="25949F75" w14:textId="77777777" w:rsidR="00293EDB" w:rsidRPr="00B25EA8" w:rsidRDefault="00293EDB" w:rsidP="00293EDB">
            <w:pPr>
              <w:pStyle w:val="Prrafodelista"/>
              <w:numPr>
                <w:ilvl w:val="0"/>
                <w:numId w:val="34"/>
              </w:numPr>
              <w:rPr>
                <w:rFonts w:cs="Arial"/>
                <w:sz w:val="16"/>
                <w:szCs w:val="16"/>
              </w:rPr>
            </w:pPr>
            <w:r w:rsidRPr="00B25EA8">
              <w:rPr>
                <w:rFonts w:cs="Arial"/>
                <w:sz w:val="16"/>
                <w:szCs w:val="16"/>
              </w:rPr>
              <w:t>Aumento más rápido y significativo de la integración comercial de Norteamérica a través de las recientes inversiones en sectores previamente consolidados y nuevos, que incremente aún más los flujos de inversión nacional y extranjera.</w:t>
            </w:r>
          </w:p>
        </w:tc>
      </w:tr>
      <w:tr w:rsidR="00293EDB" w:rsidRPr="00B25EA8" w14:paraId="45D780D3" w14:textId="77777777" w:rsidTr="00A04566">
        <w:tc>
          <w:tcPr>
            <w:tcW w:w="4414" w:type="dxa"/>
          </w:tcPr>
          <w:p w14:paraId="5292C059" w14:textId="77777777" w:rsidR="00293EDB" w:rsidRPr="00B25EA8" w:rsidRDefault="00293EDB" w:rsidP="00293EDB">
            <w:pPr>
              <w:pStyle w:val="Prrafodelista"/>
              <w:numPr>
                <w:ilvl w:val="0"/>
                <w:numId w:val="34"/>
              </w:numPr>
              <w:rPr>
                <w:rFonts w:cs="Arial"/>
                <w:sz w:val="16"/>
                <w:szCs w:val="16"/>
              </w:rPr>
            </w:pPr>
            <w:r w:rsidRPr="00B25EA8">
              <w:rPr>
                <w:rFonts w:cs="Arial"/>
                <w:sz w:val="16"/>
                <w:szCs w:val="16"/>
              </w:rPr>
              <w:t>Un incremento mayor al esperado en la producción de petróleo por parte de países no miembros de la OPEP+, como EE.UU., o bien, una mayor desaceleración de la economía de China, lo que reduciría las cotizaciones de crudo.</w:t>
            </w:r>
          </w:p>
        </w:tc>
        <w:tc>
          <w:tcPr>
            <w:tcW w:w="4414" w:type="dxa"/>
          </w:tcPr>
          <w:p w14:paraId="62E9FE8E" w14:textId="77777777" w:rsidR="00293EDB" w:rsidRPr="00B25EA8" w:rsidRDefault="00293EDB" w:rsidP="00293EDB">
            <w:pPr>
              <w:pStyle w:val="Prrafodelista"/>
              <w:numPr>
                <w:ilvl w:val="0"/>
                <w:numId w:val="34"/>
              </w:numPr>
              <w:rPr>
                <w:rFonts w:cs="Arial"/>
                <w:sz w:val="16"/>
                <w:szCs w:val="16"/>
              </w:rPr>
            </w:pPr>
            <w:r w:rsidRPr="00B25EA8">
              <w:rPr>
                <w:rFonts w:cs="Arial"/>
                <w:sz w:val="16"/>
                <w:szCs w:val="16"/>
              </w:rPr>
              <w:t>Resolución o disminución de la gravedad de las tensiones comerciales que permitan la eliminación de sanciones en el mundo y brinden certeza sobre las oportunidades de inversión para empresas exportadoras y los canales para abastecerse de insumos productivos.</w:t>
            </w:r>
          </w:p>
        </w:tc>
      </w:tr>
      <w:tr w:rsidR="00293EDB" w:rsidRPr="00B25EA8" w14:paraId="35149D78" w14:textId="77777777" w:rsidTr="00A04566">
        <w:tc>
          <w:tcPr>
            <w:tcW w:w="4414" w:type="dxa"/>
          </w:tcPr>
          <w:p w14:paraId="7776066D" w14:textId="77777777" w:rsidR="00293EDB" w:rsidRPr="00B25EA8" w:rsidRDefault="00293EDB" w:rsidP="00293EDB">
            <w:pPr>
              <w:pStyle w:val="Prrafodelista"/>
              <w:numPr>
                <w:ilvl w:val="0"/>
                <w:numId w:val="34"/>
              </w:numPr>
              <w:rPr>
                <w:rFonts w:cs="Arial"/>
                <w:sz w:val="16"/>
                <w:szCs w:val="16"/>
              </w:rPr>
            </w:pPr>
            <w:r w:rsidRPr="00B25EA8">
              <w:rPr>
                <w:rFonts w:cs="Arial"/>
                <w:sz w:val="16"/>
                <w:szCs w:val="16"/>
              </w:rPr>
              <w:t>Condiciones financieras restrictivas por un tiempo más prolongado que afecten la actividad económica y aumenten vulnerabilidad del sistema financiero y la probabilidad de impago en empresas u hogares con una posición financiera vulnerable.</w:t>
            </w:r>
          </w:p>
        </w:tc>
        <w:tc>
          <w:tcPr>
            <w:tcW w:w="4414" w:type="dxa"/>
          </w:tcPr>
          <w:p w14:paraId="05E17365" w14:textId="77777777" w:rsidR="00293EDB" w:rsidRPr="00B25EA8" w:rsidRDefault="00293EDB" w:rsidP="00293EDB">
            <w:pPr>
              <w:pStyle w:val="Prrafodelista"/>
              <w:numPr>
                <w:ilvl w:val="0"/>
                <w:numId w:val="34"/>
              </w:numPr>
              <w:rPr>
                <w:rFonts w:cs="Arial"/>
                <w:sz w:val="16"/>
                <w:szCs w:val="16"/>
              </w:rPr>
            </w:pPr>
            <w:r w:rsidRPr="00B25EA8">
              <w:rPr>
                <w:rFonts w:cs="Arial"/>
                <w:sz w:val="16"/>
                <w:szCs w:val="16"/>
              </w:rPr>
              <w:t>Aumento de las cotizaciones de petróleo con beneficio en el valor de las exportaciones petroleras y la industria manufacturera y minera. Lo anterior derivado de las tensiones en Medio Oriente, que incluya otros países productores de petróleo como Irán, lo que podría interrumpir el suministro de crudo de la región.</w:t>
            </w:r>
          </w:p>
        </w:tc>
      </w:tr>
      <w:tr w:rsidR="00293EDB" w:rsidRPr="00B25EA8" w14:paraId="16002654" w14:textId="77777777" w:rsidTr="00A04566">
        <w:tc>
          <w:tcPr>
            <w:tcW w:w="4414" w:type="dxa"/>
          </w:tcPr>
          <w:p w14:paraId="72E9CBC6" w14:textId="77777777" w:rsidR="00293EDB" w:rsidRPr="00B25EA8" w:rsidRDefault="00293EDB" w:rsidP="00293EDB">
            <w:pPr>
              <w:pStyle w:val="Prrafodelista"/>
              <w:numPr>
                <w:ilvl w:val="0"/>
                <w:numId w:val="34"/>
              </w:numPr>
              <w:rPr>
                <w:rFonts w:cs="Arial"/>
                <w:sz w:val="16"/>
                <w:szCs w:val="16"/>
              </w:rPr>
            </w:pPr>
            <w:r w:rsidRPr="00B25EA8">
              <w:rPr>
                <w:rFonts w:cs="Arial"/>
                <w:sz w:val="16"/>
                <w:szCs w:val="16"/>
              </w:rPr>
              <w:t>Una mayor desaceleración que la esperada de la economía global que afecte la demanda interna y reduzca las exportaciones de México, el envío de remesas y la llegada de turistas, que genere simultáneamente volatilidad en los mercados financieros internacionales.</w:t>
            </w:r>
          </w:p>
        </w:tc>
        <w:tc>
          <w:tcPr>
            <w:tcW w:w="4414" w:type="dxa"/>
          </w:tcPr>
          <w:p w14:paraId="0E3B5A34" w14:textId="77777777" w:rsidR="00293EDB" w:rsidRPr="00B25EA8" w:rsidRDefault="00293EDB" w:rsidP="00293EDB">
            <w:pPr>
              <w:pStyle w:val="Prrafodelista"/>
              <w:numPr>
                <w:ilvl w:val="0"/>
                <w:numId w:val="34"/>
              </w:numPr>
              <w:rPr>
                <w:rFonts w:cs="Arial"/>
                <w:sz w:val="16"/>
                <w:szCs w:val="16"/>
              </w:rPr>
            </w:pPr>
            <w:r w:rsidRPr="00B25EA8">
              <w:rPr>
                <w:rFonts w:cs="Arial"/>
                <w:sz w:val="16"/>
                <w:szCs w:val="16"/>
              </w:rPr>
              <w:t>Reducción significativa de las tasas de interés y las primas de riesgo, aunado a un mayor acceso de financiamiento por parte de las empresas mediante las recientes regulaciones bursátiles y en materia de finanzas sustentables, que amplíe las inversiones y fomente un mayor crecimiento económico.</w:t>
            </w:r>
          </w:p>
        </w:tc>
      </w:tr>
    </w:tbl>
    <w:p w14:paraId="1ECB2927" w14:textId="77777777" w:rsidR="00293EDB" w:rsidRDefault="00293EDB" w:rsidP="00293EDB">
      <w:pPr>
        <w:rPr>
          <w:rFonts w:cs="Arial"/>
        </w:rPr>
      </w:pPr>
    </w:p>
    <w:p w14:paraId="4316CC49" w14:textId="7CAAFAAB" w:rsidR="003D40E2" w:rsidRDefault="003D40E2" w:rsidP="003D40E2">
      <w:pPr>
        <w:rPr>
          <w:rFonts w:cs="Arial"/>
          <w:highlight w:val="yellow"/>
        </w:rPr>
      </w:pPr>
    </w:p>
    <w:p w14:paraId="465F6DAE" w14:textId="77777777" w:rsidR="00702C1C" w:rsidRDefault="00702C1C" w:rsidP="003D40E2">
      <w:pPr>
        <w:rPr>
          <w:rFonts w:cs="Arial"/>
          <w:highlight w:val="yellow"/>
        </w:rPr>
      </w:pPr>
    </w:p>
    <w:p w14:paraId="5CA7D340" w14:textId="475FB2F0" w:rsidR="003D40E2" w:rsidRPr="00516AFF" w:rsidRDefault="003D40E2" w:rsidP="003D40E2">
      <w:pPr>
        <w:pStyle w:val="Ttulo3"/>
        <w:rPr>
          <w:rFonts w:cs="Arial"/>
        </w:rPr>
      </w:pPr>
      <w:r w:rsidRPr="00516AFF">
        <w:rPr>
          <w:rFonts w:cs="Arial"/>
        </w:rPr>
        <w:t>2.III.</w:t>
      </w:r>
      <w:r w:rsidR="005E7F8F">
        <w:rPr>
          <w:rFonts w:cs="Arial"/>
        </w:rPr>
        <w:t>B</w:t>
      </w:r>
      <w:r w:rsidRPr="00516AFF">
        <w:rPr>
          <w:rFonts w:cs="Arial"/>
        </w:rPr>
        <w:t>. Riesgos fiscales en el ámbito local y pasivos contingentes.</w:t>
      </w:r>
    </w:p>
    <w:p w14:paraId="2D602A13" w14:textId="77777777" w:rsidR="003D40E2" w:rsidRPr="00516AFF" w:rsidRDefault="003D40E2" w:rsidP="003D40E2">
      <w:pPr>
        <w:rPr>
          <w:rFonts w:cs="Arial"/>
        </w:rPr>
      </w:pPr>
    </w:p>
    <w:p w14:paraId="1A313568" w14:textId="37A9FFAA" w:rsidR="00B72E0F" w:rsidRDefault="00B72E0F" w:rsidP="00B72E0F">
      <w:pPr>
        <w:spacing w:after="120"/>
        <w:rPr>
          <w:rFonts w:cs="Arial"/>
        </w:rPr>
      </w:pPr>
      <w:r w:rsidRPr="006153E2">
        <w:rPr>
          <w:rFonts w:cs="Arial"/>
          <w:bCs/>
        </w:rPr>
        <w:t>Dependencia de las Transferencias Federales. En las estimaciones para el ejercicio fiscal 2025, las transferencias federales</w:t>
      </w:r>
      <w:r w:rsidRPr="006153E2">
        <w:rPr>
          <w:rFonts w:cs="Arial"/>
        </w:rPr>
        <w:t xml:space="preserve"> que recibirá el Estado de Colima, suman 20,273.5 </w:t>
      </w:r>
      <w:r w:rsidRPr="0049165D">
        <w:rPr>
          <w:rFonts w:cs="Arial"/>
        </w:rPr>
        <w:t>mill</w:t>
      </w:r>
      <w:r w:rsidR="00660866">
        <w:rPr>
          <w:rFonts w:cs="Arial"/>
        </w:rPr>
        <w:t>ones de pesos, es decir, el 88.1</w:t>
      </w:r>
      <w:r w:rsidRPr="0049165D">
        <w:rPr>
          <w:rFonts w:cs="Arial"/>
        </w:rPr>
        <w:t xml:space="preserve"> por ciento del total de los recursos estimados ingresar para el ejercicio fiscal 2025. Lo que puede representar un alto riesgo para las finanzas públicas locales, pues un escenario adverso en la recaudación de ingresos del orden federal tiene un impacto directo sobre las finanzas públicas locales, pues estos recursos están directamente ligados a programas sustantivos de Gobierno.</w:t>
      </w:r>
    </w:p>
    <w:p w14:paraId="0FC1F8D9" w14:textId="77777777" w:rsidR="00702C1C" w:rsidRPr="0049165D" w:rsidRDefault="00702C1C" w:rsidP="00B72E0F">
      <w:pPr>
        <w:spacing w:after="120"/>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9"/>
        <w:gridCol w:w="1418"/>
        <w:gridCol w:w="992"/>
      </w:tblGrid>
      <w:tr w:rsidR="00B72E0F" w:rsidRPr="0049165D" w14:paraId="3D7D13F6" w14:textId="77777777" w:rsidTr="0051429E">
        <w:trPr>
          <w:trHeight w:val="20"/>
          <w:jc w:val="center"/>
        </w:trPr>
        <w:tc>
          <w:tcPr>
            <w:tcW w:w="3539" w:type="dxa"/>
            <w:shd w:val="clear" w:color="auto" w:fill="D9D9D9" w:themeFill="background1" w:themeFillShade="D9"/>
            <w:noWrap/>
            <w:vAlign w:val="center"/>
          </w:tcPr>
          <w:p w14:paraId="1B74A3EC" w14:textId="77777777" w:rsidR="00B72E0F" w:rsidRPr="0049165D" w:rsidRDefault="00B72E0F" w:rsidP="0051429E">
            <w:pPr>
              <w:jc w:val="center"/>
              <w:rPr>
                <w:rFonts w:eastAsia="Times New Roman" w:cs="Arial"/>
                <w:b/>
                <w:bCs/>
                <w:color w:val="000000"/>
                <w:sz w:val="16"/>
                <w:szCs w:val="16"/>
              </w:rPr>
            </w:pPr>
            <w:r w:rsidRPr="0049165D">
              <w:rPr>
                <w:rFonts w:eastAsia="Times New Roman" w:cs="Arial"/>
                <w:b/>
                <w:bCs/>
                <w:color w:val="000000"/>
                <w:sz w:val="16"/>
                <w:szCs w:val="16"/>
              </w:rPr>
              <w:lastRenderedPageBreak/>
              <w:t>Concepto</w:t>
            </w:r>
          </w:p>
        </w:tc>
        <w:tc>
          <w:tcPr>
            <w:tcW w:w="1418" w:type="dxa"/>
            <w:shd w:val="clear" w:color="auto" w:fill="D9D9D9" w:themeFill="background1" w:themeFillShade="D9"/>
            <w:vAlign w:val="center"/>
          </w:tcPr>
          <w:p w14:paraId="64C1491B" w14:textId="77777777" w:rsidR="00B72E0F" w:rsidRPr="0049165D" w:rsidRDefault="00B72E0F" w:rsidP="0051429E">
            <w:pPr>
              <w:jc w:val="center"/>
              <w:rPr>
                <w:rFonts w:cs="Arial"/>
                <w:b/>
                <w:bCs/>
                <w:color w:val="000000"/>
                <w:sz w:val="16"/>
                <w:szCs w:val="16"/>
              </w:rPr>
            </w:pPr>
            <w:r w:rsidRPr="0049165D">
              <w:rPr>
                <w:rFonts w:cs="Arial"/>
                <w:b/>
                <w:bCs/>
                <w:color w:val="000000"/>
                <w:sz w:val="16"/>
                <w:szCs w:val="16"/>
              </w:rPr>
              <w:t>Ingresos Estimados 2025</w:t>
            </w:r>
          </w:p>
        </w:tc>
        <w:tc>
          <w:tcPr>
            <w:tcW w:w="992" w:type="dxa"/>
            <w:shd w:val="clear" w:color="auto" w:fill="D9D9D9" w:themeFill="background1" w:themeFillShade="D9"/>
            <w:vAlign w:val="center"/>
          </w:tcPr>
          <w:p w14:paraId="661E8FBC" w14:textId="77777777" w:rsidR="00B72E0F" w:rsidRPr="0049165D" w:rsidRDefault="00B72E0F" w:rsidP="0051429E">
            <w:pPr>
              <w:jc w:val="center"/>
              <w:rPr>
                <w:rFonts w:cs="Arial"/>
                <w:b/>
                <w:bCs/>
                <w:color w:val="000000"/>
                <w:sz w:val="16"/>
                <w:szCs w:val="16"/>
              </w:rPr>
            </w:pPr>
            <w:r w:rsidRPr="0049165D">
              <w:rPr>
                <w:rFonts w:cs="Arial"/>
                <w:b/>
                <w:bCs/>
                <w:color w:val="000000"/>
                <w:sz w:val="16"/>
                <w:szCs w:val="16"/>
              </w:rPr>
              <w:t>%</w:t>
            </w:r>
          </w:p>
        </w:tc>
      </w:tr>
      <w:tr w:rsidR="00A12DCC" w:rsidRPr="0049165D" w14:paraId="5E660E60" w14:textId="77777777" w:rsidTr="00CA0A37">
        <w:trPr>
          <w:trHeight w:val="20"/>
          <w:jc w:val="center"/>
        </w:trPr>
        <w:tc>
          <w:tcPr>
            <w:tcW w:w="3539" w:type="dxa"/>
            <w:shd w:val="clear" w:color="auto" w:fill="auto"/>
            <w:noWrap/>
            <w:vAlign w:val="center"/>
            <w:hideMark/>
          </w:tcPr>
          <w:p w14:paraId="02739718" w14:textId="77777777" w:rsidR="00A12DCC" w:rsidRPr="0049165D" w:rsidRDefault="00A12DCC" w:rsidP="00A12DCC">
            <w:pPr>
              <w:jc w:val="left"/>
              <w:rPr>
                <w:rFonts w:eastAsia="Times New Roman" w:cs="Arial"/>
                <w:color w:val="000000"/>
                <w:sz w:val="16"/>
                <w:szCs w:val="16"/>
              </w:rPr>
            </w:pPr>
            <w:r w:rsidRPr="0049165D">
              <w:rPr>
                <w:rFonts w:eastAsia="Times New Roman" w:cs="Arial"/>
                <w:color w:val="000000"/>
                <w:sz w:val="16"/>
                <w:szCs w:val="16"/>
              </w:rPr>
              <w:t>Ingresos Propios</w:t>
            </w:r>
          </w:p>
        </w:tc>
        <w:tc>
          <w:tcPr>
            <w:tcW w:w="1418" w:type="dxa"/>
          </w:tcPr>
          <w:p w14:paraId="27781537" w14:textId="60FCDFBE" w:rsidR="00A12DCC" w:rsidRPr="00A12DCC" w:rsidRDefault="00A12DCC" w:rsidP="00A12DCC">
            <w:pPr>
              <w:jc w:val="right"/>
              <w:rPr>
                <w:rFonts w:eastAsia="Times New Roman" w:cs="Arial"/>
                <w:color w:val="000000"/>
                <w:sz w:val="16"/>
                <w:szCs w:val="16"/>
              </w:rPr>
            </w:pPr>
            <w:r w:rsidRPr="00A12DCC">
              <w:rPr>
                <w:sz w:val="16"/>
                <w:szCs w:val="16"/>
              </w:rPr>
              <w:t>2,397,381,620</w:t>
            </w:r>
          </w:p>
        </w:tc>
        <w:tc>
          <w:tcPr>
            <w:tcW w:w="992" w:type="dxa"/>
          </w:tcPr>
          <w:p w14:paraId="44D299E0" w14:textId="4FC12A9E" w:rsidR="00A12DCC" w:rsidRPr="00A12DCC" w:rsidRDefault="00A12DCC" w:rsidP="00A12DCC">
            <w:pPr>
              <w:jc w:val="center"/>
              <w:rPr>
                <w:rFonts w:eastAsia="Times New Roman" w:cs="Arial"/>
                <w:color w:val="000000"/>
                <w:sz w:val="16"/>
                <w:szCs w:val="16"/>
              </w:rPr>
            </w:pPr>
            <w:r w:rsidRPr="00A12DCC">
              <w:rPr>
                <w:sz w:val="16"/>
                <w:szCs w:val="16"/>
              </w:rPr>
              <w:t>10.4%</w:t>
            </w:r>
          </w:p>
        </w:tc>
      </w:tr>
      <w:tr w:rsidR="00A12DCC" w:rsidRPr="0049165D" w14:paraId="6ACF9D57" w14:textId="77777777" w:rsidTr="00CA0A37">
        <w:trPr>
          <w:trHeight w:val="20"/>
          <w:jc w:val="center"/>
        </w:trPr>
        <w:tc>
          <w:tcPr>
            <w:tcW w:w="3539" w:type="dxa"/>
            <w:shd w:val="clear" w:color="auto" w:fill="auto"/>
            <w:noWrap/>
            <w:vAlign w:val="center"/>
            <w:hideMark/>
          </w:tcPr>
          <w:p w14:paraId="0C425737" w14:textId="77777777" w:rsidR="00A12DCC" w:rsidRPr="0049165D" w:rsidRDefault="00A12DCC" w:rsidP="00A12DCC">
            <w:pPr>
              <w:jc w:val="left"/>
              <w:rPr>
                <w:rFonts w:eastAsia="Times New Roman" w:cs="Arial"/>
                <w:color w:val="000000"/>
                <w:sz w:val="16"/>
                <w:szCs w:val="16"/>
              </w:rPr>
            </w:pPr>
            <w:r w:rsidRPr="0049165D">
              <w:rPr>
                <w:rFonts w:eastAsia="Times New Roman" w:cs="Arial"/>
                <w:color w:val="000000"/>
                <w:sz w:val="16"/>
                <w:szCs w:val="16"/>
              </w:rPr>
              <w:t xml:space="preserve">Ingresos Federales </w:t>
            </w:r>
          </w:p>
        </w:tc>
        <w:tc>
          <w:tcPr>
            <w:tcW w:w="1418" w:type="dxa"/>
          </w:tcPr>
          <w:p w14:paraId="68188064" w14:textId="388E2A14" w:rsidR="00A12DCC" w:rsidRPr="00A12DCC" w:rsidRDefault="00A12DCC" w:rsidP="00A12DCC">
            <w:pPr>
              <w:jc w:val="right"/>
              <w:rPr>
                <w:rFonts w:eastAsia="Times New Roman" w:cs="Arial"/>
                <w:color w:val="000000"/>
                <w:sz w:val="16"/>
                <w:szCs w:val="16"/>
              </w:rPr>
            </w:pPr>
            <w:r w:rsidRPr="00A12DCC">
              <w:rPr>
                <w:sz w:val="16"/>
                <w:szCs w:val="16"/>
              </w:rPr>
              <w:t>20,273,507,186</w:t>
            </w:r>
          </w:p>
        </w:tc>
        <w:tc>
          <w:tcPr>
            <w:tcW w:w="992" w:type="dxa"/>
          </w:tcPr>
          <w:p w14:paraId="0F026B00" w14:textId="408CBDD9" w:rsidR="00A12DCC" w:rsidRPr="00A12DCC" w:rsidRDefault="00A12DCC" w:rsidP="00A12DCC">
            <w:pPr>
              <w:jc w:val="center"/>
              <w:rPr>
                <w:rFonts w:eastAsia="Times New Roman" w:cs="Arial"/>
                <w:color w:val="000000"/>
                <w:sz w:val="16"/>
                <w:szCs w:val="16"/>
              </w:rPr>
            </w:pPr>
            <w:r w:rsidRPr="00A12DCC">
              <w:rPr>
                <w:sz w:val="16"/>
                <w:szCs w:val="16"/>
              </w:rPr>
              <w:t>88.1%</w:t>
            </w:r>
          </w:p>
        </w:tc>
      </w:tr>
      <w:tr w:rsidR="00A12DCC" w:rsidRPr="0049165D" w14:paraId="6D0C0472" w14:textId="77777777" w:rsidTr="00CA0A37">
        <w:trPr>
          <w:trHeight w:val="20"/>
          <w:jc w:val="center"/>
        </w:trPr>
        <w:tc>
          <w:tcPr>
            <w:tcW w:w="3539" w:type="dxa"/>
            <w:shd w:val="clear" w:color="auto" w:fill="auto"/>
            <w:noWrap/>
            <w:vAlign w:val="center"/>
          </w:tcPr>
          <w:p w14:paraId="63CFA048" w14:textId="5763504B" w:rsidR="00A12DCC" w:rsidRPr="0049165D" w:rsidRDefault="00A12DCC" w:rsidP="00A12DCC">
            <w:pPr>
              <w:jc w:val="left"/>
              <w:rPr>
                <w:rFonts w:eastAsia="Times New Roman" w:cs="Arial"/>
                <w:color w:val="000000"/>
                <w:sz w:val="16"/>
                <w:szCs w:val="16"/>
              </w:rPr>
            </w:pPr>
            <w:r>
              <w:rPr>
                <w:rFonts w:eastAsia="Times New Roman" w:cs="Arial"/>
                <w:color w:val="000000"/>
                <w:sz w:val="16"/>
                <w:szCs w:val="16"/>
              </w:rPr>
              <w:t xml:space="preserve">Financiamientos </w:t>
            </w:r>
          </w:p>
        </w:tc>
        <w:tc>
          <w:tcPr>
            <w:tcW w:w="1418" w:type="dxa"/>
          </w:tcPr>
          <w:p w14:paraId="2F44E138" w14:textId="27BC2666" w:rsidR="00A12DCC" w:rsidRPr="00A12DCC" w:rsidRDefault="00A12DCC" w:rsidP="00A12DCC">
            <w:pPr>
              <w:jc w:val="right"/>
              <w:rPr>
                <w:rFonts w:eastAsia="Times New Roman" w:cs="Arial"/>
                <w:color w:val="000000"/>
                <w:sz w:val="16"/>
                <w:szCs w:val="16"/>
              </w:rPr>
            </w:pPr>
            <w:r w:rsidRPr="00A12DCC">
              <w:rPr>
                <w:sz w:val="16"/>
                <w:szCs w:val="16"/>
              </w:rPr>
              <w:t>333,241,473</w:t>
            </w:r>
          </w:p>
        </w:tc>
        <w:tc>
          <w:tcPr>
            <w:tcW w:w="992" w:type="dxa"/>
          </w:tcPr>
          <w:p w14:paraId="0080ECE0" w14:textId="725C0E7D" w:rsidR="00A12DCC" w:rsidRPr="00A12DCC" w:rsidRDefault="00A12DCC" w:rsidP="00A12DCC">
            <w:pPr>
              <w:jc w:val="center"/>
              <w:rPr>
                <w:rFonts w:eastAsia="Times New Roman" w:cs="Arial"/>
                <w:color w:val="000000"/>
                <w:sz w:val="16"/>
                <w:szCs w:val="16"/>
              </w:rPr>
            </w:pPr>
            <w:r w:rsidRPr="00A12DCC">
              <w:rPr>
                <w:sz w:val="16"/>
                <w:szCs w:val="16"/>
              </w:rPr>
              <w:t>1.5%</w:t>
            </w:r>
          </w:p>
        </w:tc>
      </w:tr>
      <w:tr w:rsidR="00B72E0F" w:rsidRPr="0049165D" w14:paraId="3849BBFE" w14:textId="77777777" w:rsidTr="0051429E">
        <w:trPr>
          <w:trHeight w:val="20"/>
          <w:jc w:val="center"/>
        </w:trPr>
        <w:tc>
          <w:tcPr>
            <w:tcW w:w="3539" w:type="dxa"/>
            <w:shd w:val="clear" w:color="auto" w:fill="auto"/>
            <w:noWrap/>
            <w:vAlign w:val="center"/>
            <w:hideMark/>
          </w:tcPr>
          <w:p w14:paraId="3D3C5D96" w14:textId="77777777" w:rsidR="00B72E0F" w:rsidRPr="0049165D" w:rsidRDefault="00B72E0F" w:rsidP="0051429E">
            <w:pPr>
              <w:jc w:val="center"/>
              <w:rPr>
                <w:rFonts w:eastAsia="Times New Roman" w:cs="Arial"/>
                <w:b/>
                <w:bCs/>
                <w:color w:val="000000"/>
                <w:sz w:val="16"/>
                <w:szCs w:val="16"/>
              </w:rPr>
            </w:pPr>
            <w:r w:rsidRPr="0049165D">
              <w:rPr>
                <w:rFonts w:eastAsia="Times New Roman" w:cs="Arial"/>
                <w:b/>
                <w:bCs/>
                <w:color w:val="000000"/>
                <w:sz w:val="16"/>
                <w:szCs w:val="16"/>
              </w:rPr>
              <w:t>Total</w:t>
            </w:r>
          </w:p>
        </w:tc>
        <w:tc>
          <w:tcPr>
            <w:tcW w:w="1418" w:type="dxa"/>
            <w:vAlign w:val="center"/>
          </w:tcPr>
          <w:p w14:paraId="4FDF23ED" w14:textId="77777777" w:rsidR="00B72E0F" w:rsidRPr="0049165D" w:rsidRDefault="00B72E0F" w:rsidP="0051429E">
            <w:pPr>
              <w:jc w:val="right"/>
              <w:rPr>
                <w:rFonts w:eastAsia="Times New Roman" w:cs="Arial"/>
                <w:b/>
                <w:bCs/>
                <w:color w:val="000000"/>
                <w:sz w:val="16"/>
                <w:szCs w:val="16"/>
              </w:rPr>
            </w:pPr>
            <w:r w:rsidRPr="0049165D">
              <w:rPr>
                <w:rFonts w:eastAsia="Times New Roman" w:cs="Arial"/>
                <w:b/>
                <w:bCs/>
                <w:color w:val="000000"/>
                <w:sz w:val="16"/>
                <w:szCs w:val="16"/>
              </w:rPr>
              <w:t>23,004,130,279</w:t>
            </w:r>
          </w:p>
        </w:tc>
        <w:tc>
          <w:tcPr>
            <w:tcW w:w="992" w:type="dxa"/>
            <w:vAlign w:val="center"/>
          </w:tcPr>
          <w:p w14:paraId="3E720C2C" w14:textId="77777777" w:rsidR="00B72E0F" w:rsidRPr="0049165D" w:rsidRDefault="00B72E0F" w:rsidP="0051429E">
            <w:pPr>
              <w:jc w:val="center"/>
              <w:rPr>
                <w:rFonts w:eastAsia="Times New Roman" w:cs="Arial"/>
                <w:b/>
                <w:bCs/>
                <w:color w:val="000000"/>
                <w:sz w:val="16"/>
                <w:szCs w:val="16"/>
              </w:rPr>
            </w:pPr>
            <w:r w:rsidRPr="0049165D">
              <w:rPr>
                <w:rFonts w:eastAsia="Times New Roman" w:cs="Arial"/>
                <w:b/>
                <w:bCs/>
                <w:color w:val="000000"/>
                <w:sz w:val="16"/>
                <w:szCs w:val="16"/>
              </w:rPr>
              <w:t>100.0%</w:t>
            </w:r>
          </w:p>
        </w:tc>
      </w:tr>
    </w:tbl>
    <w:p w14:paraId="7FBDC81A" w14:textId="77777777" w:rsidR="00B72E0F" w:rsidRPr="0049165D" w:rsidRDefault="00B72E0F" w:rsidP="00B72E0F">
      <w:pPr>
        <w:rPr>
          <w:rFonts w:cs="Arial"/>
        </w:rPr>
      </w:pPr>
    </w:p>
    <w:p w14:paraId="2EB27C91" w14:textId="4474AB81" w:rsidR="00B72E0F" w:rsidRDefault="00B72E0F" w:rsidP="00B72E0F">
      <w:pPr>
        <w:spacing w:after="120"/>
        <w:rPr>
          <w:rFonts w:cs="Arial"/>
        </w:rPr>
      </w:pPr>
      <w:r w:rsidRPr="0049165D">
        <w:rPr>
          <w:rFonts w:cs="Arial"/>
          <w:b/>
        </w:rPr>
        <w:t>Desequilibrio en las Finanzas Públicas del Estado</w:t>
      </w:r>
      <w:r w:rsidRPr="0049165D">
        <w:rPr>
          <w:rFonts w:cs="Arial"/>
          <w:bCs/>
        </w:rPr>
        <w:t>. Después del quebranto financiero del año 2021, en el que se llegó al extremo del impago de los sueldos de las y los trabajadores al servicio del Gobierno del Estado</w:t>
      </w:r>
      <w:r w:rsidRPr="001A0595">
        <w:rPr>
          <w:rFonts w:cs="Arial"/>
          <w:bCs/>
        </w:rPr>
        <w:t>, u</w:t>
      </w:r>
      <w:r w:rsidRPr="001A0595">
        <w:rPr>
          <w:rFonts w:cs="Arial"/>
        </w:rPr>
        <w:t xml:space="preserve">no de los principales retos que enfrenta esta administración es el pago del saldo de la Deuda pública de Largo y Corto Plazo, así como los </w:t>
      </w:r>
      <w:r>
        <w:rPr>
          <w:rFonts w:cs="Arial"/>
        </w:rPr>
        <w:t>adeudos con proveedores heredado</w:t>
      </w:r>
      <w:r w:rsidRPr="001A0595">
        <w:rPr>
          <w:rFonts w:cs="Arial"/>
        </w:rPr>
        <w:t>s de la administración estatal 2016-2021. Esta herencia ha dejado en una di</w:t>
      </w:r>
      <w:r>
        <w:rPr>
          <w:rFonts w:cs="Arial"/>
        </w:rPr>
        <w:t>fícil situación</w:t>
      </w:r>
      <w:r w:rsidRPr="001A0595">
        <w:rPr>
          <w:rFonts w:cs="Arial"/>
        </w:rPr>
        <w:t xml:space="preserve"> las finanzas públicas estatales</w:t>
      </w:r>
      <w:r>
        <w:rPr>
          <w:rFonts w:cs="Arial"/>
        </w:rPr>
        <w:t>, p</w:t>
      </w:r>
      <w:r w:rsidRPr="001A0595">
        <w:rPr>
          <w:rFonts w:cs="Arial"/>
        </w:rPr>
        <w:t>ara lo cual se seguirá impulsando una política de austeridad, para disminuir el costo de operación del aparato gubernamental estatal y con ello poder canalizar recursos al pago de adeudos fiscales anteriores.</w:t>
      </w:r>
      <w:r w:rsidRPr="00491AB8">
        <w:rPr>
          <w:rFonts w:cs="Arial"/>
        </w:rPr>
        <w:t xml:space="preserve"> </w:t>
      </w:r>
    </w:p>
    <w:p w14:paraId="4AE43D4B" w14:textId="77777777" w:rsidR="00B72E0F" w:rsidRDefault="00B72E0F" w:rsidP="00B72E0F">
      <w:pPr>
        <w:spacing w:after="120"/>
        <w:rPr>
          <w:rFonts w:cs="Arial"/>
        </w:rPr>
      </w:pPr>
    </w:p>
    <w:p w14:paraId="0A0E4504" w14:textId="77777777" w:rsidR="003D40E2" w:rsidRPr="00516AFF" w:rsidRDefault="003D40E2" w:rsidP="003D40E2">
      <w:pPr>
        <w:pStyle w:val="Ttulo2"/>
        <w:rPr>
          <w:rFonts w:cs="Arial"/>
        </w:rPr>
      </w:pPr>
      <w:r w:rsidRPr="00516AFF">
        <w:rPr>
          <w:rFonts w:cs="Arial"/>
        </w:rPr>
        <w:t>2.IV. Los resultados de las finanzas públicas que abarquen un periodo de los cinco últimos años y el Ejercicio Fiscal en cuestión, de acuerdo con los formatos que emita el Consejo Nacional de Armonización Contable para este fin.</w:t>
      </w:r>
    </w:p>
    <w:p w14:paraId="607A5A1B" w14:textId="6E8B9E06" w:rsidR="003D40E2" w:rsidRDefault="003D40E2" w:rsidP="003D40E2">
      <w:pPr>
        <w:rPr>
          <w:rFonts w:cs="Arial"/>
          <w:b/>
          <w:bCs/>
        </w:rPr>
      </w:pPr>
    </w:p>
    <w:p w14:paraId="50DFABBA" w14:textId="77777777" w:rsidR="003D40E2" w:rsidRDefault="003D40E2" w:rsidP="00045C85">
      <w:pPr>
        <w:pStyle w:val="Ttulo3"/>
      </w:pPr>
      <w:r w:rsidRPr="00516AFF">
        <w:t>2.IV.A Formato 7c)   Resultados de Ingresos – LDF</w:t>
      </w:r>
    </w:p>
    <w:p w14:paraId="2FCBEA52" w14:textId="1139EC38" w:rsidR="003D40E2" w:rsidRDefault="003D40E2" w:rsidP="003D40E2">
      <w:pPr>
        <w:rPr>
          <w:rFonts w:cs="Arial"/>
          <w:bCs/>
        </w:rPr>
      </w:pPr>
    </w:p>
    <w:tbl>
      <w:tblPr>
        <w:tblW w:w="9493" w:type="dxa"/>
        <w:tblLayout w:type="fixed"/>
        <w:tblCellMar>
          <w:left w:w="28" w:type="dxa"/>
          <w:right w:w="28" w:type="dxa"/>
        </w:tblCellMar>
        <w:tblLook w:val="04A0" w:firstRow="1" w:lastRow="0" w:firstColumn="1" w:lastColumn="0" w:noHBand="0" w:noVBand="1"/>
      </w:tblPr>
      <w:tblGrid>
        <w:gridCol w:w="2830"/>
        <w:gridCol w:w="1134"/>
        <w:gridCol w:w="993"/>
        <w:gridCol w:w="1134"/>
        <w:gridCol w:w="1134"/>
        <w:gridCol w:w="14"/>
        <w:gridCol w:w="876"/>
        <w:gridCol w:w="244"/>
        <w:gridCol w:w="1134"/>
      </w:tblGrid>
      <w:tr w:rsidR="005873E4" w:rsidRPr="003B476C" w14:paraId="348D465A" w14:textId="77777777" w:rsidTr="009E37EE">
        <w:trPr>
          <w:trHeight w:val="20"/>
          <w:tblHeader/>
        </w:trPr>
        <w:tc>
          <w:tcPr>
            <w:tcW w:w="9493" w:type="dxa"/>
            <w:gridSpan w:val="9"/>
            <w:tcBorders>
              <w:top w:val="single" w:sz="4" w:space="0" w:color="auto"/>
              <w:left w:val="single" w:sz="4" w:space="0" w:color="auto"/>
              <w:bottom w:val="nil"/>
              <w:right w:val="single" w:sz="4" w:space="0" w:color="000000"/>
            </w:tcBorders>
            <w:shd w:val="clear" w:color="DDDDDD" w:fill="D9D9D9"/>
            <w:noWrap/>
            <w:vAlign w:val="center"/>
            <w:hideMark/>
          </w:tcPr>
          <w:p w14:paraId="05AC0D77" w14:textId="77777777" w:rsidR="005873E4" w:rsidRPr="003B476C" w:rsidRDefault="005873E4" w:rsidP="005873E4">
            <w:pPr>
              <w:jc w:val="center"/>
              <w:rPr>
                <w:rFonts w:eastAsia="Times New Roman" w:cs="Arial"/>
                <w:b/>
                <w:bCs/>
                <w:color w:val="000000"/>
                <w:sz w:val="14"/>
                <w:szCs w:val="14"/>
              </w:rPr>
            </w:pPr>
            <w:r w:rsidRPr="003B476C">
              <w:rPr>
                <w:rFonts w:eastAsia="Times New Roman" w:cs="Arial"/>
                <w:b/>
                <w:bCs/>
                <w:color w:val="000000"/>
                <w:sz w:val="14"/>
                <w:szCs w:val="14"/>
              </w:rPr>
              <w:t xml:space="preserve">GOBIERNO DEL ESTADO DE COLIMA </w:t>
            </w:r>
          </w:p>
        </w:tc>
      </w:tr>
      <w:tr w:rsidR="005873E4" w:rsidRPr="003B476C" w14:paraId="26586A36" w14:textId="77777777" w:rsidTr="009E37EE">
        <w:trPr>
          <w:trHeight w:val="20"/>
          <w:tblHeader/>
        </w:trPr>
        <w:tc>
          <w:tcPr>
            <w:tcW w:w="9493" w:type="dxa"/>
            <w:gridSpan w:val="9"/>
            <w:tcBorders>
              <w:top w:val="nil"/>
              <w:left w:val="single" w:sz="4" w:space="0" w:color="auto"/>
              <w:bottom w:val="nil"/>
              <w:right w:val="single" w:sz="4" w:space="0" w:color="000000"/>
            </w:tcBorders>
            <w:shd w:val="clear" w:color="DDDDDD" w:fill="D9D9D9"/>
            <w:noWrap/>
            <w:vAlign w:val="center"/>
            <w:hideMark/>
          </w:tcPr>
          <w:p w14:paraId="2AD0C669" w14:textId="77777777" w:rsidR="005873E4" w:rsidRPr="003B476C" w:rsidRDefault="005873E4" w:rsidP="005873E4">
            <w:pPr>
              <w:jc w:val="center"/>
              <w:rPr>
                <w:rFonts w:eastAsia="Times New Roman" w:cs="Arial"/>
                <w:b/>
                <w:bCs/>
                <w:color w:val="000000"/>
                <w:sz w:val="14"/>
                <w:szCs w:val="14"/>
              </w:rPr>
            </w:pPr>
            <w:r w:rsidRPr="003B476C">
              <w:rPr>
                <w:rFonts w:eastAsia="Times New Roman" w:cs="Arial"/>
                <w:b/>
                <w:bCs/>
                <w:color w:val="000000"/>
                <w:sz w:val="14"/>
                <w:szCs w:val="14"/>
              </w:rPr>
              <w:t>Resultados de Ingresos - LDF</w:t>
            </w:r>
          </w:p>
        </w:tc>
      </w:tr>
      <w:tr w:rsidR="005873E4" w:rsidRPr="003B476C" w14:paraId="012AEF59" w14:textId="77777777" w:rsidTr="009E37EE">
        <w:trPr>
          <w:trHeight w:val="20"/>
          <w:tblHeader/>
        </w:trPr>
        <w:tc>
          <w:tcPr>
            <w:tcW w:w="9493" w:type="dxa"/>
            <w:gridSpan w:val="9"/>
            <w:tcBorders>
              <w:top w:val="nil"/>
              <w:left w:val="single" w:sz="4" w:space="0" w:color="auto"/>
              <w:bottom w:val="single" w:sz="4" w:space="0" w:color="auto"/>
              <w:right w:val="single" w:sz="4" w:space="0" w:color="000000"/>
            </w:tcBorders>
            <w:shd w:val="clear" w:color="DDDDDD" w:fill="D9D9D9"/>
            <w:noWrap/>
            <w:vAlign w:val="center"/>
            <w:hideMark/>
          </w:tcPr>
          <w:p w14:paraId="28EF58B5" w14:textId="77777777" w:rsidR="005873E4" w:rsidRPr="003B476C" w:rsidRDefault="005873E4" w:rsidP="005873E4">
            <w:pPr>
              <w:jc w:val="center"/>
              <w:rPr>
                <w:rFonts w:eastAsia="Times New Roman" w:cs="Arial"/>
                <w:b/>
                <w:bCs/>
                <w:color w:val="000000"/>
                <w:sz w:val="14"/>
                <w:szCs w:val="14"/>
              </w:rPr>
            </w:pPr>
            <w:r w:rsidRPr="003B476C">
              <w:rPr>
                <w:rFonts w:eastAsia="Times New Roman" w:cs="Arial"/>
                <w:b/>
                <w:bCs/>
                <w:color w:val="000000"/>
                <w:sz w:val="14"/>
                <w:szCs w:val="14"/>
              </w:rPr>
              <w:t>(PESOS)</w:t>
            </w:r>
          </w:p>
        </w:tc>
      </w:tr>
      <w:tr w:rsidR="005873E4" w:rsidRPr="003B476C" w14:paraId="35F803C5" w14:textId="77777777" w:rsidTr="009E37EE">
        <w:trPr>
          <w:trHeight w:val="20"/>
          <w:tblHeader/>
        </w:trPr>
        <w:tc>
          <w:tcPr>
            <w:tcW w:w="2830" w:type="dxa"/>
            <w:tcBorders>
              <w:top w:val="nil"/>
              <w:left w:val="single" w:sz="4" w:space="0" w:color="auto"/>
              <w:bottom w:val="single" w:sz="4" w:space="0" w:color="auto"/>
              <w:right w:val="single" w:sz="4" w:space="0" w:color="auto"/>
            </w:tcBorders>
            <w:shd w:val="clear" w:color="DDDDDD" w:fill="D9D9D9"/>
            <w:noWrap/>
            <w:vAlign w:val="center"/>
            <w:hideMark/>
          </w:tcPr>
          <w:p w14:paraId="672CE9C5" w14:textId="77777777" w:rsidR="005873E4" w:rsidRPr="003B476C" w:rsidRDefault="005873E4" w:rsidP="005873E4">
            <w:pPr>
              <w:jc w:val="center"/>
              <w:rPr>
                <w:rFonts w:eastAsia="Times New Roman" w:cs="Arial"/>
                <w:b/>
                <w:bCs/>
                <w:color w:val="000000"/>
                <w:sz w:val="14"/>
                <w:szCs w:val="14"/>
              </w:rPr>
            </w:pPr>
            <w:r w:rsidRPr="003B476C">
              <w:rPr>
                <w:rFonts w:eastAsia="Times New Roman" w:cs="Arial"/>
                <w:b/>
                <w:bCs/>
                <w:color w:val="000000"/>
                <w:sz w:val="14"/>
                <w:szCs w:val="14"/>
              </w:rPr>
              <w:t xml:space="preserve">Concepto </w:t>
            </w:r>
          </w:p>
        </w:tc>
        <w:tc>
          <w:tcPr>
            <w:tcW w:w="1134" w:type="dxa"/>
            <w:tcBorders>
              <w:top w:val="nil"/>
              <w:left w:val="nil"/>
              <w:bottom w:val="single" w:sz="4" w:space="0" w:color="auto"/>
              <w:right w:val="single" w:sz="4" w:space="0" w:color="auto"/>
            </w:tcBorders>
            <w:shd w:val="clear" w:color="DDDDDD" w:fill="D9D9D9"/>
            <w:noWrap/>
            <w:vAlign w:val="center"/>
            <w:hideMark/>
          </w:tcPr>
          <w:p w14:paraId="41110C80" w14:textId="77777777" w:rsidR="005873E4" w:rsidRPr="003B476C" w:rsidRDefault="005873E4" w:rsidP="005873E4">
            <w:pPr>
              <w:jc w:val="center"/>
              <w:rPr>
                <w:rFonts w:eastAsia="Times New Roman" w:cs="Arial"/>
                <w:b/>
                <w:bCs/>
                <w:color w:val="000000"/>
                <w:sz w:val="14"/>
                <w:szCs w:val="14"/>
              </w:rPr>
            </w:pPr>
            <w:r w:rsidRPr="003B476C">
              <w:rPr>
                <w:rFonts w:eastAsia="Times New Roman" w:cs="Arial"/>
                <w:b/>
                <w:bCs/>
                <w:color w:val="000000"/>
                <w:sz w:val="14"/>
                <w:szCs w:val="14"/>
              </w:rPr>
              <w:t xml:space="preserve">2019 </w:t>
            </w:r>
            <w:r w:rsidRPr="003B476C">
              <w:rPr>
                <w:rFonts w:eastAsia="Times New Roman" w:cs="Arial"/>
                <w:b/>
                <w:bCs/>
                <w:color w:val="000000"/>
                <w:sz w:val="14"/>
                <w:szCs w:val="14"/>
                <w:vertAlign w:val="superscript"/>
              </w:rPr>
              <w:t>1</w:t>
            </w:r>
          </w:p>
        </w:tc>
        <w:tc>
          <w:tcPr>
            <w:tcW w:w="993" w:type="dxa"/>
            <w:tcBorders>
              <w:top w:val="nil"/>
              <w:left w:val="nil"/>
              <w:bottom w:val="single" w:sz="4" w:space="0" w:color="auto"/>
              <w:right w:val="single" w:sz="4" w:space="0" w:color="auto"/>
            </w:tcBorders>
            <w:shd w:val="clear" w:color="DDDDDD" w:fill="D9D9D9"/>
            <w:noWrap/>
            <w:vAlign w:val="center"/>
            <w:hideMark/>
          </w:tcPr>
          <w:p w14:paraId="461958F3" w14:textId="77777777" w:rsidR="005873E4" w:rsidRPr="003B476C" w:rsidRDefault="005873E4" w:rsidP="005873E4">
            <w:pPr>
              <w:jc w:val="center"/>
              <w:rPr>
                <w:rFonts w:eastAsia="Times New Roman" w:cs="Arial"/>
                <w:b/>
                <w:bCs/>
                <w:color w:val="000000"/>
                <w:sz w:val="14"/>
                <w:szCs w:val="14"/>
              </w:rPr>
            </w:pPr>
            <w:r w:rsidRPr="003B476C">
              <w:rPr>
                <w:rFonts w:eastAsia="Times New Roman" w:cs="Arial"/>
                <w:b/>
                <w:bCs/>
                <w:color w:val="000000"/>
                <w:sz w:val="14"/>
                <w:szCs w:val="14"/>
              </w:rPr>
              <w:t xml:space="preserve">2020 </w:t>
            </w:r>
            <w:r w:rsidRPr="003B476C">
              <w:rPr>
                <w:rFonts w:eastAsia="Times New Roman" w:cs="Arial"/>
                <w:b/>
                <w:bCs/>
                <w:color w:val="000000"/>
                <w:sz w:val="14"/>
                <w:szCs w:val="14"/>
                <w:vertAlign w:val="superscript"/>
              </w:rPr>
              <w:t>1</w:t>
            </w:r>
          </w:p>
        </w:tc>
        <w:tc>
          <w:tcPr>
            <w:tcW w:w="1134" w:type="dxa"/>
            <w:tcBorders>
              <w:top w:val="nil"/>
              <w:left w:val="nil"/>
              <w:bottom w:val="single" w:sz="4" w:space="0" w:color="auto"/>
              <w:right w:val="single" w:sz="4" w:space="0" w:color="auto"/>
            </w:tcBorders>
            <w:shd w:val="clear" w:color="DDDDDD" w:fill="D9D9D9"/>
            <w:noWrap/>
            <w:vAlign w:val="center"/>
            <w:hideMark/>
          </w:tcPr>
          <w:p w14:paraId="557642EF" w14:textId="77777777" w:rsidR="005873E4" w:rsidRPr="003B476C" w:rsidRDefault="005873E4" w:rsidP="005873E4">
            <w:pPr>
              <w:jc w:val="center"/>
              <w:rPr>
                <w:rFonts w:eastAsia="Times New Roman" w:cs="Arial"/>
                <w:b/>
                <w:bCs/>
                <w:color w:val="000000"/>
                <w:sz w:val="14"/>
                <w:szCs w:val="14"/>
              </w:rPr>
            </w:pPr>
            <w:r w:rsidRPr="003B476C">
              <w:rPr>
                <w:rFonts w:eastAsia="Times New Roman" w:cs="Arial"/>
                <w:b/>
                <w:bCs/>
                <w:color w:val="000000"/>
                <w:sz w:val="14"/>
                <w:szCs w:val="14"/>
              </w:rPr>
              <w:t xml:space="preserve">2021 </w:t>
            </w:r>
            <w:r w:rsidRPr="003B476C">
              <w:rPr>
                <w:rFonts w:eastAsia="Times New Roman" w:cs="Arial"/>
                <w:b/>
                <w:bCs/>
                <w:color w:val="000000"/>
                <w:sz w:val="14"/>
                <w:szCs w:val="14"/>
                <w:vertAlign w:val="superscript"/>
              </w:rPr>
              <w:t>1</w:t>
            </w:r>
          </w:p>
        </w:tc>
        <w:tc>
          <w:tcPr>
            <w:tcW w:w="1134" w:type="dxa"/>
            <w:tcBorders>
              <w:top w:val="nil"/>
              <w:left w:val="nil"/>
              <w:bottom w:val="single" w:sz="4" w:space="0" w:color="auto"/>
              <w:right w:val="single" w:sz="4" w:space="0" w:color="auto"/>
            </w:tcBorders>
            <w:shd w:val="clear" w:color="DDDDDD" w:fill="D9D9D9"/>
            <w:noWrap/>
            <w:vAlign w:val="center"/>
            <w:hideMark/>
          </w:tcPr>
          <w:p w14:paraId="34F2B0CD" w14:textId="77777777" w:rsidR="005873E4" w:rsidRPr="003B476C" w:rsidRDefault="005873E4" w:rsidP="005873E4">
            <w:pPr>
              <w:jc w:val="center"/>
              <w:rPr>
                <w:rFonts w:eastAsia="Times New Roman" w:cs="Arial"/>
                <w:b/>
                <w:bCs/>
                <w:color w:val="000000"/>
                <w:sz w:val="14"/>
                <w:szCs w:val="14"/>
              </w:rPr>
            </w:pPr>
            <w:r w:rsidRPr="003B476C">
              <w:rPr>
                <w:rFonts w:eastAsia="Times New Roman" w:cs="Arial"/>
                <w:b/>
                <w:bCs/>
                <w:color w:val="000000"/>
                <w:sz w:val="14"/>
                <w:szCs w:val="14"/>
              </w:rPr>
              <w:t xml:space="preserve">2022 </w:t>
            </w:r>
            <w:r w:rsidRPr="003B476C">
              <w:rPr>
                <w:rFonts w:eastAsia="Times New Roman" w:cs="Arial"/>
                <w:b/>
                <w:bCs/>
                <w:color w:val="000000"/>
                <w:sz w:val="14"/>
                <w:szCs w:val="14"/>
                <w:vertAlign w:val="superscript"/>
              </w:rPr>
              <w:t>1</w:t>
            </w:r>
          </w:p>
        </w:tc>
        <w:tc>
          <w:tcPr>
            <w:tcW w:w="1134" w:type="dxa"/>
            <w:gridSpan w:val="3"/>
            <w:tcBorders>
              <w:top w:val="nil"/>
              <w:left w:val="nil"/>
              <w:bottom w:val="single" w:sz="4" w:space="0" w:color="auto"/>
              <w:right w:val="single" w:sz="4" w:space="0" w:color="auto"/>
            </w:tcBorders>
            <w:shd w:val="clear" w:color="DDDDDD" w:fill="D9D9D9"/>
            <w:noWrap/>
            <w:vAlign w:val="center"/>
            <w:hideMark/>
          </w:tcPr>
          <w:p w14:paraId="5D758A7A" w14:textId="77777777" w:rsidR="005873E4" w:rsidRPr="003B476C" w:rsidRDefault="005873E4" w:rsidP="005873E4">
            <w:pPr>
              <w:jc w:val="center"/>
              <w:rPr>
                <w:rFonts w:eastAsia="Times New Roman" w:cs="Arial"/>
                <w:b/>
                <w:bCs/>
                <w:color w:val="000000"/>
                <w:sz w:val="14"/>
                <w:szCs w:val="14"/>
              </w:rPr>
            </w:pPr>
            <w:r w:rsidRPr="003B476C">
              <w:rPr>
                <w:rFonts w:eastAsia="Times New Roman" w:cs="Arial"/>
                <w:b/>
                <w:bCs/>
                <w:color w:val="000000"/>
                <w:sz w:val="14"/>
                <w:szCs w:val="14"/>
              </w:rPr>
              <w:t xml:space="preserve">2023 </w:t>
            </w:r>
            <w:r w:rsidRPr="003B476C">
              <w:rPr>
                <w:rFonts w:eastAsia="Times New Roman" w:cs="Arial"/>
                <w:b/>
                <w:bCs/>
                <w:color w:val="000000"/>
                <w:sz w:val="14"/>
                <w:szCs w:val="14"/>
                <w:vertAlign w:val="superscript"/>
              </w:rPr>
              <w:t>1</w:t>
            </w:r>
          </w:p>
        </w:tc>
        <w:tc>
          <w:tcPr>
            <w:tcW w:w="1134" w:type="dxa"/>
            <w:tcBorders>
              <w:top w:val="nil"/>
              <w:left w:val="nil"/>
              <w:bottom w:val="single" w:sz="4" w:space="0" w:color="auto"/>
              <w:right w:val="single" w:sz="4" w:space="0" w:color="auto"/>
            </w:tcBorders>
            <w:shd w:val="clear" w:color="DDDDDD" w:fill="D9D9D9"/>
            <w:noWrap/>
            <w:vAlign w:val="center"/>
            <w:hideMark/>
          </w:tcPr>
          <w:p w14:paraId="014E5AA4" w14:textId="77777777" w:rsidR="005873E4" w:rsidRPr="003B476C" w:rsidRDefault="005873E4" w:rsidP="005873E4">
            <w:pPr>
              <w:jc w:val="center"/>
              <w:rPr>
                <w:rFonts w:eastAsia="Times New Roman" w:cs="Arial"/>
                <w:b/>
                <w:bCs/>
                <w:color w:val="000000"/>
                <w:sz w:val="14"/>
                <w:szCs w:val="14"/>
              </w:rPr>
            </w:pPr>
            <w:r w:rsidRPr="003B476C">
              <w:rPr>
                <w:rFonts w:eastAsia="Times New Roman" w:cs="Arial"/>
                <w:b/>
                <w:bCs/>
                <w:color w:val="000000"/>
                <w:sz w:val="14"/>
                <w:szCs w:val="14"/>
              </w:rPr>
              <w:t>2024</w:t>
            </w:r>
            <w:r w:rsidRPr="003B476C">
              <w:rPr>
                <w:rFonts w:ascii="Calibri" w:eastAsia="Times New Roman" w:hAnsi="Calibri" w:cs="Calibri"/>
                <w:b/>
                <w:bCs/>
                <w:color w:val="000000"/>
                <w:sz w:val="14"/>
                <w:szCs w:val="14"/>
              </w:rPr>
              <w:t>²</w:t>
            </w:r>
          </w:p>
        </w:tc>
      </w:tr>
      <w:tr w:rsidR="005873E4" w:rsidRPr="003B476C" w14:paraId="4F5B62F2"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4452D1BB" w14:textId="77777777" w:rsidR="005873E4" w:rsidRPr="003B476C" w:rsidRDefault="005873E4" w:rsidP="005873E4">
            <w:pPr>
              <w:jc w:val="left"/>
              <w:rPr>
                <w:rFonts w:eastAsia="Times New Roman" w:cs="Arial"/>
                <w:b/>
                <w:bCs/>
                <w:color w:val="000000"/>
                <w:sz w:val="14"/>
                <w:szCs w:val="14"/>
              </w:rPr>
            </w:pPr>
            <w:r w:rsidRPr="003B476C">
              <w:rPr>
                <w:rFonts w:eastAsia="Times New Roman" w:cs="Arial"/>
                <w:b/>
                <w:bCs/>
                <w:color w:val="000000"/>
                <w:sz w:val="14"/>
                <w:szCs w:val="14"/>
              </w:rPr>
              <w:t>1.  Ingresos de Libre Disposición</w:t>
            </w:r>
          </w:p>
        </w:tc>
        <w:tc>
          <w:tcPr>
            <w:tcW w:w="1134" w:type="dxa"/>
            <w:tcBorders>
              <w:top w:val="nil"/>
              <w:left w:val="nil"/>
              <w:bottom w:val="nil"/>
              <w:right w:val="single" w:sz="4" w:space="0" w:color="auto"/>
            </w:tcBorders>
            <w:shd w:val="clear" w:color="FFFFCC" w:fill="FFFFFF"/>
            <w:vAlign w:val="center"/>
            <w:hideMark/>
          </w:tcPr>
          <w:p w14:paraId="3844CA87"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8,161,576,402</w:t>
            </w:r>
          </w:p>
        </w:tc>
        <w:tc>
          <w:tcPr>
            <w:tcW w:w="993" w:type="dxa"/>
            <w:tcBorders>
              <w:top w:val="nil"/>
              <w:left w:val="nil"/>
              <w:bottom w:val="nil"/>
              <w:right w:val="single" w:sz="4" w:space="0" w:color="auto"/>
            </w:tcBorders>
            <w:shd w:val="clear" w:color="FFFFCC" w:fill="FFFFFF"/>
            <w:vAlign w:val="center"/>
            <w:hideMark/>
          </w:tcPr>
          <w:p w14:paraId="421A5D7B"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8,549,824,783</w:t>
            </w:r>
          </w:p>
        </w:tc>
        <w:tc>
          <w:tcPr>
            <w:tcW w:w="1134" w:type="dxa"/>
            <w:tcBorders>
              <w:top w:val="nil"/>
              <w:left w:val="nil"/>
              <w:bottom w:val="nil"/>
              <w:right w:val="single" w:sz="4" w:space="0" w:color="auto"/>
            </w:tcBorders>
            <w:shd w:val="clear" w:color="FFFFCC" w:fill="FFFFFF"/>
            <w:vAlign w:val="center"/>
            <w:hideMark/>
          </w:tcPr>
          <w:p w14:paraId="0881199E"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7,804,443,081</w:t>
            </w:r>
          </w:p>
        </w:tc>
        <w:tc>
          <w:tcPr>
            <w:tcW w:w="1134" w:type="dxa"/>
            <w:tcBorders>
              <w:top w:val="nil"/>
              <w:left w:val="nil"/>
              <w:bottom w:val="nil"/>
              <w:right w:val="single" w:sz="4" w:space="0" w:color="auto"/>
            </w:tcBorders>
            <w:shd w:val="clear" w:color="FFFFCC" w:fill="FFFFFF"/>
            <w:vAlign w:val="center"/>
            <w:hideMark/>
          </w:tcPr>
          <w:p w14:paraId="5BC08562"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8,621,520,651</w:t>
            </w:r>
          </w:p>
        </w:tc>
        <w:tc>
          <w:tcPr>
            <w:tcW w:w="1134" w:type="dxa"/>
            <w:gridSpan w:val="3"/>
            <w:tcBorders>
              <w:top w:val="nil"/>
              <w:left w:val="nil"/>
              <w:bottom w:val="nil"/>
              <w:right w:val="single" w:sz="4" w:space="0" w:color="auto"/>
            </w:tcBorders>
            <w:shd w:val="clear" w:color="FFFFCC" w:fill="FFFFFF"/>
            <w:vAlign w:val="center"/>
            <w:hideMark/>
          </w:tcPr>
          <w:p w14:paraId="03C9E948"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8,963,014,621</w:t>
            </w:r>
          </w:p>
        </w:tc>
        <w:tc>
          <w:tcPr>
            <w:tcW w:w="1134" w:type="dxa"/>
            <w:tcBorders>
              <w:top w:val="nil"/>
              <w:left w:val="nil"/>
              <w:bottom w:val="nil"/>
              <w:right w:val="single" w:sz="4" w:space="0" w:color="auto"/>
            </w:tcBorders>
            <w:shd w:val="clear" w:color="FFFFCC" w:fill="FFFFFF"/>
            <w:vAlign w:val="center"/>
            <w:hideMark/>
          </w:tcPr>
          <w:p w14:paraId="7407191D"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9,593,829,919</w:t>
            </w:r>
          </w:p>
        </w:tc>
      </w:tr>
      <w:tr w:rsidR="005873E4" w:rsidRPr="003B476C" w14:paraId="2C723023"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7FEFD007" w14:textId="77777777" w:rsidR="005873E4" w:rsidRPr="003B476C" w:rsidRDefault="005873E4" w:rsidP="005873E4">
            <w:pPr>
              <w:ind w:firstLineChars="100" w:firstLine="140"/>
              <w:jc w:val="left"/>
              <w:rPr>
                <w:rFonts w:eastAsia="Times New Roman" w:cs="Arial"/>
                <w:color w:val="000000"/>
                <w:sz w:val="14"/>
                <w:szCs w:val="14"/>
              </w:rPr>
            </w:pPr>
            <w:r w:rsidRPr="003B476C">
              <w:rPr>
                <w:rFonts w:eastAsia="Times New Roman" w:cs="Arial"/>
                <w:color w:val="000000"/>
                <w:sz w:val="14"/>
                <w:szCs w:val="14"/>
              </w:rPr>
              <w:t>A. Impuestos</w:t>
            </w:r>
          </w:p>
        </w:tc>
        <w:tc>
          <w:tcPr>
            <w:tcW w:w="1134" w:type="dxa"/>
            <w:tcBorders>
              <w:top w:val="nil"/>
              <w:left w:val="nil"/>
              <w:bottom w:val="nil"/>
              <w:right w:val="single" w:sz="4" w:space="0" w:color="auto"/>
            </w:tcBorders>
            <w:shd w:val="clear" w:color="FFFFCC" w:fill="FFFFFF"/>
            <w:vAlign w:val="center"/>
            <w:hideMark/>
          </w:tcPr>
          <w:p w14:paraId="2E0C8EE3"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841,381,782</w:t>
            </w:r>
          </w:p>
        </w:tc>
        <w:tc>
          <w:tcPr>
            <w:tcW w:w="993" w:type="dxa"/>
            <w:tcBorders>
              <w:top w:val="nil"/>
              <w:left w:val="nil"/>
              <w:bottom w:val="nil"/>
              <w:right w:val="single" w:sz="4" w:space="0" w:color="auto"/>
            </w:tcBorders>
            <w:shd w:val="clear" w:color="FFFFCC" w:fill="FFFFFF"/>
            <w:vAlign w:val="center"/>
            <w:hideMark/>
          </w:tcPr>
          <w:p w14:paraId="32D25523"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768,394,598</w:t>
            </w:r>
          </w:p>
        </w:tc>
        <w:tc>
          <w:tcPr>
            <w:tcW w:w="1134" w:type="dxa"/>
            <w:tcBorders>
              <w:top w:val="nil"/>
              <w:left w:val="nil"/>
              <w:bottom w:val="nil"/>
              <w:right w:val="single" w:sz="4" w:space="0" w:color="auto"/>
            </w:tcBorders>
            <w:shd w:val="clear" w:color="FFFFCC" w:fill="FFFFFF"/>
            <w:vAlign w:val="center"/>
            <w:hideMark/>
          </w:tcPr>
          <w:p w14:paraId="4A18DBCF"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901,163,800</w:t>
            </w:r>
          </w:p>
        </w:tc>
        <w:tc>
          <w:tcPr>
            <w:tcW w:w="1134" w:type="dxa"/>
            <w:tcBorders>
              <w:top w:val="nil"/>
              <w:left w:val="nil"/>
              <w:bottom w:val="nil"/>
              <w:right w:val="single" w:sz="4" w:space="0" w:color="auto"/>
            </w:tcBorders>
            <w:shd w:val="clear" w:color="FFFFCC" w:fill="FFFFFF"/>
            <w:vAlign w:val="center"/>
            <w:hideMark/>
          </w:tcPr>
          <w:p w14:paraId="36B5619A"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990,528,306</w:t>
            </w:r>
          </w:p>
        </w:tc>
        <w:tc>
          <w:tcPr>
            <w:tcW w:w="1134" w:type="dxa"/>
            <w:gridSpan w:val="3"/>
            <w:tcBorders>
              <w:top w:val="nil"/>
              <w:left w:val="nil"/>
              <w:bottom w:val="nil"/>
              <w:right w:val="single" w:sz="4" w:space="0" w:color="auto"/>
            </w:tcBorders>
            <w:shd w:val="clear" w:color="FFFFCC" w:fill="FFFFFF"/>
            <w:vAlign w:val="center"/>
            <w:hideMark/>
          </w:tcPr>
          <w:p w14:paraId="676E1CC5"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1,112,448,725</w:t>
            </w:r>
          </w:p>
        </w:tc>
        <w:tc>
          <w:tcPr>
            <w:tcW w:w="1134" w:type="dxa"/>
            <w:tcBorders>
              <w:top w:val="nil"/>
              <w:left w:val="nil"/>
              <w:bottom w:val="nil"/>
              <w:right w:val="single" w:sz="4" w:space="0" w:color="auto"/>
            </w:tcBorders>
            <w:shd w:val="clear" w:color="FFFFCC" w:fill="FFFFFF"/>
            <w:vAlign w:val="center"/>
            <w:hideMark/>
          </w:tcPr>
          <w:p w14:paraId="0652AAE1"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1,269,139,096</w:t>
            </w:r>
          </w:p>
        </w:tc>
      </w:tr>
      <w:tr w:rsidR="005873E4" w:rsidRPr="003B476C" w14:paraId="4F459E21"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33AD839C" w14:textId="77777777" w:rsidR="005873E4" w:rsidRPr="003B476C" w:rsidRDefault="005873E4" w:rsidP="005873E4">
            <w:pPr>
              <w:ind w:firstLineChars="100" w:firstLine="140"/>
              <w:jc w:val="left"/>
              <w:rPr>
                <w:rFonts w:eastAsia="Times New Roman" w:cs="Arial"/>
                <w:color w:val="000000"/>
                <w:sz w:val="14"/>
                <w:szCs w:val="14"/>
              </w:rPr>
            </w:pPr>
            <w:r w:rsidRPr="003B476C">
              <w:rPr>
                <w:rFonts w:eastAsia="Times New Roman" w:cs="Arial"/>
                <w:color w:val="000000"/>
                <w:sz w:val="14"/>
                <w:szCs w:val="14"/>
              </w:rPr>
              <w:t>B. Cuotas y Aportaciones de Seguridad Social</w:t>
            </w:r>
          </w:p>
        </w:tc>
        <w:tc>
          <w:tcPr>
            <w:tcW w:w="1134" w:type="dxa"/>
            <w:tcBorders>
              <w:top w:val="nil"/>
              <w:left w:val="nil"/>
              <w:bottom w:val="nil"/>
              <w:right w:val="single" w:sz="4" w:space="0" w:color="auto"/>
            </w:tcBorders>
            <w:shd w:val="clear" w:color="FFFFCC" w:fill="FFFFFF"/>
            <w:vAlign w:val="center"/>
            <w:hideMark/>
          </w:tcPr>
          <w:p w14:paraId="229EC9CC"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993" w:type="dxa"/>
            <w:tcBorders>
              <w:top w:val="nil"/>
              <w:left w:val="nil"/>
              <w:bottom w:val="nil"/>
              <w:right w:val="single" w:sz="4" w:space="0" w:color="auto"/>
            </w:tcBorders>
            <w:shd w:val="clear" w:color="FFFFCC" w:fill="FFFFFF"/>
            <w:vAlign w:val="center"/>
            <w:hideMark/>
          </w:tcPr>
          <w:p w14:paraId="40B04D95"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FFFFCC" w:fill="FFFFFF"/>
            <w:vAlign w:val="center"/>
            <w:hideMark/>
          </w:tcPr>
          <w:p w14:paraId="469D28FE"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FFFFCC" w:fill="FFFFFF"/>
            <w:vAlign w:val="center"/>
            <w:hideMark/>
          </w:tcPr>
          <w:p w14:paraId="163A6647"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gridSpan w:val="3"/>
            <w:tcBorders>
              <w:top w:val="nil"/>
              <w:left w:val="nil"/>
              <w:bottom w:val="nil"/>
              <w:right w:val="single" w:sz="4" w:space="0" w:color="auto"/>
            </w:tcBorders>
            <w:shd w:val="clear" w:color="FFFFCC" w:fill="FFFFFF"/>
            <w:vAlign w:val="center"/>
            <w:hideMark/>
          </w:tcPr>
          <w:p w14:paraId="597268A4"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FFFFCC" w:fill="FFFFFF"/>
            <w:vAlign w:val="center"/>
            <w:hideMark/>
          </w:tcPr>
          <w:p w14:paraId="152533EC"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r>
      <w:tr w:rsidR="005873E4" w:rsidRPr="003B476C" w14:paraId="7AADF869"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3CD03713" w14:textId="77777777" w:rsidR="005873E4" w:rsidRPr="003B476C" w:rsidRDefault="005873E4" w:rsidP="005873E4">
            <w:pPr>
              <w:ind w:firstLineChars="100" w:firstLine="140"/>
              <w:jc w:val="left"/>
              <w:rPr>
                <w:rFonts w:eastAsia="Times New Roman" w:cs="Arial"/>
                <w:color w:val="000000"/>
                <w:sz w:val="14"/>
                <w:szCs w:val="14"/>
              </w:rPr>
            </w:pPr>
            <w:r w:rsidRPr="003B476C">
              <w:rPr>
                <w:rFonts w:eastAsia="Times New Roman" w:cs="Arial"/>
                <w:color w:val="000000"/>
                <w:sz w:val="14"/>
                <w:szCs w:val="14"/>
              </w:rPr>
              <w:t>C. Contribuciones de Mejoras</w:t>
            </w:r>
          </w:p>
        </w:tc>
        <w:tc>
          <w:tcPr>
            <w:tcW w:w="1134" w:type="dxa"/>
            <w:tcBorders>
              <w:top w:val="nil"/>
              <w:left w:val="nil"/>
              <w:bottom w:val="nil"/>
              <w:right w:val="single" w:sz="4" w:space="0" w:color="auto"/>
            </w:tcBorders>
            <w:shd w:val="clear" w:color="FFFFCC" w:fill="FFFFFF"/>
            <w:vAlign w:val="center"/>
            <w:hideMark/>
          </w:tcPr>
          <w:p w14:paraId="1ADD9AA3"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993" w:type="dxa"/>
            <w:tcBorders>
              <w:top w:val="nil"/>
              <w:left w:val="nil"/>
              <w:bottom w:val="nil"/>
              <w:right w:val="single" w:sz="4" w:space="0" w:color="auto"/>
            </w:tcBorders>
            <w:shd w:val="clear" w:color="FFFFCC" w:fill="FFFFFF"/>
            <w:vAlign w:val="center"/>
            <w:hideMark/>
          </w:tcPr>
          <w:p w14:paraId="428224AC"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FFFFCC" w:fill="FFFFFF"/>
            <w:vAlign w:val="center"/>
            <w:hideMark/>
          </w:tcPr>
          <w:p w14:paraId="15C5C2F0"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FFFFCC" w:fill="FFFFFF"/>
            <w:vAlign w:val="center"/>
            <w:hideMark/>
          </w:tcPr>
          <w:p w14:paraId="5ED42C9B"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gridSpan w:val="3"/>
            <w:tcBorders>
              <w:top w:val="nil"/>
              <w:left w:val="nil"/>
              <w:bottom w:val="nil"/>
              <w:right w:val="single" w:sz="4" w:space="0" w:color="auto"/>
            </w:tcBorders>
            <w:shd w:val="clear" w:color="FFFFCC" w:fill="FFFFFF"/>
            <w:vAlign w:val="center"/>
            <w:hideMark/>
          </w:tcPr>
          <w:p w14:paraId="0CC011B9"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FFFFCC" w:fill="FFFFFF"/>
            <w:vAlign w:val="center"/>
            <w:hideMark/>
          </w:tcPr>
          <w:p w14:paraId="3F74B0C3"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r>
      <w:tr w:rsidR="005873E4" w:rsidRPr="003B476C" w14:paraId="16865ABC"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7F1FD099" w14:textId="77777777" w:rsidR="005873E4" w:rsidRPr="003B476C" w:rsidRDefault="005873E4" w:rsidP="005873E4">
            <w:pPr>
              <w:ind w:firstLineChars="100" w:firstLine="140"/>
              <w:jc w:val="left"/>
              <w:rPr>
                <w:rFonts w:eastAsia="Times New Roman" w:cs="Arial"/>
                <w:color w:val="000000"/>
                <w:sz w:val="14"/>
                <w:szCs w:val="14"/>
              </w:rPr>
            </w:pPr>
            <w:r w:rsidRPr="003B476C">
              <w:rPr>
                <w:rFonts w:eastAsia="Times New Roman" w:cs="Arial"/>
                <w:color w:val="000000"/>
                <w:sz w:val="14"/>
                <w:szCs w:val="14"/>
              </w:rPr>
              <w:t>D. Derechos</w:t>
            </w:r>
          </w:p>
        </w:tc>
        <w:tc>
          <w:tcPr>
            <w:tcW w:w="1134" w:type="dxa"/>
            <w:tcBorders>
              <w:top w:val="nil"/>
              <w:left w:val="nil"/>
              <w:bottom w:val="nil"/>
              <w:right w:val="single" w:sz="4" w:space="0" w:color="auto"/>
            </w:tcBorders>
            <w:shd w:val="clear" w:color="FFFFCC" w:fill="FFFFFF"/>
            <w:vAlign w:val="center"/>
            <w:hideMark/>
          </w:tcPr>
          <w:p w14:paraId="0292728D"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401,324,225</w:t>
            </w:r>
          </w:p>
        </w:tc>
        <w:tc>
          <w:tcPr>
            <w:tcW w:w="993" w:type="dxa"/>
            <w:tcBorders>
              <w:top w:val="nil"/>
              <w:left w:val="nil"/>
              <w:bottom w:val="nil"/>
              <w:right w:val="single" w:sz="4" w:space="0" w:color="auto"/>
            </w:tcBorders>
            <w:shd w:val="clear" w:color="FFFFCC" w:fill="FFFFFF"/>
            <w:vAlign w:val="center"/>
            <w:hideMark/>
          </w:tcPr>
          <w:p w14:paraId="47412D2A"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340,524,031</w:t>
            </w:r>
          </w:p>
        </w:tc>
        <w:tc>
          <w:tcPr>
            <w:tcW w:w="1134" w:type="dxa"/>
            <w:tcBorders>
              <w:top w:val="nil"/>
              <w:left w:val="nil"/>
              <w:bottom w:val="nil"/>
              <w:right w:val="single" w:sz="4" w:space="0" w:color="auto"/>
            </w:tcBorders>
            <w:shd w:val="clear" w:color="FFFFCC" w:fill="FFFFFF"/>
            <w:vAlign w:val="center"/>
            <w:hideMark/>
          </w:tcPr>
          <w:p w14:paraId="2A6E88F7"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466,711,549</w:t>
            </w:r>
          </w:p>
        </w:tc>
        <w:tc>
          <w:tcPr>
            <w:tcW w:w="1134" w:type="dxa"/>
            <w:tcBorders>
              <w:top w:val="nil"/>
              <w:left w:val="nil"/>
              <w:bottom w:val="nil"/>
              <w:right w:val="single" w:sz="4" w:space="0" w:color="auto"/>
            </w:tcBorders>
            <w:shd w:val="clear" w:color="FFFFCC" w:fill="FFFFFF"/>
            <w:vAlign w:val="center"/>
            <w:hideMark/>
          </w:tcPr>
          <w:p w14:paraId="6D893B01"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478,739,617</w:t>
            </w:r>
          </w:p>
        </w:tc>
        <w:tc>
          <w:tcPr>
            <w:tcW w:w="1134" w:type="dxa"/>
            <w:gridSpan w:val="3"/>
            <w:tcBorders>
              <w:top w:val="nil"/>
              <w:left w:val="nil"/>
              <w:bottom w:val="nil"/>
              <w:right w:val="single" w:sz="4" w:space="0" w:color="auto"/>
            </w:tcBorders>
            <w:shd w:val="clear" w:color="FFFFCC" w:fill="FFFFFF"/>
            <w:vAlign w:val="center"/>
            <w:hideMark/>
          </w:tcPr>
          <w:p w14:paraId="44A975F2"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524,506,897</w:t>
            </w:r>
          </w:p>
        </w:tc>
        <w:tc>
          <w:tcPr>
            <w:tcW w:w="1134" w:type="dxa"/>
            <w:tcBorders>
              <w:top w:val="nil"/>
              <w:left w:val="nil"/>
              <w:bottom w:val="nil"/>
              <w:right w:val="single" w:sz="4" w:space="0" w:color="auto"/>
            </w:tcBorders>
            <w:shd w:val="clear" w:color="FFFFCC" w:fill="FFFFFF"/>
            <w:vAlign w:val="center"/>
            <w:hideMark/>
          </w:tcPr>
          <w:p w14:paraId="341EA400"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567,186,695</w:t>
            </w:r>
          </w:p>
        </w:tc>
      </w:tr>
      <w:tr w:rsidR="005873E4" w:rsidRPr="003B476C" w14:paraId="79795A31"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3B53A3C2" w14:textId="77777777" w:rsidR="005873E4" w:rsidRPr="003B476C" w:rsidRDefault="005873E4" w:rsidP="005873E4">
            <w:pPr>
              <w:ind w:firstLineChars="100" w:firstLine="140"/>
              <w:jc w:val="left"/>
              <w:rPr>
                <w:rFonts w:eastAsia="Times New Roman" w:cs="Arial"/>
                <w:color w:val="000000"/>
                <w:sz w:val="14"/>
                <w:szCs w:val="14"/>
              </w:rPr>
            </w:pPr>
            <w:r w:rsidRPr="003B476C">
              <w:rPr>
                <w:rFonts w:eastAsia="Times New Roman" w:cs="Arial"/>
                <w:color w:val="000000"/>
                <w:sz w:val="14"/>
                <w:szCs w:val="14"/>
              </w:rPr>
              <w:t>E. Productos</w:t>
            </w:r>
          </w:p>
        </w:tc>
        <w:tc>
          <w:tcPr>
            <w:tcW w:w="1134" w:type="dxa"/>
            <w:tcBorders>
              <w:top w:val="nil"/>
              <w:left w:val="nil"/>
              <w:bottom w:val="nil"/>
              <w:right w:val="single" w:sz="4" w:space="0" w:color="auto"/>
            </w:tcBorders>
            <w:shd w:val="clear" w:color="FFFFCC" w:fill="FFFFFF"/>
            <w:vAlign w:val="center"/>
            <w:hideMark/>
          </w:tcPr>
          <w:p w14:paraId="12BE0B91"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12,925,601</w:t>
            </w:r>
          </w:p>
        </w:tc>
        <w:tc>
          <w:tcPr>
            <w:tcW w:w="993" w:type="dxa"/>
            <w:tcBorders>
              <w:top w:val="nil"/>
              <w:left w:val="nil"/>
              <w:bottom w:val="nil"/>
              <w:right w:val="single" w:sz="4" w:space="0" w:color="auto"/>
            </w:tcBorders>
            <w:shd w:val="clear" w:color="FFFFCC" w:fill="FFFFFF"/>
            <w:vAlign w:val="center"/>
            <w:hideMark/>
          </w:tcPr>
          <w:p w14:paraId="1FCE7519"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7,451,505</w:t>
            </w:r>
          </w:p>
        </w:tc>
        <w:tc>
          <w:tcPr>
            <w:tcW w:w="1134" w:type="dxa"/>
            <w:tcBorders>
              <w:top w:val="nil"/>
              <w:left w:val="nil"/>
              <w:bottom w:val="nil"/>
              <w:right w:val="single" w:sz="4" w:space="0" w:color="auto"/>
            </w:tcBorders>
            <w:shd w:val="clear" w:color="FFFFCC" w:fill="FFFFFF"/>
            <w:vAlign w:val="center"/>
            <w:hideMark/>
          </w:tcPr>
          <w:p w14:paraId="4E6EF521"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10,103,077</w:t>
            </w:r>
          </w:p>
        </w:tc>
        <w:tc>
          <w:tcPr>
            <w:tcW w:w="1134" w:type="dxa"/>
            <w:tcBorders>
              <w:top w:val="nil"/>
              <w:left w:val="nil"/>
              <w:bottom w:val="nil"/>
              <w:right w:val="single" w:sz="4" w:space="0" w:color="auto"/>
            </w:tcBorders>
            <w:shd w:val="clear" w:color="FFFFCC" w:fill="FFFFFF"/>
            <w:vAlign w:val="center"/>
            <w:hideMark/>
          </w:tcPr>
          <w:p w14:paraId="11BEE3E9"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20,625,024</w:t>
            </w:r>
          </w:p>
        </w:tc>
        <w:tc>
          <w:tcPr>
            <w:tcW w:w="1134" w:type="dxa"/>
            <w:gridSpan w:val="3"/>
            <w:tcBorders>
              <w:top w:val="nil"/>
              <w:left w:val="nil"/>
              <w:bottom w:val="nil"/>
              <w:right w:val="single" w:sz="4" w:space="0" w:color="auto"/>
            </w:tcBorders>
            <w:shd w:val="clear" w:color="FFFFCC" w:fill="FFFFFF"/>
            <w:vAlign w:val="center"/>
            <w:hideMark/>
          </w:tcPr>
          <w:p w14:paraId="633A0ADA"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51,069,067</w:t>
            </w:r>
          </w:p>
        </w:tc>
        <w:tc>
          <w:tcPr>
            <w:tcW w:w="1134" w:type="dxa"/>
            <w:tcBorders>
              <w:top w:val="nil"/>
              <w:left w:val="nil"/>
              <w:bottom w:val="nil"/>
              <w:right w:val="single" w:sz="4" w:space="0" w:color="auto"/>
            </w:tcBorders>
            <w:shd w:val="clear" w:color="FFFFCC" w:fill="FFFFFF"/>
            <w:vAlign w:val="center"/>
            <w:hideMark/>
          </w:tcPr>
          <w:p w14:paraId="44BF49A7"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49,441,261</w:t>
            </w:r>
          </w:p>
        </w:tc>
      </w:tr>
      <w:tr w:rsidR="005873E4" w:rsidRPr="003B476C" w14:paraId="65848003" w14:textId="77777777" w:rsidTr="009E37EE">
        <w:trPr>
          <w:trHeight w:val="20"/>
        </w:trPr>
        <w:tc>
          <w:tcPr>
            <w:tcW w:w="2830" w:type="dxa"/>
            <w:tcBorders>
              <w:top w:val="nil"/>
              <w:left w:val="single" w:sz="4" w:space="0" w:color="auto"/>
              <w:bottom w:val="nil"/>
              <w:right w:val="single" w:sz="4" w:space="0" w:color="auto"/>
            </w:tcBorders>
            <w:shd w:val="clear" w:color="auto" w:fill="auto"/>
            <w:vAlign w:val="center"/>
            <w:hideMark/>
          </w:tcPr>
          <w:p w14:paraId="3F85F16D" w14:textId="77777777" w:rsidR="005873E4" w:rsidRPr="003B476C" w:rsidRDefault="005873E4" w:rsidP="005873E4">
            <w:pPr>
              <w:ind w:firstLineChars="100" w:firstLine="140"/>
              <w:jc w:val="left"/>
              <w:rPr>
                <w:rFonts w:eastAsia="Times New Roman" w:cs="Arial"/>
                <w:color w:val="000000"/>
                <w:sz w:val="14"/>
                <w:szCs w:val="14"/>
              </w:rPr>
            </w:pPr>
            <w:r w:rsidRPr="003B476C">
              <w:rPr>
                <w:rFonts w:eastAsia="Times New Roman" w:cs="Arial"/>
                <w:color w:val="000000"/>
                <w:sz w:val="14"/>
                <w:szCs w:val="14"/>
              </w:rPr>
              <w:t>F. Aprovechamientos</w:t>
            </w:r>
          </w:p>
        </w:tc>
        <w:tc>
          <w:tcPr>
            <w:tcW w:w="1134" w:type="dxa"/>
            <w:tcBorders>
              <w:top w:val="nil"/>
              <w:left w:val="nil"/>
              <w:bottom w:val="nil"/>
              <w:right w:val="single" w:sz="4" w:space="0" w:color="auto"/>
            </w:tcBorders>
            <w:shd w:val="clear" w:color="auto" w:fill="auto"/>
            <w:vAlign w:val="center"/>
            <w:hideMark/>
          </w:tcPr>
          <w:p w14:paraId="108BC488"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699,338,432</w:t>
            </w:r>
          </w:p>
        </w:tc>
        <w:tc>
          <w:tcPr>
            <w:tcW w:w="993" w:type="dxa"/>
            <w:tcBorders>
              <w:top w:val="nil"/>
              <w:left w:val="nil"/>
              <w:bottom w:val="nil"/>
              <w:right w:val="single" w:sz="4" w:space="0" w:color="auto"/>
            </w:tcBorders>
            <w:shd w:val="clear" w:color="auto" w:fill="auto"/>
            <w:vAlign w:val="center"/>
            <w:hideMark/>
          </w:tcPr>
          <w:p w14:paraId="5CFF5864"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834,076,745</w:t>
            </w:r>
          </w:p>
        </w:tc>
        <w:tc>
          <w:tcPr>
            <w:tcW w:w="1134" w:type="dxa"/>
            <w:tcBorders>
              <w:top w:val="nil"/>
              <w:left w:val="nil"/>
              <w:bottom w:val="nil"/>
              <w:right w:val="single" w:sz="4" w:space="0" w:color="auto"/>
            </w:tcBorders>
            <w:shd w:val="clear" w:color="auto" w:fill="auto"/>
            <w:vAlign w:val="center"/>
            <w:hideMark/>
          </w:tcPr>
          <w:p w14:paraId="4AEEDD01"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258,214,643</w:t>
            </w:r>
          </w:p>
        </w:tc>
        <w:tc>
          <w:tcPr>
            <w:tcW w:w="1134" w:type="dxa"/>
            <w:tcBorders>
              <w:top w:val="nil"/>
              <w:left w:val="nil"/>
              <w:bottom w:val="nil"/>
              <w:right w:val="single" w:sz="4" w:space="0" w:color="auto"/>
            </w:tcBorders>
            <w:shd w:val="clear" w:color="auto" w:fill="auto"/>
            <w:vAlign w:val="center"/>
            <w:hideMark/>
          </w:tcPr>
          <w:p w14:paraId="48A13FB0"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61,421,092</w:t>
            </w:r>
          </w:p>
        </w:tc>
        <w:tc>
          <w:tcPr>
            <w:tcW w:w="1134" w:type="dxa"/>
            <w:gridSpan w:val="3"/>
            <w:tcBorders>
              <w:top w:val="nil"/>
              <w:left w:val="nil"/>
              <w:bottom w:val="nil"/>
              <w:right w:val="single" w:sz="4" w:space="0" w:color="auto"/>
            </w:tcBorders>
            <w:shd w:val="clear" w:color="auto" w:fill="auto"/>
            <w:vAlign w:val="center"/>
            <w:hideMark/>
          </w:tcPr>
          <w:p w14:paraId="6D1511FC"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79,631,047</w:t>
            </w:r>
          </w:p>
        </w:tc>
        <w:tc>
          <w:tcPr>
            <w:tcW w:w="1134" w:type="dxa"/>
            <w:tcBorders>
              <w:top w:val="nil"/>
              <w:left w:val="nil"/>
              <w:bottom w:val="nil"/>
              <w:right w:val="single" w:sz="4" w:space="0" w:color="auto"/>
            </w:tcBorders>
            <w:shd w:val="clear" w:color="auto" w:fill="auto"/>
            <w:vAlign w:val="center"/>
            <w:hideMark/>
          </w:tcPr>
          <w:p w14:paraId="5C5FE296"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50,498,315</w:t>
            </w:r>
          </w:p>
        </w:tc>
      </w:tr>
      <w:tr w:rsidR="005873E4" w:rsidRPr="003B476C" w14:paraId="1F9F980B"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272FE608" w14:textId="77777777" w:rsidR="005873E4" w:rsidRPr="003B476C" w:rsidRDefault="005873E4" w:rsidP="005873E4">
            <w:pPr>
              <w:ind w:firstLineChars="100" w:firstLine="140"/>
              <w:jc w:val="left"/>
              <w:rPr>
                <w:rFonts w:eastAsia="Times New Roman" w:cs="Arial"/>
                <w:color w:val="000000"/>
                <w:sz w:val="14"/>
                <w:szCs w:val="14"/>
              </w:rPr>
            </w:pPr>
            <w:r w:rsidRPr="003B476C">
              <w:rPr>
                <w:rFonts w:eastAsia="Times New Roman" w:cs="Arial"/>
                <w:color w:val="000000"/>
                <w:sz w:val="14"/>
                <w:szCs w:val="14"/>
              </w:rPr>
              <w:t>G. Ingresos por Venta de Bienes y Prestación de Servicios</w:t>
            </w:r>
          </w:p>
        </w:tc>
        <w:tc>
          <w:tcPr>
            <w:tcW w:w="1134" w:type="dxa"/>
            <w:tcBorders>
              <w:top w:val="nil"/>
              <w:left w:val="nil"/>
              <w:bottom w:val="nil"/>
              <w:right w:val="single" w:sz="4" w:space="0" w:color="auto"/>
            </w:tcBorders>
            <w:shd w:val="clear" w:color="FFFFCC" w:fill="FFFFFF"/>
            <w:vAlign w:val="center"/>
            <w:hideMark/>
          </w:tcPr>
          <w:p w14:paraId="73988CCE"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993" w:type="dxa"/>
            <w:tcBorders>
              <w:top w:val="nil"/>
              <w:left w:val="nil"/>
              <w:bottom w:val="nil"/>
              <w:right w:val="single" w:sz="4" w:space="0" w:color="auto"/>
            </w:tcBorders>
            <w:shd w:val="clear" w:color="FFFFCC" w:fill="FFFFFF"/>
            <w:vAlign w:val="center"/>
            <w:hideMark/>
          </w:tcPr>
          <w:p w14:paraId="3E5EBB1D"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FFFFCC" w:fill="FFFFFF"/>
            <w:vAlign w:val="center"/>
            <w:hideMark/>
          </w:tcPr>
          <w:p w14:paraId="533D202D"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FFFFCC" w:fill="FFFFFF"/>
            <w:vAlign w:val="center"/>
            <w:hideMark/>
          </w:tcPr>
          <w:p w14:paraId="6B08339D"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gridSpan w:val="3"/>
            <w:tcBorders>
              <w:top w:val="nil"/>
              <w:left w:val="nil"/>
              <w:bottom w:val="nil"/>
              <w:right w:val="single" w:sz="4" w:space="0" w:color="auto"/>
            </w:tcBorders>
            <w:shd w:val="clear" w:color="FFFFCC" w:fill="FFFFFF"/>
            <w:vAlign w:val="center"/>
            <w:hideMark/>
          </w:tcPr>
          <w:p w14:paraId="34B10300"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FFFFCC" w:fill="FFFFFF"/>
            <w:vAlign w:val="center"/>
            <w:hideMark/>
          </w:tcPr>
          <w:p w14:paraId="05CCDF4F"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r>
      <w:tr w:rsidR="005873E4" w:rsidRPr="003B476C" w14:paraId="44C3AE69"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48989644" w14:textId="77777777" w:rsidR="005873E4" w:rsidRPr="003B476C" w:rsidRDefault="005873E4" w:rsidP="005873E4">
            <w:pPr>
              <w:ind w:firstLineChars="100" w:firstLine="140"/>
              <w:jc w:val="left"/>
              <w:rPr>
                <w:rFonts w:eastAsia="Times New Roman" w:cs="Arial"/>
                <w:color w:val="000000"/>
                <w:sz w:val="14"/>
                <w:szCs w:val="14"/>
              </w:rPr>
            </w:pPr>
            <w:r w:rsidRPr="003B476C">
              <w:rPr>
                <w:rFonts w:eastAsia="Times New Roman" w:cs="Arial"/>
                <w:color w:val="000000"/>
                <w:sz w:val="14"/>
                <w:szCs w:val="14"/>
              </w:rPr>
              <w:t>H. Participaciones</w:t>
            </w:r>
          </w:p>
        </w:tc>
        <w:tc>
          <w:tcPr>
            <w:tcW w:w="1134" w:type="dxa"/>
            <w:tcBorders>
              <w:top w:val="nil"/>
              <w:left w:val="nil"/>
              <w:bottom w:val="nil"/>
              <w:right w:val="single" w:sz="4" w:space="0" w:color="auto"/>
            </w:tcBorders>
            <w:shd w:val="clear" w:color="000000" w:fill="FFFFFF"/>
            <w:vAlign w:val="center"/>
            <w:hideMark/>
          </w:tcPr>
          <w:p w14:paraId="20C9985B"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5,942,097,385</w:t>
            </w:r>
          </w:p>
        </w:tc>
        <w:tc>
          <w:tcPr>
            <w:tcW w:w="993" w:type="dxa"/>
            <w:tcBorders>
              <w:top w:val="nil"/>
              <w:left w:val="nil"/>
              <w:bottom w:val="nil"/>
              <w:right w:val="single" w:sz="4" w:space="0" w:color="auto"/>
            </w:tcBorders>
            <w:shd w:val="clear" w:color="000000" w:fill="FFFFFF"/>
            <w:vAlign w:val="center"/>
            <w:hideMark/>
          </w:tcPr>
          <w:p w14:paraId="70E692E1"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5,916,390,741</w:t>
            </w:r>
          </w:p>
        </w:tc>
        <w:tc>
          <w:tcPr>
            <w:tcW w:w="1134" w:type="dxa"/>
            <w:tcBorders>
              <w:top w:val="nil"/>
              <w:left w:val="nil"/>
              <w:bottom w:val="nil"/>
              <w:right w:val="single" w:sz="4" w:space="0" w:color="auto"/>
            </w:tcBorders>
            <w:shd w:val="clear" w:color="FFFFCC" w:fill="FFFFFF"/>
            <w:vAlign w:val="center"/>
            <w:hideMark/>
          </w:tcPr>
          <w:p w14:paraId="589DA7F0"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5,540,690,837</w:t>
            </w:r>
          </w:p>
        </w:tc>
        <w:tc>
          <w:tcPr>
            <w:tcW w:w="1134" w:type="dxa"/>
            <w:tcBorders>
              <w:top w:val="nil"/>
              <w:left w:val="nil"/>
              <w:bottom w:val="nil"/>
              <w:right w:val="single" w:sz="4" w:space="0" w:color="auto"/>
            </w:tcBorders>
            <w:shd w:val="clear" w:color="FFFFCC" w:fill="FFFFFF"/>
            <w:vAlign w:val="center"/>
            <w:hideMark/>
          </w:tcPr>
          <w:p w14:paraId="3340991A"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6,135,747,671</w:t>
            </w:r>
          </w:p>
        </w:tc>
        <w:tc>
          <w:tcPr>
            <w:tcW w:w="1134" w:type="dxa"/>
            <w:gridSpan w:val="3"/>
            <w:tcBorders>
              <w:top w:val="nil"/>
              <w:left w:val="nil"/>
              <w:bottom w:val="nil"/>
              <w:right w:val="single" w:sz="4" w:space="0" w:color="auto"/>
            </w:tcBorders>
            <w:shd w:val="clear" w:color="FFFFCC" w:fill="FFFFFF"/>
            <w:vAlign w:val="center"/>
            <w:hideMark/>
          </w:tcPr>
          <w:p w14:paraId="503E3809"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6,625,962,743</w:t>
            </w:r>
          </w:p>
        </w:tc>
        <w:tc>
          <w:tcPr>
            <w:tcW w:w="1134" w:type="dxa"/>
            <w:tcBorders>
              <w:top w:val="nil"/>
              <w:left w:val="nil"/>
              <w:bottom w:val="nil"/>
              <w:right w:val="single" w:sz="4" w:space="0" w:color="auto"/>
            </w:tcBorders>
            <w:shd w:val="clear" w:color="FFFFCC" w:fill="FFFFFF"/>
            <w:vAlign w:val="center"/>
            <w:hideMark/>
          </w:tcPr>
          <w:p w14:paraId="7DF896F2"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7,038,942,190</w:t>
            </w:r>
          </w:p>
        </w:tc>
      </w:tr>
      <w:tr w:rsidR="005873E4" w:rsidRPr="003B476C" w14:paraId="7692CBB3"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2206CC96" w14:textId="77777777" w:rsidR="005873E4" w:rsidRPr="003B476C" w:rsidRDefault="005873E4" w:rsidP="005873E4">
            <w:pPr>
              <w:ind w:firstLineChars="100" w:firstLine="140"/>
              <w:jc w:val="left"/>
              <w:rPr>
                <w:rFonts w:eastAsia="Times New Roman" w:cs="Arial"/>
                <w:color w:val="000000"/>
                <w:sz w:val="14"/>
                <w:szCs w:val="14"/>
              </w:rPr>
            </w:pPr>
            <w:r w:rsidRPr="003B476C">
              <w:rPr>
                <w:rFonts w:eastAsia="Times New Roman" w:cs="Arial"/>
                <w:color w:val="000000"/>
                <w:sz w:val="14"/>
                <w:szCs w:val="14"/>
              </w:rPr>
              <w:t>I.  Incentivos Derivados de la Colaboración Fiscal</w:t>
            </w:r>
          </w:p>
        </w:tc>
        <w:tc>
          <w:tcPr>
            <w:tcW w:w="1134" w:type="dxa"/>
            <w:tcBorders>
              <w:top w:val="nil"/>
              <w:left w:val="nil"/>
              <w:bottom w:val="nil"/>
              <w:right w:val="single" w:sz="4" w:space="0" w:color="auto"/>
            </w:tcBorders>
            <w:shd w:val="clear" w:color="000000" w:fill="FFFFFF"/>
            <w:vAlign w:val="center"/>
            <w:hideMark/>
          </w:tcPr>
          <w:p w14:paraId="79E3532E"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257,869,872</w:t>
            </w:r>
          </w:p>
        </w:tc>
        <w:tc>
          <w:tcPr>
            <w:tcW w:w="993" w:type="dxa"/>
            <w:tcBorders>
              <w:top w:val="nil"/>
              <w:left w:val="nil"/>
              <w:bottom w:val="nil"/>
              <w:right w:val="single" w:sz="4" w:space="0" w:color="auto"/>
            </w:tcBorders>
            <w:shd w:val="clear" w:color="000000" w:fill="FFFFFF"/>
            <w:vAlign w:val="center"/>
            <w:hideMark/>
          </w:tcPr>
          <w:p w14:paraId="20FB10DC"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378,448,720</w:t>
            </w:r>
          </w:p>
        </w:tc>
        <w:tc>
          <w:tcPr>
            <w:tcW w:w="1134" w:type="dxa"/>
            <w:tcBorders>
              <w:top w:val="nil"/>
              <w:left w:val="nil"/>
              <w:bottom w:val="nil"/>
              <w:right w:val="single" w:sz="4" w:space="0" w:color="auto"/>
            </w:tcBorders>
            <w:shd w:val="clear" w:color="FFFFCC" w:fill="FFFFFF"/>
            <w:vAlign w:val="center"/>
            <w:hideMark/>
          </w:tcPr>
          <w:p w14:paraId="5AC29938"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619,517,810</w:t>
            </w:r>
          </w:p>
        </w:tc>
        <w:tc>
          <w:tcPr>
            <w:tcW w:w="1134" w:type="dxa"/>
            <w:tcBorders>
              <w:top w:val="nil"/>
              <w:left w:val="nil"/>
              <w:bottom w:val="nil"/>
              <w:right w:val="single" w:sz="4" w:space="0" w:color="auto"/>
            </w:tcBorders>
            <w:shd w:val="clear" w:color="FFFFCC" w:fill="FFFFFF"/>
            <w:vAlign w:val="center"/>
            <w:hideMark/>
          </w:tcPr>
          <w:p w14:paraId="767CD640"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934,019,126</w:t>
            </w:r>
          </w:p>
        </w:tc>
        <w:tc>
          <w:tcPr>
            <w:tcW w:w="1134" w:type="dxa"/>
            <w:gridSpan w:val="3"/>
            <w:tcBorders>
              <w:top w:val="nil"/>
              <w:left w:val="nil"/>
              <w:bottom w:val="nil"/>
              <w:right w:val="single" w:sz="4" w:space="0" w:color="auto"/>
            </w:tcBorders>
            <w:shd w:val="clear" w:color="FFFFCC" w:fill="FFFFFF"/>
            <w:vAlign w:val="center"/>
            <w:hideMark/>
          </w:tcPr>
          <w:p w14:paraId="2E345E72"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565,624,949</w:t>
            </w:r>
          </w:p>
        </w:tc>
        <w:tc>
          <w:tcPr>
            <w:tcW w:w="1134" w:type="dxa"/>
            <w:tcBorders>
              <w:top w:val="nil"/>
              <w:left w:val="nil"/>
              <w:bottom w:val="nil"/>
              <w:right w:val="single" w:sz="4" w:space="0" w:color="auto"/>
            </w:tcBorders>
            <w:shd w:val="clear" w:color="FFFFCC" w:fill="FFFFFF"/>
            <w:vAlign w:val="center"/>
            <w:hideMark/>
          </w:tcPr>
          <w:p w14:paraId="2A18055F"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618,622,362</w:t>
            </w:r>
          </w:p>
        </w:tc>
      </w:tr>
      <w:tr w:rsidR="005873E4" w:rsidRPr="003B476C" w14:paraId="5BC66594"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789D8916" w14:textId="77777777" w:rsidR="005873E4" w:rsidRPr="003B476C" w:rsidRDefault="005873E4" w:rsidP="005873E4">
            <w:pPr>
              <w:ind w:firstLineChars="100" w:firstLine="140"/>
              <w:jc w:val="left"/>
              <w:rPr>
                <w:rFonts w:eastAsia="Times New Roman" w:cs="Arial"/>
                <w:color w:val="000000"/>
                <w:sz w:val="14"/>
                <w:szCs w:val="14"/>
              </w:rPr>
            </w:pPr>
            <w:r w:rsidRPr="003B476C">
              <w:rPr>
                <w:rFonts w:eastAsia="Times New Roman" w:cs="Arial"/>
                <w:color w:val="000000"/>
                <w:sz w:val="14"/>
                <w:szCs w:val="14"/>
              </w:rPr>
              <w:t>J.  Transferencias y Asignaciones</w:t>
            </w:r>
          </w:p>
        </w:tc>
        <w:tc>
          <w:tcPr>
            <w:tcW w:w="1134" w:type="dxa"/>
            <w:tcBorders>
              <w:top w:val="nil"/>
              <w:left w:val="nil"/>
              <w:bottom w:val="nil"/>
              <w:right w:val="single" w:sz="4" w:space="0" w:color="auto"/>
            </w:tcBorders>
            <w:shd w:val="clear" w:color="FFFFCC" w:fill="FFFFFF"/>
            <w:vAlign w:val="center"/>
            <w:hideMark/>
          </w:tcPr>
          <w:p w14:paraId="4EA102F5"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993" w:type="dxa"/>
            <w:tcBorders>
              <w:top w:val="nil"/>
              <w:left w:val="nil"/>
              <w:bottom w:val="nil"/>
              <w:right w:val="single" w:sz="4" w:space="0" w:color="auto"/>
            </w:tcBorders>
            <w:shd w:val="clear" w:color="FFFFCC" w:fill="FFFFFF"/>
            <w:vAlign w:val="center"/>
            <w:hideMark/>
          </w:tcPr>
          <w:p w14:paraId="11FB557C"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FFFFCC" w:fill="FFFFFF"/>
            <w:vAlign w:val="center"/>
            <w:hideMark/>
          </w:tcPr>
          <w:p w14:paraId="720B3FC6"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FFFFCC" w:fill="FFFFFF"/>
            <w:vAlign w:val="center"/>
            <w:hideMark/>
          </w:tcPr>
          <w:p w14:paraId="349A84F1"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gridSpan w:val="3"/>
            <w:tcBorders>
              <w:top w:val="nil"/>
              <w:left w:val="nil"/>
              <w:bottom w:val="nil"/>
              <w:right w:val="single" w:sz="4" w:space="0" w:color="auto"/>
            </w:tcBorders>
            <w:shd w:val="clear" w:color="FFFFCC" w:fill="FFFFFF"/>
            <w:vAlign w:val="center"/>
            <w:hideMark/>
          </w:tcPr>
          <w:p w14:paraId="26EAEEB0"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FFFFCC" w:fill="FFFFFF"/>
            <w:vAlign w:val="center"/>
            <w:hideMark/>
          </w:tcPr>
          <w:p w14:paraId="1DD3A750"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r>
      <w:tr w:rsidR="005873E4" w:rsidRPr="003B476C" w14:paraId="4CA10F1F"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6533BD79" w14:textId="77777777" w:rsidR="005873E4" w:rsidRPr="003B476C" w:rsidRDefault="005873E4" w:rsidP="005873E4">
            <w:pPr>
              <w:ind w:firstLineChars="100" w:firstLine="140"/>
              <w:jc w:val="left"/>
              <w:rPr>
                <w:rFonts w:eastAsia="Times New Roman" w:cs="Arial"/>
                <w:color w:val="000000"/>
                <w:sz w:val="14"/>
                <w:szCs w:val="14"/>
              </w:rPr>
            </w:pPr>
            <w:r w:rsidRPr="003B476C">
              <w:rPr>
                <w:rFonts w:eastAsia="Times New Roman" w:cs="Arial"/>
                <w:color w:val="000000"/>
                <w:sz w:val="14"/>
                <w:szCs w:val="14"/>
              </w:rPr>
              <w:t>K. Convenios</w:t>
            </w:r>
          </w:p>
        </w:tc>
        <w:tc>
          <w:tcPr>
            <w:tcW w:w="1134" w:type="dxa"/>
            <w:tcBorders>
              <w:top w:val="nil"/>
              <w:left w:val="nil"/>
              <w:bottom w:val="nil"/>
              <w:right w:val="single" w:sz="4" w:space="0" w:color="auto"/>
            </w:tcBorders>
            <w:shd w:val="clear" w:color="FFFFCC" w:fill="FFFFFF"/>
            <w:vAlign w:val="center"/>
            <w:hideMark/>
          </w:tcPr>
          <w:p w14:paraId="0CF8BB94"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6,639,104</w:t>
            </w:r>
          </w:p>
        </w:tc>
        <w:tc>
          <w:tcPr>
            <w:tcW w:w="993" w:type="dxa"/>
            <w:tcBorders>
              <w:top w:val="nil"/>
              <w:left w:val="nil"/>
              <w:bottom w:val="nil"/>
              <w:right w:val="single" w:sz="4" w:space="0" w:color="auto"/>
            </w:tcBorders>
            <w:shd w:val="clear" w:color="FFFFCC" w:fill="FFFFFF"/>
            <w:vAlign w:val="center"/>
            <w:hideMark/>
          </w:tcPr>
          <w:p w14:paraId="3D40D077"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304,538,444</w:t>
            </w:r>
          </w:p>
        </w:tc>
        <w:tc>
          <w:tcPr>
            <w:tcW w:w="1134" w:type="dxa"/>
            <w:tcBorders>
              <w:top w:val="nil"/>
              <w:left w:val="nil"/>
              <w:bottom w:val="nil"/>
              <w:right w:val="single" w:sz="4" w:space="0" w:color="auto"/>
            </w:tcBorders>
            <w:shd w:val="clear" w:color="FFFFCC" w:fill="FFFFFF"/>
            <w:vAlign w:val="center"/>
            <w:hideMark/>
          </w:tcPr>
          <w:p w14:paraId="7A8A4BCE"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8,041,366</w:t>
            </w:r>
          </w:p>
        </w:tc>
        <w:tc>
          <w:tcPr>
            <w:tcW w:w="1134" w:type="dxa"/>
            <w:tcBorders>
              <w:top w:val="nil"/>
              <w:left w:val="nil"/>
              <w:bottom w:val="nil"/>
              <w:right w:val="single" w:sz="4" w:space="0" w:color="auto"/>
            </w:tcBorders>
            <w:shd w:val="clear" w:color="FFFFCC" w:fill="FFFFFF"/>
            <w:vAlign w:val="center"/>
            <w:hideMark/>
          </w:tcPr>
          <w:p w14:paraId="268B113A"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439,815</w:t>
            </w:r>
          </w:p>
        </w:tc>
        <w:tc>
          <w:tcPr>
            <w:tcW w:w="1134" w:type="dxa"/>
            <w:gridSpan w:val="3"/>
            <w:tcBorders>
              <w:top w:val="nil"/>
              <w:left w:val="nil"/>
              <w:bottom w:val="nil"/>
              <w:right w:val="single" w:sz="4" w:space="0" w:color="auto"/>
            </w:tcBorders>
            <w:shd w:val="clear" w:color="FFFFCC" w:fill="FFFFFF"/>
            <w:vAlign w:val="center"/>
            <w:hideMark/>
          </w:tcPr>
          <w:p w14:paraId="4020AD6B"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FFFFCC" w:fill="FFFFFF"/>
            <w:vAlign w:val="center"/>
            <w:hideMark/>
          </w:tcPr>
          <w:p w14:paraId="40A9C96C"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r>
      <w:tr w:rsidR="005873E4" w:rsidRPr="003B476C" w14:paraId="09E7176B"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59CDFEC3" w14:textId="77777777" w:rsidR="005873E4" w:rsidRPr="003B476C" w:rsidRDefault="005873E4" w:rsidP="005873E4">
            <w:pPr>
              <w:ind w:firstLineChars="100" w:firstLine="140"/>
              <w:jc w:val="left"/>
              <w:rPr>
                <w:rFonts w:eastAsia="Times New Roman" w:cs="Arial"/>
                <w:color w:val="000000"/>
                <w:sz w:val="14"/>
                <w:szCs w:val="14"/>
              </w:rPr>
            </w:pPr>
            <w:r w:rsidRPr="003B476C">
              <w:rPr>
                <w:rFonts w:eastAsia="Times New Roman" w:cs="Arial"/>
                <w:color w:val="000000"/>
                <w:sz w:val="14"/>
                <w:szCs w:val="14"/>
              </w:rPr>
              <w:t>L.  Otros Ingresos de Libre Disposición</w:t>
            </w:r>
          </w:p>
        </w:tc>
        <w:tc>
          <w:tcPr>
            <w:tcW w:w="1134" w:type="dxa"/>
            <w:tcBorders>
              <w:top w:val="nil"/>
              <w:left w:val="nil"/>
              <w:bottom w:val="nil"/>
              <w:right w:val="single" w:sz="4" w:space="0" w:color="auto"/>
            </w:tcBorders>
            <w:shd w:val="clear" w:color="FFFFCC" w:fill="FFFFFF"/>
            <w:vAlign w:val="center"/>
            <w:hideMark/>
          </w:tcPr>
          <w:p w14:paraId="4EB36B43"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993" w:type="dxa"/>
            <w:tcBorders>
              <w:top w:val="nil"/>
              <w:left w:val="nil"/>
              <w:bottom w:val="nil"/>
              <w:right w:val="single" w:sz="4" w:space="0" w:color="auto"/>
            </w:tcBorders>
            <w:shd w:val="clear" w:color="FFFFCC" w:fill="FFFFFF"/>
            <w:vAlign w:val="center"/>
            <w:hideMark/>
          </w:tcPr>
          <w:p w14:paraId="5426BCCF"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FFFFCC" w:fill="FFFFFF"/>
            <w:vAlign w:val="center"/>
            <w:hideMark/>
          </w:tcPr>
          <w:p w14:paraId="6D26385F"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FFFFCC" w:fill="FFFFFF"/>
            <w:vAlign w:val="center"/>
            <w:hideMark/>
          </w:tcPr>
          <w:p w14:paraId="6E4D9948"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gridSpan w:val="3"/>
            <w:tcBorders>
              <w:top w:val="nil"/>
              <w:left w:val="nil"/>
              <w:bottom w:val="nil"/>
              <w:right w:val="single" w:sz="4" w:space="0" w:color="auto"/>
            </w:tcBorders>
            <w:shd w:val="clear" w:color="FFFFCC" w:fill="FFFFFF"/>
            <w:vAlign w:val="center"/>
            <w:hideMark/>
          </w:tcPr>
          <w:p w14:paraId="31FE5A44"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3,771,193</w:t>
            </w:r>
          </w:p>
        </w:tc>
        <w:tc>
          <w:tcPr>
            <w:tcW w:w="1134" w:type="dxa"/>
            <w:tcBorders>
              <w:top w:val="nil"/>
              <w:left w:val="nil"/>
              <w:bottom w:val="nil"/>
              <w:right w:val="single" w:sz="4" w:space="0" w:color="auto"/>
            </w:tcBorders>
            <w:shd w:val="clear" w:color="FFFFCC" w:fill="FFFFFF"/>
            <w:vAlign w:val="center"/>
            <w:hideMark/>
          </w:tcPr>
          <w:p w14:paraId="05D9A6F7"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r>
      <w:tr w:rsidR="005873E4" w:rsidRPr="003B476C" w14:paraId="756FD950"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726C4322" w14:textId="77777777" w:rsidR="005873E4" w:rsidRPr="003B476C" w:rsidRDefault="005873E4" w:rsidP="005873E4">
            <w:pPr>
              <w:jc w:val="left"/>
              <w:rPr>
                <w:rFonts w:eastAsia="Times New Roman" w:cs="Arial"/>
                <w:b/>
                <w:bCs/>
                <w:color w:val="000000"/>
                <w:sz w:val="14"/>
                <w:szCs w:val="14"/>
              </w:rPr>
            </w:pPr>
            <w:r w:rsidRPr="003B476C">
              <w:rPr>
                <w:rFonts w:eastAsia="Times New Roman" w:cs="Arial"/>
                <w:b/>
                <w:bCs/>
                <w:color w:val="000000"/>
                <w:sz w:val="14"/>
                <w:szCs w:val="14"/>
              </w:rPr>
              <w:t>2.  Transferencias Federales Etiquetadas</w:t>
            </w:r>
          </w:p>
        </w:tc>
        <w:tc>
          <w:tcPr>
            <w:tcW w:w="1134" w:type="dxa"/>
            <w:tcBorders>
              <w:top w:val="nil"/>
              <w:left w:val="nil"/>
              <w:bottom w:val="nil"/>
              <w:right w:val="single" w:sz="4" w:space="0" w:color="auto"/>
            </w:tcBorders>
            <w:shd w:val="clear" w:color="FFFFCC" w:fill="FFFFFF"/>
            <w:vAlign w:val="center"/>
            <w:hideMark/>
          </w:tcPr>
          <w:p w14:paraId="3E58539B"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9,362,373,024</w:t>
            </w:r>
          </w:p>
        </w:tc>
        <w:tc>
          <w:tcPr>
            <w:tcW w:w="993" w:type="dxa"/>
            <w:tcBorders>
              <w:top w:val="nil"/>
              <w:left w:val="nil"/>
              <w:bottom w:val="nil"/>
              <w:right w:val="single" w:sz="4" w:space="0" w:color="auto"/>
            </w:tcBorders>
            <w:shd w:val="clear" w:color="FFFFCC" w:fill="FFFFFF"/>
            <w:vAlign w:val="center"/>
            <w:hideMark/>
          </w:tcPr>
          <w:p w14:paraId="5D8C3CA5"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9,192,511,250</w:t>
            </w:r>
          </w:p>
        </w:tc>
        <w:tc>
          <w:tcPr>
            <w:tcW w:w="1134" w:type="dxa"/>
            <w:tcBorders>
              <w:top w:val="nil"/>
              <w:left w:val="nil"/>
              <w:bottom w:val="nil"/>
              <w:right w:val="single" w:sz="4" w:space="0" w:color="auto"/>
            </w:tcBorders>
            <w:shd w:val="clear" w:color="FFFFCC" w:fill="FFFFFF"/>
            <w:vAlign w:val="center"/>
            <w:hideMark/>
          </w:tcPr>
          <w:p w14:paraId="67FF6FE3"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10,001,607,742</w:t>
            </w:r>
          </w:p>
        </w:tc>
        <w:tc>
          <w:tcPr>
            <w:tcW w:w="1134" w:type="dxa"/>
            <w:tcBorders>
              <w:top w:val="nil"/>
              <w:left w:val="nil"/>
              <w:bottom w:val="nil"/>
              <w:right w:val="single" w:sz="4" w:space="0" w:color="auto"/>
            </w:tcBorders>
            <w:shd w:val="clear" w:color="FFFFCC" w:fill="FFFFFF"/>
            <w:vAlign w:val="center"/>
            <w:hideMark/>
          </w:tcPr>
          <w:p w14:paraId="4D745186"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10,495,895,351</w:t>
            </w:r>
          </w:p>
        </w:tc>
        <w:tc>
          <w:tcPr>
            <w:tcW w:w="1134" w:type="dxa"/>
            <w:gridSpan w:val="3"/>
            <w:tcBorders>
              <w:top w:val="nil"/>
              <w:left w:val="nil"/>
              <w:bottom w:val="nil"/>
              <w:right w:val="single" w:sz="4" w:space="0" w:color="auto"/>
            </w:tcBorders>
            <w:shd w:val="clear" w:color="FFFFCC" w:fill="FFFFFF"/>
            <w:vAlign w:val="center"/>
            <w:hideMark/>
          </w:tcPr>
          <w:p w14:paraId="02685767"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11,988,264,974</w:t>
            </w:r>
          </w:p>
        </w:tc>
        <w:tc>
          <w:tcPr>
            <w:tcW w:w="1134" w:type="dxa"/>
            <w:tcBorders>
              <w:top w:val="nil"/>
              <w:left w:val="nil"/>
              <w:bottom w:val="nil"/>
              <w:right w:val="single" w:sz="4" w:space="0" w:color="auto"/>
            </w:tcBorders>
            <w:shd w:val="clear" w:color="FFFFCC" w:fill="FFFFFF"/>
            <w:vAlign w:val="center"/>
            <w:hideMark/>
          </w:tcPr>
          <w:p w14:paraId="77EDB619"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11,410,208,416</w:t>
            </w:r>
          </w:p>
        </w:tc>
      </w:tr>
      <w:tr w:rsidR="005873E4" w:rsidRPr="003B476C" w14:paraId="3030C085"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5EF0C91F" w14:textId="77777777" w:rsidR="005873E4" w:rsidRPr="003B476C" w:rsidRDefault="005873E4" w:rsidP="005873E4">
            <w:pPr>
              <w:ind w:firstLineChars="100" w:firstLine="140"/>
              <w:jc w:val="left"/>
              <w:rPr>
                <w:rFonts w:eastAsia="Times New Roman" w:cs="Arial"/>
                <w:color w:val="000000"/>
                <w:sz w:val="14"/>
                <w:szCs w:val="14"/>
              </w:rPr>
            </w:pPr>
            <w:r w:rsidRPr="003B476C">
              <w:rPr>
                <w:rFonts w:eastAsia="Times New Roman" w:cs="Arial"/>
                <w:color w:val="000000"/>
                <w:sz w:val="14"/>
                <w:szCs w:val="14"/>
              </w:rPr>
              <w:t>A. Aportaciones</w:t>
            </w:r>
          </w:p>
        </w:tc>
        <w:tc>
          <w:tcPr>
            <w:tcW w:w="1134" w:type="dxa"/>
            <w:tcBorders>
              <w:top w:val="nil"/>
              <w:left w:val="nil"/>
              <w:bottom w:val="nil"/>
              <w:right w:val="single" w:sz="4" w:space="0" w:color="auto"/>
            </w:tcBorders>
            <w:shd w:val="clear" w:color="FFFFCC" w:fill="FFFFFF"/>
            <w:vAlign w:val="center"/>
            <w:hideMark/>
          </w:tcPr>
          <w:p w14:paraId="56609C3A"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6,450,893,735</w:t>
            </w:r>
          </w:p>
        </w:tc>
        <w:tc>
          <w:tcPr>
            <w:tcW w:w="993" w:type="dxa"/>
            <w:tcBorders>
              <w:top w:val="nil"/>
              <w:left w:val="nil"/>
              <w:bottom w:val="nil"/>
              <w:right w:val="single" w:sz="4" w:space="0" w:color="auto"/>
            </w:tcBorders>
            <w:shd w:val="clear" w:color="FFFFCC" w:fill="FFFFFF"/>
            <w:vAlign w:val="center"/>
            <w:hideMark/>
          </w:tcPr>
          <w:p w14:paraId="53564179"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6,706,169,985</w:t>
            </w:r>
          </w:p>
        </w:tc>
        <w:tc>
          <w:tcPr>
            <w:tcW w:w="1134" w:type="dxa"/>
            <w:tcBorders>
              <w:top w:val="nil"/>
              <w:left w:val="nil"/>
              <w:bottom w:val="nil"/>
              <w:right w:val="single" w:sz="4" w:space="0" w:color="auto"/>
            </w:tcBorders>
            <w:shd w:val="clear" w:color="FFFFCC" w:fill="FFFFFF"/>
            <w:vAlign w:val="center"/>
            <w:hideMark/>
          </w:tcPr>
          <w:p w14:paraId="2F1AA815"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6,825,823,221</w:t>
            </w:r>
          </w:p>
        </w:tc>
        <w:tc>
          <w:tcPr>
            <w:tcW w:w="1134" w:type="dxa"/>
            <w:tcBorders>
              <w:top w:val="nil"/>
              <w:left w:val="nil"/>
              <w:bottom w:val="nil"/>
              <w:right w:val="single" w:sz="4" w:space="0" w:color="auto"/>
            </w:tcBorders>
            <w:shd w:val="clear" w:color="FFFFCC" w:fill="FFFFFF"/>
            <w:vAlign w:val="center"/>
            <w:hideMark/>
          </w:tcPr>
          <w:p w14:paraId="2CAF0166"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7,551,854,054</w:t>
            </w:r>
          </w:p>
        </w:tc>
        <w:tc>
          <w:tcPr>
            <w:tcW w:w="1134" w:type="dxa"/>
            <w:gridSpan w:val="3"/>
            <w:tcBorders>
              <w:top w:val="nil"/>
              <w:left w:val="nil"/>
              <w:bottom w:val="nil"/>
              <w:right w:val="single" w:sz="4" w:space="0" w:color="auto"/>
            </w:tcBorders>
            <w:shd w:val="clear" w:color="FFFFCC" w:fill="FFFFFF"/>
            <w:vAlign w:val="center"/>
            <w:hideMark/>
          </w:tcPr>
          <w:p w14:paraId="50D582BE"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8,475,409,376</w:t>
            </w:r>
          </w:p>
        </w:tc>
        <w:tc>
          <w:tcPr>
            <w:tcW w:w="1134" w:type="dxa"/>
            <w:tcBorders>
              <w:top w:val="nil"/>
              <w:left w:val="nil"/>
              <w:bottom w:val="nil"/>
              <w:right w:val="single" w:sz="4" w:space="0" w:color="auto"/>
            </w:tcBorders>
            <w:shd w:val="clear" w:color="FFFFCC" w:fill="FFFFFF"/>
            <w:vAlign w:val="center"/>
            <w:hideMark/>
          </w:tcPr>
          <w:p w14:paraId="2A0580F3"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8,319,022,446</w:t>
            </w:r>
          </w:p>
        </w:tc>
      </w:tr>
      <w:tr w:rsidR="005873E4" w:rsidRPr="003B476C" w14:paraId="213254FF"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59568AC7" w14:textId="77777777" w:rsidR="005873E4" w:rsidRPr="003B476C" w:rsidRDefault="005873E4" w:rsidP="005873E4">
            <w:pPr>
              <w:ind w:firstLineChars="100" w:firstLine="140"/>
              <w:jc w:val="left"/>
              <w:rPr>
                <w:rFonts w:eastAsia="Times New Roman" w:cs="Arial"/>
                <w:color w:val="000000"/>
                <w:sz w:val="14"/>
                <w:szCs w:val="14"/>
              </w:rPr>
            </w:pPr>
            <w:r w:rsidRPr="003B476C">
              <w:rPr>
                <w:rFonts w:eastAsia="Times New Roman" w:cs="Arial"/>
                <w:color w:val="000000"/>
                <w:sz w:val="14"/>
                <w:szCs w:val="14"/>
              </w:rPr>
              <w:t>B. Convenios</w:t>
            </w:r>
          </w:p>
        </w:tc>
        <w:tc>
          <w:tcPr>
            <w:tcW w:w="1134" w:type="dxa"/>
            <w:tcBorders>
              <w:top w:val="nil"/>
              <w:left w:val="nil"/>
              <w:bottom w:val="nil"/>
              <w:right w:val="single" w:sz="4" w:space="0" w:color="auto"/>
            </w:tcBorders>
            <w:shd w:val="clear" w:color="FFFFCC" w:fill="FFFFFF"/>
            <w:vAlign w:val="center"/>
            <w:hideMark/>
          </w:tcPr>
          <w:p w14:paraId="6816D3AD"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1,142,944,804</w:t>
            </w:r>
          </w:p>
        </w:tc>
        <w:tc>
          <w:tcPr>
            <w:tcW w:w="993" w:type="dxa"/>
            <w:tcBorders>
              <w:top w:val="nil"/>
              <w:left w:val="nil"/>
              <w:bottom w:val="nil"/>
              <w:right w:val="single" w:sz="4" w:space="0" w:color="auto"/>
            </w:tcBorders>
            <w:shd w:val="clear" w:color="FFFFCC" w:fill="FFFFFF"/>
            <w:vAlign w:val="center"/>
            <w:hideMark/>
          </w:tcPr>
          <w:p w14:paraId="4EC37674"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739,661,065</w:t>
            </w:r>
          </w:p>
        </w:tc>
        <w:tc>
          <w:tcPr>
            <w:tcW w:w="1134" w:type="dxa"/>
            <w:tcBorders>
              <w:top w:val="nil"/>
              <w:left w:val="nil"/>
              <w:bottom w:val="nil"/>
              <w:right w:val="single" w:sz="4" w:space="0" w:color="auto"/>
            </w:tcBorders>
            <w:shd w:val="clear" w:color="FFFFCC" w:fill="FFFFFF"/>
            <w:vAlign w:val="center"/>
            <w:hideMark/>
          </w:tcPr>
          <w:p w14:paraId="3BA41B7B"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1,455,908,466</w:t>
            </w:r>
          </w:p>
        </w:tc>
        <w:tc>
          <w:tcPr>
            <w:tcW w:w="1134" w:type="dxa"/>
            <w:tcBorders>
              <w:top w:val="nil"/>
              <w:left w:val="nil"/>
              <w:bottom w:val="nil"/>
              <w:right w:val="single" w:sz="4" w:space="0" w:color="auto"/>
            </w:tcBorders>
            <w:shd w:val="clear" w:color="FFFFCC" w:fill="FFFFFF"/>
            <w:vAlign w:val="center"/>
            <w:hideMark/>
          </w:tcPr>
          <w:p w14:paraId="21BF0145"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1,161,527,668</w:t>
            </w:r>
          </w:p>
        </w:tc>
        <w:tc>
          <w:tcPr>
            <w:tcW w:w="1134" w:type="dxa"/>
            <w:gridSpan w:val="3"/>
            <w:tcBorders>
              <w:top w:val="nil"/>
              <w:left w:val="nil"/>
              <w:bottom w:val="nil"/>
              <w:right w:val="single" w:sz="4" w:space="0" w:color="auto"/>
            </w:tcBorders>
            <w:shd w:val="clear" w:color="FFFFCC" w:fill="FFFFFF"/>
            <w:vAlign w:val="center"/>
            <w:hideMark/>
          </w:tcPr>
          <w:p w14:paraId="37A087C3"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1,654,954,397</w:t>
            </w:r>
          </w:p>
        </w:tc>
        <w:tc>
          <w:tcPr>
            <w:tcW w:w="1134" w:type="dxa"/>
            <w:tcBorders>
              <w:top w:val="nil"/>
              <w:left w:val="nil"/>
              <w:bottom w:val="nil"/>
              <w:right w:val="single" w:sz="4" w:space="0" w:color="auto"/>
            </w:tcBorders>
            <w:shd w:val="clear" w:color="FFFFCC" w:fill="FFFFFF"/>
            <w:vAlign w:val="center"/>
            <w:hideMark/>
          </w:tcPr>
          <w:p w14:paraId="2485198F"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856,128,420</w:t>
            </w:r>
          </w:p>
        </w:tc>
      </w:tr>
      <w:tr w:rsidR="005873E4" w:rsidRPr="003B476C" w14:paraId="22CA84B2"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22F39082" w14:textId="77777777" w:rsidR="005873E4" w:rsidRPr="003B476C" w:rsidRDefault="005873E4" w:rsidP="005873E4">
            <w:pPr>
              <w:ind w:firstLineChars="100" w:firstLine="140"/>
              <w:jc w:val="left"/>
              <w:rPr>
                <w:rFonts w:eastAsia="Times New Roman" w:cs="Arial"/>
                <w:color w:val="000000"/>
                <w:sz w:val="14"/>
                <w:szCs w:val="14"/>
              </w:rPr>
            </w:pPr>
            <w:r w:rsidRPr="003B476C">
              <w:rPr>
                <w:rFonts w:eastAsia="Times New Roman" w:cs="Arial"/>
                <w:color w:val="000000"/>
                <w:sz w:val="14"/>
                <w:szCs w:val="14"/>
              </w:rPr>
              <w:t>C. Fondos Distintos de Aportaciones</w:t>
            </w:r>
          </w:p>
        </w:tc>
        <w:tc>
          <w:tcPr>
            <w:tcW w:w="1134" w:type="dxa"/>
            <w:tcBorders>
              <w:top w:val="nil"/>
              <w:left w:val="nil"/>
              <w:bottom w:val="nil"/>
              <w:right w:val="single" w:sz="4" w:space="0" w:color="auto"/>
            </w:tcBorders>
            <w:shd w:val="clear" w:color="FFFFCC" w:fill="FFFFFF"/>
            <w:vAlign w:val="center"/>
            <w:hideMark/>
          </w:tcPr>
          <w:p w14:paraId="74FB84D8"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993" w:type="dxa"/>
            <w:tcBorders>
              <w:top w:val="nil"/>
              <w:left w:val="nil"/>
              <w:bottom w:val="nil"/>
              <w:right w:val="single" w:sz="4" w:space="0" w:color="auto"/>
            </w:tcBorders>
            <w:shd w:val="clear" w:color="FFFFCC" w:fill="FFFFFF"/>
            <w:vAlign w:val="center"/>
            <w:hideMark/>
          </w:tcPr>
          <w:p w14:paraId="70244675"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2,414,701</w:t>
            </w:r>
          </w:p>
        </w:tc>
        <w:tc>
          <w:tcPr>
            <w:tcW w:w="1134" w:type="dxa"/>
            <w:tcBorders>
              <w:top w:val="nil"/>
              <w:left w:val="nil"/>
              <w:bottom w:val="nil"/>
              <w:right w:val="single" w:sz="4" w:space="0" w:color="auto"/>
            </w:tcBorders>
            <w:shd w:val="clear" w:color="FFFFCC" w:fill="FFFFFF"/>
            <w:vAlign w:val="center"/>
            <w:hideMark/>
          </w:tcPr>
          <w:p w14:paraId="3AAFD73D"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FFFFCC" w:fill="FFFFFF"/>
            <w:vAlign w:val="center"/>
            <w:hideMark/>
          </w:tcPr>
          <w:p w14:paraId="06E105D2"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4,684,730</w:t>
            </w:r>
          </w:p>
        </w:tc>
        <w:tc>
          <w:tcPr>
            <w:tcW w:w="1134" w:type="dxa"/>
            <w:gridSpan w:val="3"/>
            <w:tcBorders>
              <w:top w:val="nil"/>
              <w:left w:val="nil"/>
              <w:bottom w:val="nil"/>
              <w:right w:val="single" w:sz="4" w:space="0" w:color="auto"/>
            </w:tcBorders>
            <w:shd w:val="clear" w:color="FFFFCC" w:fill="FFFFFF"/>
            <w:vAlign w:val="center"/>
            <w:hideMark/>
          </w:tcPr>
          <w:p w14:paraId="01A907C9"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FFFFCC" w:fill="FFFFFF"/>
            <w:vAlign w:val="center"/>
            <w:hideMark/>
          </w:tcPr>
          <w:p w14:paraId="4C9C49DD"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r>
      <w:tr w:rsidR="005873E4" w:rsidRPr="003B476C" w14:paraId="021E5851"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4E5164B3" w14:textId="77777777" w:rsidR="005873E4" w:rsidRPr="003B476C" w:rsidRDefault="005873E4" w:rsidP="005873E4">
            <w:pPr>
              <w:ind w:firstLineChars="100" w:firstLine="140"/>
              <w:jc w:val="left"/>
              <w:rPr>
                <w:rFonts w:eastAsia="Times New Roman" w:cs="Arial"/>
                <w:color w:val="000000"/>
                <w:sz w:val="14"/>
                <w:szCs w:val="14"/>
              </w:rPr>
            </w:pPr>
            <w:r w:rsidRPr="003B476C">
              <w:rPr>
                <w:rFonts w:eastAsia="Times New Roman" w:cs="Arial"/>
                <w:color w:val="000000"/>
                <w:sz w:val="14"/>
                <w:szCs w:val="14"/>
              </w:rPr>
              <w:t>D. Transferencias, Subsidios y Subvenciones, y Pensiones y Jubilaciones</w:t>
            </w:r>
          </w:p>
        </w:tc>
        <w:tc>
          <w:tcPr>
            <w:tcW w:w="1134" w:type="dxa"/>
            <w:tcBorders>
              <w:top w:val="nil"/>
              <w:left w:val="nil"/>
              <w:bottom w:val="nil"/>
              <w:right w:val="single" w:sz="4" w:space="0" w:color="auto"/>
            </w:tcBorders>
            <w:shd w:val="clear" w:color="FFFFCC" w:fill="FFFFFF"/>
            <w:vAlign w:val="center"/>
            <w:hideMark/>
          </w:tcPr>
          <w:p w14:paraId="2390FE2C"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1,671,770,560</w:t>
            </w:r>
          </w:p>
        </w:tc>
        <w:tc>
          <w:tcPr>
            <w:tcW w:w="993" w:type="dxa"/>
            <w:tcBorders>
              <w:top w:val="nil"/>
              <w:left w:val="nil"/>
              <w:bottom w:val="nil"/>
              <w:right w:val="single" w:sz="4" w:space="0" w:color="auto"/>
            </w:tcBorders>
            <w:shd w:val="clear" w:color="FFFFCC" w:fill="FFFFFF"/>
            <w:vAlign w:val="center"/>
            <w:hideMark/>
          </w:tcPr>
          <w:p w14:paraId="0C739AFB"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1,726,644,087</w:t>
            </w:r>
          </w:p>
        </w:tc>
        <w:tc>
          <w:tcPr>
            <w:tcW w:w="1134" w:type="dxa"/>
            <w:tcBorders>
              <w:top w:val="nil"/>
              <w:left w:val="nil"/>
              <w:bottom w:val="nil"/>
              <w:right w:val="single" w:sz="4" w:space="0" w:color="auto"/>
            </w:tcBorders>
            <w:shd w:val="clear" w:color="FFFFCC" w:fill="FFFFFF"/>
            <w:vAlign w:val="center"/>
            <w:hideMark/>
          </w:tcPr>
          <w:p w14:paraId="4A0D3D1D"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1,700,031,215</w:t>
            </w:r>
          </w:p>
        </w:tc>
        <w:tc>
          <w:tcPr>
            <w:tcW w:w="1134" w:type="dxa"/>
            <w:tcBorders>
              <w:top w:val="nil"/>
              <w:left w:val="nil"/>
              <w:bottom w:val="nil"/>
              <w:right w:val="single" w:sz="4" w:space="0" w:color="auto"/>
            </w:tcBorders>
            <w:shd w:val="clear" w:color="FFFFCC" w:fill="FFFFFF"/>
            <w:vAlign w:val="center"/>
            <w:hideMark/>
          </w:tcPr>
          <w:p w14:paraId="78EE68A2"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1,776,211,447</w:t>
            </w:r>
          </w:p>
        </w:tc>
        <w:tc>
          <w:tcPr>
            <w:tcW w:w="1134" w:type="dxa"/>
            <w:gridSpan w:val="3"/>
            <w:tcBorders>
              <w:top w:val="nil"/>
              <w:left w:val="nil"/>
              <w:bottom w:val="nil"/>
              <w:right w:val="single" w:sz="4" w:space="0" w:color="auto"/>
            </w:tcBorders>
            <w:shd w:val="clear" w:color="FFFFCC" w:fill="FFFFFF"/>
            <w:vAlign w:val="center"/>
            <w:hideMark/>
          </w:tcPr>
          <w:p w14:paraId="6D310CA7"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1,857,901,200</w:t>
            </w:r>
          </w:p>
        </w:tc>
        <w:tc>
          <w:tcPr>
            <w:tcW w:w="1134" w:type="dxa"/>
            <w:tcBorders>
              <w:top w:val="nil"/>
              <w:left w:val="nil"/>
              <w:bottom w:val="nil"/>
              <w:right w:val="single" w:sz="4" w:space="0" w:color="auto"/>
            </w:tcBorders>
            <w:shd w:val="clear" w:color="FFFFCC" w:fill="FFFFFF"/>
            <w:vAlign w:val="center"/>
            <w:hideMark/>
          </w:tcPr>
          <w:p w14:paraId="0DBF61F9"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2,235,057,550</w:t>
            </w:r>
          </w:p>
        </w:tc>
      </w:tr>
      <w:tr w:rsidR="005873E4" w:rsidRPr="003B476C" w14:paraId="51CC8FEF"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612EBA25" w14:textId="77777777" w:rsidR="005873E4" w:rsidRPr="003B476C" w:rsidRDefault="005873E4" w:rsidP="005873E4">
            <w:pPr>
              <w:ind w:firstLineChars="100" w:firstLine="140"/>
              <w:jc w:val="left"/>
              <w:rPr>
                <w:rFonts w:eastAsia="Times New Roman" w:cs="Arial"/>
                <w:color w:val="000000"/>
                <w:sz w:val="14"/>
                <w:szCs w:val="14"/>
              </w:rPr>
            </w:pPr>
            <w:r w:rsidRPr="003B476C">
              <w:rPr>
                <w:rFonts w:eastAsia="Times New Roman" w:cs="Arial"/>
                <w:color w:val="000000"/>
                <w:sz w:val="14"/>
                <w:szCs w:val="14"/>
              </w:rPr>
              <w:t>E. Otras Transferencias Federales Etiquetadas</w:t>
            </w:r>
          </w:p>
        </w:tc>
        <w:tc>
          <w:tcPr>
            <w:tcW w:w="1134" w:type="dxa"/>
            <w:tcBorders>
              <w:top w:val="nil"/>
              <w:left w:val="nil"/>
              <w:bottom w:val="nil"/>
              <w:right w:val="single" w:sz="4" w:space="0" w:color="auto"/>
            </w:tcBorders>
            <w:shd w:val="clear" w:color="FFFFCC" w:fill="FFFFFF"/>
            <w:vAlign w:val="center"/>
            <w:hideMark/>
          </w:tcPr>
          <w:p w14:paraId="58A8096A"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96,763,925</w:t>
            </w:r>
          </w:p>
        </w:tc>
        <w:tc>
          <w:tcPr>
            <w:tcW w:w="993" w:type="dxa"/>
            <w:tcBorders>
              <w:top w:val="nil"/>
              <w:left w:val="nil"/>
              <w:bottom w:val="nil"/>
              <w:right w:val="single" w:sz="4" w:space="0" w:color="auto"/>
            </w:tcBorders>
            <w:shd w:val="clear" w:color="FFFFCC" w:fill="FFFFFF"/>
            <w:vAlign w:val="center"/>
            <w:hideMark/>
          </w:tcPr>
          <w:p w14:paraId="417E0E89"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17,621,413</w:t>
            </w:r>
          </w:p>
        </w:tc>
        <w:tc>
          <w:tcPr>
            <w:tcW w:w="1134" w:type="dxa"/>
            <w:tcBorders>
              <w:top w:val="nil"/>
              <w:left w:val="nil"/>
              <w:bottom w:val="nil"/>
              <w:right w:val="single" w:sz="4" w:space="0" w:color="auto"/>
            </w:tcBorders>
            <w:shd w:val="clear" w:color="FFFFCC" w:fill="FFFFFF"/>
            <w:vAlign w:val="center"/>
            <w:hideMark/>
          </w:tcPr>
          <w:p w14:paraId="1C006E3F"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19,844,839</w:t>
            </w:r>
          </w:p>
        </w:tc>
        <w:tc>
          <w:tcPr>
            <w:tcW w:w="1134" w:type="dxa"/>
            <w:tcBorders>
              <w:top w:val="nil"/>
              <w:left w:val="nil"/>
              <w:bottom w:val="nil"/>
              <w:right w:val="single" w:sz="4" w:space="0" w:color="auto"/>
            </w:tcBorders>
            <w:shd w:val="clear" w:color="FFFFCC" w:fill="FFFFFF"/>
            <w:vAlign w:val="center"/>
            <w:hideMark/>
          </w:tcPr>
          <w:p w14:paraId="57921D82"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1,617,452</w:t>
            </w:r>
          </w:p>
        </w:tc>
        <w:tc>
          <w:tcPr>
            <w:tcW w:w="1134" w:type="dxa"/>
            <w:gridSpan w:val="3"/>
            <w:tcBorders>
              <w:top w:val="nil"/>
              <w:left w:val="nil"/>
              <w:bottom w:val="nil"/>
              <w:right w:val="single" w:sz="4" w:space="0" w:color="auto"/>
            </w:tcBorders>
            <w:shd w:val="clear" w:color="FFFFCC" w:fill="FFFFFF"/>
            <w:vAlign w:val="center"/>
            <w:hideMark/>
          </w:tcPr>
          <w:p w14:paraId="1B82EE07"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FFFFCC" w:fill="FFFFFF"/>
            <w:vAlign w:val="center"/>
            <w:hideMark/>
          </w:tcPr>
          <w:p w14:paraId="08F2484E"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r>
      <w:tr w:rsidR="005873E4" w:rsidRPr="003B476C" w14:paraId="55F6E174"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3FDDB28F" w14:textId="77777777" w:rsidR="005873E4" w:rsidRPr="003B476C" w:rsidRDefault="005873E4" w:rsidP="005873E4">
            <w:pPr>
              <w:jc w:val="left"/>
              <w:rPr>
                <w:rFonts w:eastAsia="Times New Roman" w:cs="Arial"/>
                <w:b/>
                <w:bCs/>
                <w:color w:val="000000"/>
                <w:sz w:val="14"/>
                <w:szCs w:val="14"/>
              </w:rPr>
            </w:pPr>
            <w:r w:rsidRPr="003B476C">
              <w:rPr>
                <w:rFonts w:eastAsia="Times New Roman" w:cs="Arial"/>
                <w:b/>
                <w:bCs/>
                <w:color w:val="000000"/>
                <w:sz w:val="14"/>
                <w:szCs w:val="14"/>
              </w:rPr>
              <w:t>3.  Ingresos Derivados de Financiamientos</w:t>
            </w:r>
          </w:p>
        </w:tc>
        <w:tc>
          <w:tcPr>
            <w:tcW w:w="1134" w:type="dxa"/>
            <w:tcBorders>
              <w:top w:val="nil"/>
              <w:left w:val="nil"/>
              <w:bottom w:val="nil"/>
              <w:right w:val="single" w:sz="4" w:space="0" w:color="auto"/>
            </w:tcBorders>
            <w:shd w:val="clear" w:color="FFFFCC" w:fill="FFFFFF"/>
            <w:vAlign w:val="center"/>
            <w:hideMark/>
          </w:tcPr>
          <w:p w14:paraId="3717E68D"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1,446,727,964</w:t>
            </w:r>
          </w:p>
        </w:tc>
        <w:tc>
          <w:tcPr>
            <w:tcW w:w="993" w:type="dxa"/>
            <w:tcBorders>
              <w:top w:val="nil"/>
              <w:left w:val="nil"/>
              <w:bottom w:val="nil"/>
              <w:right w:val="single" w:sz="4" w:space="0" w:color="auto"/>
            </w:tcBorders>
            <w:shd w:val="clear" w:color="FFFFCC" w:fill="FFFFFF"/>
            <w:vAlign w:val="center"/>
            <w:hideMark/>
          </w:tcPr>
          <w:p w14:paraId="2AF47775"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1,277,183,589</w:t>
            </w:r>
          </w:p>
        </w:tc>
        <w:tc>
          <w:tcPr>
            <w:tcW w:w="1134" w:type="dxa"/>
            <w:tcBorders>
              <w:top w:val="nil"/>
              <w:left w:val="nil"/>
              <w:bottom w:val="nil"/>
              <w:right w:val="single" w:sz="4" w:space="0" w:color="auto"/>
            </w:tcBorders>
            <w:shd w:val="clear" w:color="FFFFCC" w:fill="FFFFFF"/>
            <w:vAlign w:val="center"/>
            <w:hideMark/>
          </w:tcPr>
          <w:p w14:paraId="7F977ADF"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1,240,000,000</w:t>
            </w:r>
          </w:p>
        </w:tc>
        <w:tc>
          <w:tcPr>
            <w:tcW w:w="1134" w:type="dxa"/>
            <w:tcBorders>
              <w:top w:val="nil"/>
              <w:left w:val="nil"/>
              <w:bottom w:val="nil"/>
              <w:right w:val="single" w:sz="4" w:space="0" w:color="auto"/>
            </w:tcBorders>
            <w:shd w:val="clear" w:color="FFFFCC" w:fill="FFFFFF"/>
            <w:vAlign w:val="center"/>
            <w:hideMark/>
          </w:tcPr>
          <w:p w14:paraId="7151C621"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955,000,000</w:t>
            </w:r>
          </w:p>
        </w:tc>
        <w:tc>
          <w:tcPr>
            <w:tcW w:w="1134" w:type="dxa"/>
            <w:gridSpan w:val="3"/>
            <w:tcBorders>
              <w:top w:val="nil"/>
              <w:left w:val="nil"/>
              <w:bottom w:val="nil"/>
              <w:right w:val="single" w:sz="4" w:space="0" w:color="auto"/>
            </w:tcBorders>
            <w:shd w:val="clear" w:color="FFFFCC" w:fill="FFFFFF"/>
            <w:vAlign w:val="center"/>
            <w:hideMark/>
          </w:tcPr>
          <w:p w14:paraId="692AC969"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682,427,512</w:t>
            </w:r>
          </w:p>
        </w:tc>
        <w:tc>
          <w:tcPr>
            <w:tcW w:w="1134" w:type="dxa"/>
            <w:tcBorders>
              <w:top w:val="nil"/>
              <w:left w:val="nil"/>
              <w:bottom w:val="nil"/>
              <w:right w:val="single" w:sz="4" w:space="0" w:color="auto"/>
            </w:tcBorders>
            <w:shd w:val="clear" w:color="FFFFCC" w:fill="FFFFFF"/>
            <w:vAlign w:val="center"/>
            <w:hideMark/>
          </w:tcPr>
          <w:p w14:paraId="297DB0DD"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2,896,393,261</w:t>
            </w:r>
          </w:p>
        </w:tc>
      </w:tr>
      <w:tr w:rsidR="005873E4" w:rsidRPr="003B476C" w14:paraId="5B4B2661"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7B3410CE" w14:textId="77777777" w:rsidR="005873E4" w:rsidRPr="003B476C" w:rsidRDefault="005873E4" w:rsidP="005873E4">
            <w:pPr>
              <w:ind w:firstLineChars="100" w:firstLine="140"/>
              <w:jc w:val="left"/>
              <w:rPr>
                <w:rFonts w:eastAsia="Times New Roman" w:cs="Arial"/>
                <w:color w:val="000000"/>
                <w:sz w:val="14"/>
                <w:szCs w:val="14"/>
              </w:rPr>
            </w:pPr>
            <w:r w:rsidRPr="003B476C">
              <w:rPr>
                <w:rFonts w:eastAsia="Times New Roman" w:cs="Arial"/>
                <w:color w:val="000000"/>
                <w:sz w:val="14"/>
                <w:szCs w:val="14"/>
              </w:rPr>
              <w:t>A. Ingresos Derivados de Financiamientos</w:t>
            </w:r>
          </w:p>
        </w:tc>
        <w:tc>
          <w:tcPr>
            <w:tcW w:w="1134" w:type="dxa"/>
            <w:tcBorders>
              <w:top w:val="nil"/>
              <w:left w:val="nil"/>
              <w:bottom w:val="nil"/>
              <w:right w:val="single" w:sz="4" w:space="0" w:color="auto"/>
            </w:tcBorders>
            <w:shd w:val="clear" w:color="FFFFCC" w:fill="FFFFFF"/>
            <w:vAlign w:val="center"/>
            <w:hideMark/>
          </w:tcPr>
          <w:p w14:paraId="17759DBC"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1,446,727,964</w:t>
            </w:r>
          </w:p>
        </w:tc>
        <w:tc>
          <w:tcPr>
            <w:tcW w:w="993" w:type="dxa"/>
            <w:tcBorders>
              <w:top w:val="nil"/>
              <w:left w:val="nil"/>
              <w:bottom w:val="nil"/>
              <w:right w:val="single" w:sz="4" w:space="0" w:color="auto"/>
            </w:tcBorders>
            <w:shd w:val="clear" w:color="FFFFCC" w:fill="FFFFFF"/>
            <w:vAlign w:val="center"/>
            <w:hideMark/>
          </w:tcPr>
          <w:p w14:paraId="1630E22F"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1,277,183,589</w:t>
            </w:r>
          </w:p>
        </w:tc>
        <w:tc>
          <w:tcPr>
            <w:tcW w:w="1134" w:type="dxa"/>
            <w:tcBorders>
              <w:top w:val="nil"/>
              <w:left w:val="nil"/>
              <w:bottom w:val="nil"/>
              <w:right w:val="single" w:sz="4" w:space="0" w:color="auto"/>
            </w:tcBorders>
            <w:shd w:val="clear" w:color="auto" w:fill="auto"/>
            <w:vAlign w:val="center"/>
            <w:hideMark/>
          </w:tcPr>
          <w:p w14:paraId="6C61D0FB"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1,240,000,000</w:t>
            </w:r>
          </w:p>
        </w:tc>
        <w:tc>
          <w:tcPr>
            <w:tcW w:w="1134" w:type="dxa"/>
            <w:tcBorders>
              <w:top w:val="nil"/>
              <w:left w:val="nil"/>
              <w:bottom w:val="nil"/>
              <w:right w:val="single" w:sz="4" w:space="0" w:color="auto"/>
            </w:tcBorders>
            <w:shd w:val="clear" w:color="auto" w:fill="auto"/>
            <w:vAlign w:val="center"/>
            <w:hideMark/>
          </w:tcPr>
          <w:p w14:paraId="7F9B17F4"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955,000,000</w:t>
            </w:r>
          </w:p>
        </w:tc>
        <w:tc>
          <w:tcPr>
            <w:tcW w:w="1134" w:type="dxa"/>
            <w:gridSpan w:val="3"/>
            <w:tcBorders>
              <w:top w:val="nil"/>
              <w:left w:val="nil"/>
              <w:bottom w:val="nil"/>
              <w:right w:val="single" w:sz="4" w:space="0" w:color="auto"/>
            </w:tcBorders>
            <w:shd w:val="clear" w:color="auto" w:fill="auto"/>
            <w:vAlign w:val="center"/>
            <w:hideMark/>
          </w:tcPr>
          <w:p w14:paraId="7BF2E5B2"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682,427,512</w:t>
            </w:r>
          </w:p>
        </w:tc>
        <w:tc>
          <w:tcPr>
            <w:tcW w:w="1134" w:type="dxa"/>
            <w:tcBorders>
              <w:top w:val="nil"/>
              <w:left w:val="nil"/>
              <w:bottom w:val="nil"/>
              <w:right w:val="single" w:sz="4" w:space="0" w:color="auto"/>
            </w:tcBorders>
            <w:shd w:val="clear" w:color="auto" w:fill="auto"/>
            <w:vAlign w:val="center"/>
            <w:hideMark/>
          </w:tcPr>
          <w:p w14:paraId="3062D9D2"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2,896,393,261</w:t>
            </w:r>
          </w:p>
        </w:tc>
      </w:tr>
      <w:tr w:rsidR="005873E4" w:rsidRPr="003B476C" w14:paraId="4EC8FF6F"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6D0C2FF3" w14:textId="77777777" w:rsidR="005873E4" w:rsidRPr="003B476C" w:rsidRDefault="005873E4" w:rsidP="005873E4">
            <w:pPr>
              <w:jc w:val="left"/>
              <w:rPr>
                <w:rFonts w:eastAsia="Times New Roman" w:cs="Arial"/>
                <w:color w:val="000000"/>
                <w:sz w:val="14"/>
                <w:szCs w:val="14"/>
              </w:rPr>
            </w:pPr>
            <w:r w:rsidRPr="003B476C">
              <w:rPr>
                <w:rFonts w:eastAsia="Times New Roman" w:cs="Arial"/>
                <w:color w:val="000000"/>
                <w:sz w:val="14"/>
                <w:szCs w:val="14"/>
              </w:rPr>
              <w:lastRenderedPageBreak/>
              <w:t> </w:t>
            </w:r>
          </w:p>
        </w:tc>
        <w:tc>
          <w:tcPr>
            <w:tcW w:w="1134" w:type="dxa"/>
            <w:tcBorders>
              <w:top w:val="nil"/>
              <w:left w:val="nil"/>
              <w:bottom w:val="nil"/>
              <w:right w:val="single" w:sz="4" w:space="0" w:color="auto"/>
            </w:tcBorders>
            <w:shd w:val="clear" w:color="FFFFCC" w:fill="FFFFFF"/>
            <w:vAlign w:val="center"/>
            <w:hideMark/>
          </w:tcPr>
          <w:p w14:paraId="07987FE2"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 </w:t>
            </w:r>
          </w:p>
        </w:tc>
        <w:tc>
          <w:tcPr>
            <w:tcW w:w="993" w:type="dxa"/>
            <w:tcBorders>
              <w:top w:val="nil"/>
              <w:left w:val="nil"/>
              <w:bottom w:val="nil"/>
              <w:right w:val="single" w:sz="4" w:space="0" w:color="auto"/>
            </w:tcBorders>
            <w:shd w:val="clear" w:color="FFFFCC" w:fill="FFFFFF"/>
            <w:vAlign w:val="center"/>
            <w:hideMark/>
          </w:tcPr>
          <w:p w14:paraId="006EA54C"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 </w:t>
            </w:r>
          </w:p>
        </w:tc>
        <w:tc>
          <w:tcPr>
            <w:tcW w:w="1134" w:type="dxa"/>
            <w:tcBorders>
              <w:top w:val="nil"/>
              <w:left w:val="nil"/>
              <w:bottom w:val="nil"/>
              <w:right w:val="single" w:sz="4" w:space="0" w:color="auto"/>
            </w:tcBorders>
            <w:shd w:val="clear" w:color="FFFFCC" w:fill="FFFFFF"/>
            <w:vAlign w:val="center"/>
            <w:hideMark/>
          </w:tcPr>
          <w:p w14:paraId="2FC7FDD2"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 </w:t>
            </w:r>
          </w:p>
        </w:tc>
        <w:tc>
          <w:tcPr>
            <w:tcW w:w="1134" w:type="dxa"/>
            <w:tcBorders>
              <w:top w:val="nil"/>
              <w:left w:val="nil"/>
              <w:bottom w:val="nil"/>
              <w:right w:val="single" w:sz="4" w:space="0" w:color="auto"/>
            </w:tcBorders>
            <w:shd w:val="clear" w:color="FFFFCC" w:fill="FFFFFF"/>
            <w:vAlign w:val="center"/>
            <w:hideMark/>
          </w:tcPr>
          <w:p w14:paraId="26613762"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 </w:t>
            </w:r>
          </w:p>
        </w:tc>
        <w:tc>
          <w:tcPr>
            <w:tcW w:w="1134" w:type="dxa"/>
            <w:gridSpan w:val="3"/>
            <w:tcBorders>
              <w:top w:val="nil"/>
              <w:left w:val="nil"/>
              <w:bottom w:val="nil"/>
              <w:right w:val="single" w:sz="4" w:space="0" w:color="auto"/>
            </w:tcBorders>
            <w:shd w:val="clear" w:color="FFFFCC" w:fill="FFFFFF"/>
            <w:vAlign w:val="center"/>
            <w:hideMark/>
          </w:tcPr>
          <w:p w14:paraId="7A9684A0"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 </w:t>
            </w:r>
          </w:p>
        </w:tc>
        <w:tc>
          <w:tcPr>
            <w:tcW w:w="1134" w:type="dxa"/>
            <w:tcBorders>
              <w:top w:val="nil"/>
              <w:left w:val="nil"/>
              <w:bottom w:val="nil"/>
              <w:right w:val="single" w:sz="4" w:space="0" w:color="auto"/>
            </w:tcBorders>
            <w:shd w:val="clear" w:color="FFFFCC" w:fill="FFFFFF"/>
            <w:vAlign w:val="center"/>
            <w:hideMark/>
          </w:tcPr>
          <w:p w14:paraId="7B6AE465"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 </w:t>
            </w:r>
          </w:p>
        </w:tc>
      </w:tr>
      <w:tr w:rsidR="005873E4" w:rsidRPr="003B476C" w14:paraId="7072CF9C"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0FFC3233" w14:textId="77777777" w:rsidR="005873E4" w:rsidRPr="003B476C" w:rsidRDefault="005873E4" w:rsidP="005873E4">
            <w:pPr>
              <w:jc w:val="left"/>
              <w:rPr>
                <w:rFonts w:eastAsia="Times New Roman" w:cs="Arial"/>
                <w:b/>
                <w:bCs/>
                <w:color w:val="000000"/>
                <w:sz w:val="14"/>
                <w:szCs w:val="14"/>
              </w:rPr>
            </w:pPr>
            <w:r w:rsidRPr="003B476C">
              <w:rPr>
                <w:rFonts w:eastAsia="Times New Roman" w:cs="Arial"/>
                <w:b/>
                <w:bCs/>
                <w:color w:val="000000"/>
                <w:sz w:val="14"/>
                <w:szCs w:val="14"/>
              </w:rPr>
              <w:t>4.  Total de Resultados de Ingresos</w:t>
            </w:r>
          </w:p>
        </w:tc>
        <w:tc>
          <w:tcPr>
            <w:tcW w:w="1134" w:type="dxa"/>
            <w:tcBorders>
              <w:top w:val="nil"/>
              <w:left w:val="nil"/>
              <w:bottom w:val="nil"/>
              <w:right w:val="single" w:sz="4" w:space="0" w:color="auto"/>
            </w:tcBorders>
            <w:shd w:val="clear" w:color="FFFFCC" w:fill="FFFFFF"/>
            <w:vAlign w:val="center"/>
            <w:hideMark/>
          </w:tcPr>
          <w:p w14:paraId="591E7F14"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18,970,677,389</w:t>
            </w:r>
          </w:p>
        </w:tc>
        <w:tc>
          <w:tcPr>
            <w:tcW w:w="993" w:type="dxa"/>
            <w:tcBorders>
              <w:top w:val="nil"/>
              <w:left w:val="nil"/>
              <w:bottom w:val="nil"/>
              <w:right w:val="single" w:sz="4" w:space="0" w:color="auto"/>
            </w:tcBorders>
            <w:shd w:val="clear" w:color="FFFFCC" w:fill="FFFFFF"/>
            <w:vAlign w:val="center"/>
            <w:hideMark/>
          </w:tcPr>
          <w:p w14:paraId="01FE1715"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19,019,519,622</w:t>
            </w:r>
          </w:p>
        </w:tc>
        <w:tc>
          <w:tcPr>
            <w:tcW w:w="1134" w:type="dxa"/>
            <w:tcBorders>
              <w:top w:val="nil"/>
              <w:left w:val="nil"/>
              <w:bottom w:val="nil"/>
              <w:right w:val="single" w:sz="4" w:space="0" w:color="auto"/>
            </w:tcBorders>
            <w:shd w:val="clear" w:color="FFFFCC" w:fill="FFFFFF"/>
            <w:vAlign w:val="center"/>
            <w:hideMark/>
          </w:tcPr>
          <w:p w14:paraId="0BC83AED"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19,046,050,823</w:t>
            </w:r>
          </w:p>
        </w:tc>
        <w:tc>
          <w:tcPr>
            <w:tcW w:w="1134" w:type="dxa"/>
            <w:tcBorders>
              <w:top w:val="nil"/>
              <w:left w:val="nil"/>
              <w:bottom w:val="nil"/>
              <w:right w:val="single" w:sz="4" w:space="0" w:color="auto"/>
            </w:tcBorders>
            <w:shd w:val="clear" w:color="FFFFCC" w:fill="FFFFFF"/>
            <w:vAlign w:val="center"/>
            <w:hideMark/>
          </w:tcPr>
          <w:p w14:paraId="1B8955B7"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20,072,416,002</w:t>
            </w:r>
          </w:p>
        </w:tc>
        <w:tc>
          <w:tcPr>
            <w:tcW w:w="1134" w:type="dxa"/>
            <w:gridSpan w:val="3"/>
            <w:tcBorders>
              <w:top w:val="nil"/>
              <w:left w:val="nil"/>
              <w:bottom w:val="nil"/>
              <w:right w:val="single" w:sz="4" w:space="0" w:color="auto"/>
            </w:tcBorders>
            <w:shd w:val="clear" w:color="FFFFCC" w:fill="FFFFFF"/>
            <w:vAlign w:val="center"/>
            <w:hideMark/>
          </w:tcPr>
          <w:p w14:paraId="7EAA201D"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21,633,707,106</w:t>
            </w:r>
          </w:p>
        </w:tc>
        <w:tc>
          <w:tcPr>
            <w:tcW w:w="1134" w:type="dxa"/>
            <w:tcBorders>
              <w:top w:val="nil"/>
              <w:left w:val="nil"/>
              <w:bottom w:val="nil"/>
              <w:right w:val="single" w:sz="4" w:space="0" w:color="auto"/>
            </w:tcBorders>
            <w:shd w:val="clear" w:color="FFFFCC" w:fill="FFFFFF"/>
            <w:vAlign w:val="center"/>
            <w:hideMark/>
          </w:tcPr>
          <w:p w14:paraId="5F9EF6E6"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23,900,431,596</w:t>
            </w:r>
          </w:p>
        </w:tc>
      </w:tr>
      <w:tr w:rsidR="005873E4" w:rsidRPr="003B476C" w14:paraId="56D5B5C3"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03E0D451" w14:textId="77777777" w:rsidR="005873E4" w:rsidRPr="003B476C" w:rsidRDefault="005873E4" w:rsidP="005873E4">
            <w:pPr>
              <w:jc w:val="left"/>
              <w:rPr>
                <w:rFonts w:eastAsia="Times New Roman" w:cs="Arial"/>
                <w:b/>
                <w:bCs/>
                <w:color w:val="000000"/>
                <w:sz w:val="14"/>
                <w:szCs w:val="14"/>
              </w:rPr>
            </w:pPr>
            <w:r w:rsidRPr="003B476C">
              <w:rPr>
                <w:rFonts w:eastAsia="Times New Roman" w:cs="Arial"/>
                <w:b/>
                <w:bCs/>
                <w:color w:val="000000"/>
                <w:sz w:val="14"/>
                <w:szCs w:val="14"/>
              </w:rPr>
              <w:t>Datos Informativos</w:t>
            </w:r>
          </w:p>
        </w:tc>
        <w:tc>
          <w:tcPr>
            <w:tcW w:w="1134" w:type="dxa"/>
            <w:tcBorders>
              <w:top w:val="nil"/>
              <w:left w:val="nil"/>
              <w:bottom w:val="nil"/>
              <w:right w:val="single" w:sz="4" w:space="0" w:color="auto"/>
            </w:tcBorders>
            <w:shd w:val="clear" w:color="FFFFCC" w:fill="FFFFFF"/>
            <w:vAlign w:val="center"/>
            <w:hideMark/>
          </w:tcPr>
          <w:p w14:paraId="633DCDA3"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 </w:t>
            </w:r>
          </w:p>
        </w:tc>
        <w:tc>
          <w:tcPr>
            <w:tcW w:w="993" w:type="dxa"/>
            <w:tcBorders>
              <w:top w:val="nil"/>
              <w:left w:val="nil"/>
              <w:bottom w:val="nil"/>
              <w:right w:val="single" w:sz="4" w:space="0" w:color="auto"/>
            </w:tcBorders>
            <w:shd w:val="clear" w:color="FFFFCC" w:fill="FFFFFF"/>
            <w:vAlign w:val="center"/>
            <w:hideMark/>
          </w:tcPr>
          <w:p w14:paraId="5506D87B"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 </w:t>
            </w:r>
          </w:p>
        </w:tc>
        <w:tc>
          <w:tcPr>
            <w:tcW w:w="1134" w:type="dxa"/>
            <w:tcBorders>
              <w:top w:val="nil"/>
              <w:left w:val="nil"/>
              <w:bottom w:val="nil"/>
              <w:right w:val="single" w:sz="4" w:space="0" w:color="auto"/>
            </w:tcBorders>
            <w:shd w:val="clear" w:color="FFFFCC" w:fill="FFFFFF"/>
            <w:vAlign w:val="center"/>
            <w:hideMark/>
          </w:tcPr>
          <w:p w14:paraId="02ABC09A"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 </w:t>
            </w:r>
          </w:p>
        </w:tc>
        <w:tc>
          <w:tcPr>
            <w:tcW w:w="1134" w:type="dxa"/>
            <w:tcBorders>
              <w:top w:val="nil"/>
              <w:left w:val="nil"/>
              <w:bottom w:val="nil"/>
              <w:right w:val="single" w:sz="4" w:space="0" w:color="auto"/>
            </w:tcBorders>
            <w:shd w:val="clear" w:color="FFFFCC" w:fill="FFFFFF"/>
            <w:vAlign w:val="center"/>
            <w:hideMark/>
          </w:tcPr>
          <w:p w14:paraId="1208863A"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 </w:t>
            </w:r>
          </w:p>
        </w:tc>
        <w:tc>
          <w:tcPr>
            <w:tcW w:w="1134" w:type="dxa"/>
            <w:gridSpan w:val="3"/>
            <w:tcBorders>
              <w:top w:val="nil"/>
              <w:left w:val="nil"/>
              <w:bottom w:val="nil"/>
              <w:right w:val="single" w:sz="4" w:space="0" w:color="auto"/>
            </w:tcBorders>
            <w:shd w:val="clear" w:color="FFFFCC" w:fill="FFFFFF"/>
            <w:vAlign w:val="center"/>
            <w:hideMark/>
          </w:tcPr>
          <w:p w14:paraId="6C120DFA"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 </w:t>
            </w:r>
          </w:p>
        </w:tc>
        <w:tc>
          <w:tcPr>
            <w:tcW w:w="1134" w:type="dxa"/>
            <w:tcBorders>
              <w:top w:val="nil"/>
              <w:left w:val="nil"/>
              <w:bottom w:val="nil"/>
              <w:right w:val="single" w:sz="4" w:space="0" w:color="auto"/>
            </w:tcBorders>
            <w:shd w:val="clear" w:color="FFFFCC" w:fill="FFFFFF"/>
            <w:vAlign w:val="center"/>
            <w:hideMark/>
          </w:tcPr>
          <w:p w14:paraId="0BAF156D"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 </w:t>
            </w:r>
          </w:p>
        </w:tc>
      </w:tr>
      <w:tr w:rsidR="005873E4" w:rsidRPr="003B476C" w14:paraId="1821CAD6"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5FAAD866" w14:textId="77777777" w:rsidR="005873E4" w:rsidRPr="003B476C" w:rsidRDefault="005873E4" w:rsidP="005873E4">
            <w:pPr>
              <w:jc w:val="left"/>
              <w:rPr>
                <w:rFonts w:eastAsia="Times New Roman" w:cs="Arial"/>
                <w:color w:val="000000"/>
                <w:sz w:val="14"/>
                <w:szCs w:val="14"/>
              </w:rPr>
            </w:pPr>
            <w:r w:rsidRPr="003B476C">
              <w:rPr>
                <w:rFonts w:eastAsia="Times New Roman" w:cs="Arial"/>
                <w:color w:val="000000"/>
                <w:sz w:val="14"/>
                <w:szCs w:val="14"/>
              </w:rPr>
              <w:t>1. Ingresos Derivados de Financiamientos con Fuente de Pago de Recursos de Libre Disposición</w:t>
            </w:r>
          </w:p>
        </w:tc>
        <w:tc>
          <w:tcPr>
            <w:tcW w:w="1134" w:type="dxa"/>
            <w:tcBorders>
              <w:top w:val="nil"/>
              <w:left w:val="nil"/>
              <w:bottom w:val="nil"/>
              <w:right w:val="single" w:sz="4" w:space="0" w:color="auto"/>
            </w:tcBorders>
            <w:shd w:val="clear" w:color="FFFFCC" w:fill="FFFFFF"/>
            <w:vAlign w:val="center"/>
            <w:hideMark/>
          </w:tcPr>
          <w:p w14:paraId="383CA3BC"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1,446,727,964</w:t>
            </w:r>
          </w:p>
        </w:tc>
        <w:tc>
          <w:tcPr>
            <w:tcW w:w="993" w:type="dxa"/>
            <w:tcBorders>
              <w:top w:val="nil"/>
              <w:left w:val="nil"/>
              <w:bottom w:val="nil"/>
              <w:right w:val="single" w:sz="4" w:space="0" w:color="auto"/>
            </w:tcBorders>
            <w:shd w:val="clear" w:color="FFFFCC" w:fill="FFFFFF"/>
            <w:vAlign w:val="center"/>
            <w:hideMark/>
          </w:tcPr>
          <w:p w14:paraId="0962459B"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1,277,183,589</w:t>
            </w:r>
          </w:p>
        </w:tc>
        <w:tc>
          <w:tcPr>
            <w:tcW w:w="1134" w:type="dxa"/>
            <w:tcBorders>
              <w:top w:val="nil"/>
              <w:left w:val="nil"/>
              <w:bottom w:val="nil"/>
              <w:right w:val="single" w:sz="4" w:space="0" w:color="auto"/>
            </w:tcBorders>
            <w:shd w:val="clear" w:color="FFFFCC" w:fill="FFFFFF"/>
            <w:vAlign w:val="center"/>
            <w:hideMark/>
          </w:tcPr>
          <w:p w14:paraId="1A150AC7"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1,240,000,000</w:t>
            </w:r>
          </w:p>
        </w:tc>
        <w:tc>
          <w:tcPr>
            <w:tcW w:w="1134" w:type="dxa"/>
            <w:tcBorders>
              <w:top w:val="nil"/>
              <w:left w:val="nil"/>
              <w:bottom w:val="nil"/>
              <w:right w:val="single" w:sz="4" w:space="0" w:color="auto"/>
            </w:tcBorders>
            <w:shd w:val="clear" w:color="FFFFCC" w:fill="FFFFFF"/>
            <w:vAlign w:val="center"/>
            <w:hideMark/>
          </w:tcPr>
          <w:p w14:paraId="344B2200"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955,000,000</w:t>
            </w:r>
          </w:p>
        </w:tc>
        <w:tc>
          <w:tcPr>
            <w:tcW w:w="1134" w:type="dxa"/>
            <w:gridSpan w:val="3"/>
            <w:tcBorders>
              <w:top w:val="nil"/>
              <w:left w:val="nil"/>
              <w:bottom w:val="nil"/>
              <w:right w:val="single" w:sz="4" w:space="0" w:color="auto"/>
            </w:tcBorders>
            <w:shd w:val="clear" w:color="FFFFCC" w:fill="FFFFFF"/>
            <w:vAlign w:val="center"/>
            <w:hideMark/>
          </w:tcPr>
          <w:p w14:paraId="41642C32"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682,427,512</w:t>
            </w:r>
          </w:p>
        </w:tc>
        <w:tc>
          <w:tcPr>
            <w:tcW w:w="1134" w:type="dxa"/>
            <w:tcBorders>
              <w:top w:val="nil"/>
              <w:left w:val="nil"/>
              <w:bottom w:val="nil"/>
              <w:right w:val="single" w:sz="4" w:space="0" w:color="auto"/>
            </w:tcBorders>
            <w:shd w:val="clear" w:color="FFFFCC" w:fill="FFFFFF"/>
            <w:vAlign w:val="center"/>
            <w:hideMark/>
          </w:tcPr>
          <w:p w14:paraId="3B005DF8"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2,896,393,261</w:t>
            </w:r>
          </w:p>
        </w:tc>
      </w:tr>
      <w:tr w:rsidR="005873E4" w:rsidRPr="003B476C" w14:paraId="29707CAC"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636F421E" w14:textId="77777777" w:rsidR="005873E4" w:rsidRPr="003B476C" w:rsidRDefault="005873E4" w:rsidP="005873E4">
            <w:pPr>
              <w:jc w:val="left"/>
              <w:rPr>
                <w:rFonts w:eastAsia="Times New Roman" w:cs="Arial"/>
                <w:color w:val="000000"/>
                <w:sz w:val="14"/>
                <w:szCs w:val="14"/>
              </w:rPr>
            </w:pPr>
            <w:r w:rsidRPr="003B476C">
              <w:rPr>
                <w:rFonts w:eastAsia="Times New Roman" w:cs="Arial"/>
                <w:color w:val="000000"/>
                <w:sz w:val="14"/>
                <w:szCs w:val="14"/>
              </w:rPr>
              <w:t>2. Ingresos derivados de Financiamientos con Fuente de Pago de Transferencias Federales Etiquetadas</w:t>
            </w:r>
          </w:p>
        </w:tc>
        <w:tc>
          <w:tcPr>
            <w:tcW w:w="1134" w:type="dxa"/>
            <w:tcBorders>
              <w:top w:val="nil"/>
              <w:left w:val="nil"/>
              <w:bottom w:val="nil"/>
              <w:right w:val="single" w:sz="4" w:space="0" w:color="auto"/>
            </w:tcBorders>
            <w:shd w:val="clear" w:color="FFFFCC" w:fill="FFFFFF"/>
            <w:vAlign w:val="center"/>
            <w:hideMark/>
          </w:tcPr>
          <w:p w14:paraId="3E485297"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993" w:type="dxa"/>
            <w:tcBorders>
              <w:top w:val="nil"/>
              <w:left w:val="nil"/>
              <w:bottom w:val="nil"/>
              <w:right w:val="single" w:sz="4" w:space="0" w:color="auto"/>
            </w:tcBorders>
            <w:shd w:val="clear" w:color="FFFFCC" w:fill="FFFFFF"/>
            <w:vAlign w:val="center"/>
            <w:hideMark/>
          </w:tcPr>
          <w:p w14:paraId="77952E96"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FFFFCC" w:fill="FFFFFF"/>
            <w:vAlign w:val="center"/>
            <w:hideMark/>
          </w:tcPr>
          <w:p w14:paraId="3129387D"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FFFFCC" w:fill="FFFFFF"/>
            <w:vAlign w:val="center"/>
            <w:hideMark/>
          </w:tcPr>
          <w:p w14:paraId="1568E0F7"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gridSpan w:val="3"/>
            <w:tcBorders>
              <w:top w:val="nil"/>
              <w:left w:val="nil"/>
              <w:bottom w:val="nil"/>
              <w:right w:val="single" w:sz="4" w:space="0" w:color="auto"/>
            </w:tcBorders>
            <w:shd w:val="clear" w:color="FFFFCC" w:fill="FFFFFF"/>
            <w:vAlign w:val="center"/>
            <w:hideMark/>
          </w:tcPr>
          <w:p w14:paraId="738B1721"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FFFFCC" w:fill="FFFFFF"/>
            <w:vAlign w:val="center"/>
            <w:hideMark/>
          </w:tcPr>
          <w:p w14:paraId="3A033E0E"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0</w:t>
            </w:r>
          </w:p>
        </w:tc>
      </w:tr>
      <w:tr w:rsidR="005873E4" w:rsidRPr="003B476C" w14:paraId="66A4FB91" w14:textId="77777777" w:rsidTr="009E37EE">
        <w:trPr>
          <w:trHeight w:val="20"/>
        </w:trPr>
        <w:tc>
          <w:tcPr>
            <w:tcW w:w="2830" w:type="dxa"/>
            <w:tcBorders>
              <w:top w:val="nil"/>
              <w:left w:val="single" w:sz="4" w:space="0" w:color="auto"/>
              <w:bottom w:val="nil"/>
              <w:right w:val="single" w:sz="4" w:space="0" w:color="auto"/>
            </w:tcBorders>
            <w:shd w:val="clear" w:color="FFFFCC" w:fill="FFFFFF"/>
            <w:vAlign w:val="center"/>
            <w:hideMark/>
          </w:tcPr>
          <w:p w14:paraId="5B6BA74D" w14:textId="77777777" w:rsidR="005873E4" w:rsidRPr="003B476C" w:rsidRDefault="005873E4" w:rsidP="005873E4">
            <w:pPr>
              <w:jc w:val="left"/>
              <w:rPr>
                <w:rFonts w:eastAsia="Times New Roman" w:cs="Arial"/>
                <w:b/>
                <w:bCs/>
                <w:color w:val="000000"/>
                <w:sz w:val="14"/>
                <w:szCs w:val="14"/>
              </w:rPr>
            </w:pPr>
            <w:r w:rsidRPr="003B476C">
              <w:rPr>
                <w:rFonts w:eastAsia="Times New Roman" w:cs="Arial"/>
                <w:b/>
                <w:bCs/>
                <w:color w:val="000000"/>
                <w:sz w:val="14"/>
                <w:szCs w:val="14"/>
              </w:rPr>
              <w:t>3. Ingresos Derivados de Financiamiento</w:t>
            </w:r>
          </w:p>
        </w:tc>
        <w:tc>
          <w:tcPr>
            <w:tcW w:w="1134" w:type="dxa"/>
            <w:tcBorders>
              <w:top w:val="nil"/>
              <w:left w:val="nil"/>
              <w:bottom w:val="nil"/>
              <w:right w:val="single" w:sz="4" w:space="0" w:color="auto"/>
            </w:tcBorders>
            <w:shd w:val="clear" w:color="FFFFCC" w:fill="FFFFFF"/>
            <w:vAlign w:val="center"/>
            <w:hideMark/>
          </w:tcPr>
          <w:p w14:paraId="4BFE267D"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1,446,727,964</w:t>
            </w:r>
          </w:p>
        </w:tc>
        <w:tc>
          <w:tcPr>
            <w:tcW w:w="993" w:type="dxa"/>
            <w:tcBorders>
              <w:top w:val="nil"/>
              <w:left w:val="nil"/>
              <w:bottom w:val="nil"/>
              <w:right w:val="single" w:sz="4" w:space="0" w:color="auto"/>
            </w:tcBorders>
            <w:shd w:val="clear" w:color="FFFFCC" w:fill="FFFFFF"/>
            <w:vAlign w:val="center"/>
            <w:hideMark/>
          </w:tcPr>
          <w:p w14:paraId="70176A5D"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1,277,183,589</w:t>
            </w:r>
          </w:p>
        </w:tc>
        <w:tc>
          <w:tcPr>
            <w:tcW w:w="1134" w:type="dxa"/>
            <w:tcBorders>
              <w:top w:val="nil"/>
              <w:left w:val="nil"/>
              <w:bottom w:val="nil"/>
              <w:right w:val="single" w:sz="4" w:space="0" w:color="auto"/>
            </w:tcBorders>
            <w:shd w:val="clear" w:color="FFFFCC" w:fill="FFFFFF"/>
            <w:vAlign w:val="center"/>
            <w:hideMark/>
          </w:tcPr>
          <w:p w14:paraId="4D5873A3"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1,240,000,000</w:t>
            </w:r>
          </w:p>
        </w:tc>
        <w:tc>
          <w:tcPr>
            <w:tcW w:w="1134" w:type="dxa"/>
            <w:tcBorders>
              <w:top w:val="nil"/>
              <w:left w:val="nil"/>
              <w:bottom w:val="nil"/>
              <w:right w:val="single" w:sz="4" w:space="0" w:color="auto"/>
            </w:tcBorders>
            <w:shd w:val="clear" w:color="FFFFCC" w:fill="FFFFFF"/>
            <w:vAlign w:val="center"/>
            <w:hideMark/>
          </w:tcPr>
          <w:p w14:paraId="555905D0"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955,000,000</w:t>
            </w:r>
          </w:p>
        </w:tc>
        <w:tc>
          <w:tcPr>
            <w:tcW w:w="1134" w:type="dxa"/>
            <w:gridSpan w:val="3"/>
            <w:tcBorders>
              <w:top w:val="nil"/>
              <w:left w:val="nil"/>
              <w:bottom w:val="nil"/>
              <w:right w:val="single" w:sz="4" w:space="0" w:color="auto"/>
            </w:tcBorders>
            <w:shd w:val="clear" w:color="FFFFCC" w:fill="FFFFFF"/>
            <w:vAlign w:val="center"/>
            <w:hideMark/>
          </w:tcPr>
          <w:p w14:paraId="5340CEFC"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682,427,512</w:t>
            </w:r>
          </w:p>
        </w:tc>
        <w:tc>
          <w:tcPr>
            <w:tcW w:w="1134" w:type="dxa"/>
            <w:tcBorders>
              <w:top w:val="nil"/>
              <w:left w:val="nil"/>
              <w:bottom w:val="nil"/>
              <w:right w:val="single" w:sz="4" w:space="0" w:color="auto"/>
            </w:tcBorders>
            <w:shd w:val="clear" w:color="FFFFCC" w:fill="FFFFFF"/>
            <w:vAlign w:val="center"/>
            <w:hideMark/>
          </w:tcPr>
          <w:p w14:paraId="78516BE4"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2,896,393,261</w:t>
            </w:r>
          </w:p>
        </w:tc>
      </w:tr>
      <w:tr w:rsidR="005873E4" w:rsidRPr="003B476C" w14:paraId="692AEE52" w14:textId="77777777" w:rsidTr="009E37EE">
        <w:trPr>
          <w:trHeight w:val="20"/>
        </w:trPr>
        <w:tc>
          <w:tcPr>
            <w:tcW w:w="2830" w:type="dxa"/>
            <w:tcBorders>
              <w:top w:val="nil"/>
              <w:left w:val="single" w:sz="4" w:space="0" w:color="auto"/>
              <w:bottom w:val="single" w:sz="4" w:space="0" w:color="auto"/>
              <w:right w:val="single" w:sz="4" w:space="0" w:color="auto"/>
            </w:tcBorders>
            <w:shd w:val="clear" w:color="FFFFCC" w:fill="FFFFFF"/>
            <w:vAlign w:val="center"/>
            <w:hideMark/>
          </w:tcPr>
          <w:p w14:paraId="6253DFB0" w14:textId="77777777" w:rsidR="005873E4" w:rsidRPr="003B476C" w:rsidRDefault="005873E4" w:rsidP="005873E4">
            <w:pPr>
              <w:rPr>
                <w:rFonts w:eastAsia="Times New Roman" w:cs="Arial"/>
                <w:color w:val="000000"/>
                <w:sz w:val="14"/>
                <w:szCs w:val="14"/>
              </w:rPr>
            </w:pPr>
            <w:r w:rsidRPr="003B476C">
              <w:rPr>
                <w:rFonts w:eastAsia="Times New Roman" w:cs="Arial"/>
                <w:color w:val="000000"/>
                <w:sz w:val="14"/>
                <w:szCs w:val="14"/>
              </w:rPr>
              <w:t> </w:t>
            </w:r>
          </w:p>
        </w:tc>
        <w:tc>
          <w:tcPr>
            <w:tcW w:w="1134" w:type="dxa"/>
            <w:tcBorders>
              <w:top w:val="nil"/>
              <w:left w:val="nil"/>
              <w:bottom w:val="single" w:sz="4" w:space="0" w:color="auto"/>
              <w:right w:val="single" w:sz="4" w:space="0" w:color="auto"/>
            </w:tcBorders>
            <w:shd w:val="clear" w:color="FFFFCC" w:fill="FFFFFF"/>
            <w:vAlign w:val="center"/>
            <w:hideMark/>
          </w:tcPr>
          <w:p w14:paraId="46B94000"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 </w:t>
            </w:r>
          </w:p>
        </w:tc>
        <w:tc>
          <w:tcPr>
            <w:tcW w:w="993" w:type="dxa"/>
            <w:tcBorders>
              <w:top w:val="nil"/>
              <w:left w:val="nil"/>
              <w:bottom w:val="single" w:sz="4" w:space="0" w:color="auto"/>
              <w:right w:val="single" w:sz="4" w:space="0" w:color="auto"/>
            </w:tcBorders>
            <w:shd w:val="clear" w:color="FFFFCC" w:fill="FFFFFF"/>
            <w:vAlign w:val="center"/>
            <w:hideMark/>
          </w:tcPr>
          <w:p w14:paraId="4BD90A67"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 </w:t>
            </w:r>
          </w:p>
        </w:tc>
        <w:tc>
          <w:tcPr>
            <w:tcW w:w="1134" w:type="dxa"/>
            <w:tcBorders>
              <w:top w:val="nil"/>
              <w:left w:val="nil"/>
              <w:bottom w:val="single" w:sz="4" w:space="0" w:color="auto"/>
              <w:right w:val="single" w:sz="4" w:space="0" w:color="auto"/>
            </w:tcBorders>
            <w:shd w:val="clear" w:color="FFFFCC" w:fill="FFFFFF"/>
            <w:vAlign w:val="center"/>
            <w:hideMark/>
          </w:tcPr>
          <w:p w14:paraId="6070F96B"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 </w:t>
            </w:r>
          </w:p>
        </w:tc>
        <w:tc>
          <w:tcPr>
            <w:tcW w:w="1134" w:type="dxa"/>
            <w:tcBorders>
              <w:top w:val="nil"/>
              <w:left w:val="nil"/>
              <w:bottom w:val="single" w:sz="4" w:space="0" w:color="auto"/>
              <w:right w:val="single" w:sz="4" w:space="0" w:color="auto"/>
            </w:tcBorders>
            <w:shd w:val="clear" w:color="FFFFCC" w:fill="FFFFFF"/>
            <w:vAlign w:val="center"/>
            <w:hideMark/>
          </w:tcPr>
          <w:p w14:paraId="691D5C34"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 </w:t>
            </w:r>
          </w:p>
        </w:tc>
        <w:tc>
          <w:tcPr>
            <w:tcW w:w="1134" w:type="dxa"/>
            <w:gridSpan w:val="3"/>
            <w:tcBorders>
              <w:top w:val="nil"/>
              <w:left w:val="nil"/>
              <w:bottom w:val="single" w:sz="4" w:space="0" w:color="auto"/>
              <w:right w:val="single" w:sz="4" w:space="0" w:color="auto"/>
            </w:tcBorders>
            <w:shd w:val="clear" w:color="FFFFCC" w:fill="FFFFFF"/>
            <w:vAlign w:val="center"/>
            <w:hideMark/>
          </w:tcPr>
          <w:p w14:paraId="26672B08"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 </w:t>
            </w:r>
          </w:p>
        </w:tc>
        <w:tc>
          <w:tcPr>
            <w:tcW w:w="1134" w:type="dxa"/>
            <w:tcBorders>
              <w:top w:val="nil"/>
              <w:left w:val="nil"/>
              <w:bottom w:val="single" w:sz="4" w:space="0" w:color="auto"/>
              <w:right w:val="single" w:sz="4" w:space="0" w:color="auto"/>
            </w:tcBorders>
            <w:shd w:val="clear" w:color="FFFFCC" w:fill="FFFFFF"/>
            <w:vAlign w:val="center"/>
            <w:hideMark/>
          </w:tcPr>
          <w:p w14:paraId="5EEA9A36" w14:textId="77777777" w:rsidR="005873E4" w:rsidRPr="003B476C" w:rsidRDefault="005873E4" w:rsidP="005873E4">
            <w:pPr>
              <w:jc w:val="right"/>
              <w:rPr>
                <w:rFonts w:eastAsia="Times New Roman" w:cs="Arial"/>
                <w:color w:val="000000"/>
                <w:sz w:val="14"/>
                <w:szCs w:val="14"/>
              </w:rPr>
            </w:pPr>
            <w:r w:rsidRPr="003B476C">
              <w:rPr>
                <w:rFonts w:eastAsia="Times New Roman" w:cs="Arial"/>
                <w:color w:val="000000"/>
                <w:sz w:val="14"/>
                <w:szCs w:val="14"/>
              </w:rPr>
              <w:t> </w:t>
            </w:r>
          </w:p>
        </w:tc>
      </w:tr>
      <w:tr w:rsidR="005873E4" w:rsidRPr="003B476C" w14:paraId="4D39B1B1" w14:textId="77777777" w:rsidTr="009E37EE">
        <w:trPr>
          <w:trHeight w:val="20"/>
        </w:trPr>
        <w:tc>
          <w:tcPr>
            <w:tcW w:w="2830" w:type="dxa"/>
            <w:tcBorders>
              <w:top w:val="nil"/>
              <w:left w:val="nil"/>
              <w:bottom w:val="nil"/>
              <w:right w:val="nil"/>
            </w:tcBorders>
            <w:shd w:val="clear" w:color="FFFFCC" w:fill="FFFFFF"/>
            <w:noWrap/>
            <w:vAlign w:val="center"/>
            <w:hideMark/>
          </w:tcPr>
          <w:p w14:paraId="2F059E6D" w14:textId="77777777" w:rsidR="005873E4" w:rsidRPr="003B476C" w:rsidRDefault="005873E4" w:rsidP="005873E4">
            <w:pPr>
              <w:jc w:val="left"/>
              <w:rPr>
                <w:rFonts w:eastAsia="Times New Roman" w:cs="Arial"/>
                <w:color w:val="000000"/>
                <w:sz w:val="14"/>
                <w:szCs w:val="14"/>
              </w:rPr>
            </w:pPr>
            <w:r w:rsidRPr="003B476C">
              <w:rPr>
                <w:rFonts w:eastAsia="Times New Roman" w:cs="Arial"/>
                <w:color w:val="000000"/>
                <w:sz w:val="14"/>
                <w:szCs w:val="14"/>
                <w:vertAlign w:val="superscript"/>
              </w:rPr>
              <w:t>1</w:t>
            </w:r>
            <w:r w:rsidRPr="003B476C">
              <w:rPr>
                <w:rFonts w:eastAsia="Times New Roman" w:cs="Arial"/>
                <w:color w:val="000000"/>
                <w:sz w:val="14"/>
                <w:szCs w:val="14"/>
              </w:rPr>
              <w:t>. Los importes corresponden al momento contable de los ingresos devengados.</w:t>
            </w:r>
          </w:p>
        </w:tc>
        <w:tc>
          <w:tcPr>
            <w:tcW w:w="1134" w:type="dxa"/>
            <w:tcBorders>
              <w:top w:val="nil"/>
              <w:left w:val="nil"/>
              <w:bottom w:val="nil"/>
              <w:right w:val="nil"/>
            </w:tcBorders>
            <w:shd w:val="clear" w:color="FFFFCC" w:fill="FFFFFF"/>
            <w:noWrap/>
            <w:vAlign w:val="bottom"/>
            <w:hideMark/>
          </w:tcPr>
          <w:p w14:paraId="059B7EE3" w14:textId="77777777" w:rsidR="005873E4" w:rsidRPr="003B476C" w:rsidRDefault="005873E4" w:rsidP="005873E4">
            <w:pPr>
              <w:jc w:val="left"/>
              <w:rPr>
                <w:rFonts w:eastAsia="Times New Roman" w:cs="Arial"/>
                <w:sz w:val="14"/>
                <w:szCs w:val="14"/>
              </w:rPr>
            </w:pPr>
            <w:r w:rsidRPr="003B476C">
              <w:rPr>
                <w:rFonts w:eastAsia="Times New Roman" w:cs="Arial"/>
                <w:sz w:val="14"/>
                <w:szCs w:val="14"/>
              </w:rPr>
              <w:t> </w:t>
            </w:r>
          </w:p>
        </w:tc>
        <w:tc>
          <w:tcPr>
            <w:tcW w:w="993" w:type="dxa"/>
            <w:tcBorders>
              <w:top w:val="nil"/>
              <w:left w:val="nil"/>
              <w:bottom w:val="nil"/>
              <w:right w:val="nil"/>
            </w:tcBorders>
            <w:shd w:val="clear" w:color="FFFFCC" w:fill="FFFFFF"/>
            <w:noWrap/>
            <w:vAlign w:val="bottom"/>
            <w:hideMark/>
          </w:tcPr>
          <w:p w14:paraId="395F824A" w14:textId="77777777" w:rsidR="005873E4" w:rsidRPr="003B476C" w:rsidRDefault="005873E4" w:rsidP="005873E4">
            <w:pPr>
              <w:jc w:val="left"/>
              <w:rPr>
                <w:rFonts w:eastAsia="Times New Roman" w:cs="Arial"/>
                <w:sz w:val="14"/>
                <w:szCs w:val="14"/>
              </w:rPr>
            </w:pPr>
            <w:r w:rsidRPr="003B476C">
              <w:rPr>
                <w:rFonts w:eastAsia="Times New Roman" w:cs="Arial"/>
                <w:sz w:val="14"/>
                <w:szCs w:val="14"/>
              </w:rPr>
              <w:t> </w:t>
            </w:r>
          </w:p>
        </w:tc>
        <w:tc>
          <w:tcPr>
            <w:tcW w:w="1134" w:type="dxa"/>
            <w:tcBorders>
              <w:top w:val="nil"/>
              <w:left w:val="nil"/>
              <w:bottom w:val="nil"/>
              <w:right w:val="nil"/>
            </w:tcBorders>
            <w:shd w:val="clear" w:color="FFFFCC" w:fill="FFFFFF"/>
            <w:noWrap/>
            <w:vAlign w:val="bottom"/>
            <w:hideMark/>
          </w:tcPr>
          <w:p w14:paraId="201610B9" w14:textId="77777777" w:rsidR="005873E4" w:rsidRPr="003B476C" w:rsidRDefault="005873E4" w:rsidP="005873E4">
            <w:pPr>
              <w:jc w:val="left"/>
              <w:rPr>
                <w:rFonts w:eastAsia="Times New Roman" w:cs="Arial"/>
                <w:sz w:val="14"/>
                <w:szCs w:val="14"/>
              </w:rPr>
            </w:pPr>
            <w:r w:rsidRPr="003B476C">
              <w:rPr>
                <w:rFonts w:eastAsia="Times New Roman" w:cs="Arial"/>
                <w:sz w:val="14"/>
                <w:szCs w:val="14"/>
              </w:rPr>
              <w:t> </w:t>
            </w:r>
          </w:p>
        </w:tc>
        <w:tc>
          <w:tcPr>
            <w:tcW w:w="1134" w:type="dxa"/>
            <w:tcBorders>
              <w:top w:val="nil"/>
              <w:left w:val="nil"/>
              <w:bottom w:val="nil"/>
              <w:right w:val="nil"/>
            </w:tcBorders>
            <w:shd w:val="clear" w:color="FFFFCC" w:fill="FFFFFF"/>
            <w:noWrap/>
            <w:vAlign w:val="bottom"/>
            <w:hideMark/>
          </w:tcPr>
          <w:p w14:paraId="098C59C2" w14:textId="77777777" w:rsidR="005873E4" w:rsidRPr="003B476C" w:rsidRDefault="005873E4" w:rsidP="005873E4">
            <w:pPr>
              <w:jc w:val="left"/>
              <w:rPr>
                <w:rFonts w:eastAsia="Times New Roman" w:cs="Arial"/>
                <w:sz w:val="14"/>
                <w:szCs w:val="14"/>
              </w:rPr>
            </w:pPr>
            <w:r w:rsidRPr="003B476C">
              <w:rPr>
                <w:rFonts w:eastAsia="Times New Roman" w:cs="Arial"/>
                <w:sz w:val="14"/>
                <w:szCs w:val="14"/>
              </w:rPr>
              <w:t> </w:t>
            </w:r>
          </w:p>
        </w:tc>
        <w:tc>
          <w:tcPr>
            <w:tcW w:w="1134" w:type="dxa"/>
            <w:gridSpan w:val="3"/>
            <w:tcBorders>
              <w:top w:val="nil"/>
              <w:left w:val="nil"/>
              <w:bottom w:val="nil"/>
              <w:right w:val="nil"/>
            </w:tcBorders>
            <w:shd w:val="clear" w:color="FFFFCC" w:fill="FFFFFF"/>
            <w:noWrap/>
            <w:vAlign w:val="bottom"/>
            <w:hideMark/>
          </w:tcPr>
          <w:p w14:paraId="685C2511" w14:textId="77777777" w:rsidR="005873E4" w:rsidRPr="003B476C" w:rsidRDefault="005873E4" w:rsidP="005873E4">
            <w:pPr>
              <w:jc w:val="left"/>
              <w:rPr>
                <w:rFonts w:eastAsia="Times New Roman" w:cs="Arial"/>
                <w:sz w:val="14"/>
                <w:szCs w:val="14"/>
              </w:rPr>
            </w:pPr>
            <w:r w:rsidRPr="003B476C">
              <w:rPr>
                <w:rFonts w:eastAsia="Times New Roman" w:cs="Arial"/>
                <w:sz w:val="14"/>
                <w:szCs w:val="14"/>
              </w:rPr>
              <w:t> </w:t>
            </w:r>
          </w:p>
        </w:tc>
        <w:tc>
          <w:tcPr>
            <w:tcW w:w="1134" w:type="dxa"/>
            <w:tcBorders>
              <w:top w:val="nil"/>
              <w:left w:val="nil"/>
              <w:bottom w:val="nil"/>
              <w:right w:val="nil"/>
            </w:tcBorders>
            <w:shd w:val="clear" w:color="auto" w:fill="auto"/>
            <w:noWrap/>
            <w:vAlign w:val="bottom"/>
            <w:hideMark/>
          </w:tcPr>
          <w:p w14:paraId="3206E2DB" w14:textId="77777777" w:rsidR="005873E4" w:rsidRPr="003B476C" w:rsidRDefault="005873E4" w:rsidP="005873E4">
            <w:pPr>
              <w:jc w:val="left"/>
              <w:rPr>
                <w:rFonts w:eastAsia="Times New Roman" w:cs="Arial"/>
                <w:sz w:val="14"/>
                <w:szCs w:val="14"/>
              </w:rPr>
            </w:pPr>
          </w:p>
        </w:tc>
      </w:tr>
      <w:tr w:rsidR="005873E4" w:rsidRPr="003B476C" w14:paraId="0B6D3EEE" w14:textId="77777777" w:rsidTr="009E37EE">
        <w:trPr>
          <w:trHeight w:val="20"/>
        </w:trPr>
        <w:tc>
          <w:tcPr>
            <w:tcW w:w="7239" w:type="dxa"/>
            <w:gridSpan w:val="6"/>
            <w:tcBorders>
              <w:top w:val="nil"/>
              <w:left w:val="nil"/>
              <w:bottom w:val="nil"/>
              <w:right w:val="nil"/>
            </w:tcBorders>
            <w:shd w:val="clear" w:color="FFFFCC" w:fill="FFFFFF"/>
            <w:noWrap/>
            <w:vAlign w:val="center"/>
            <w:hideMark/>
          </w:tcPr>
          <w:p w14:paraId="3962ADBD" w14:textId="77777777" w:rsidR="005873E4" w:rsidRPr="003B476C" w:rsidRDefault="005873E4" w:rsidP="005873E4">
            <w:pPr>
              <w:jc w:val="left"/>
              <w:rPr>
                <w:rFonts w:eastAsia="Times New Roman" w:cs="Arial"/>
                <w:color w:val="000000"/>
                <w:sz w:val="14"/>
                <w:szCs w:val="14"/>
              </w:rPr>
            </w:pPr>
            <w:r w:rsidRPr="003B476C">
              <w:rPr>
                <w:rFonts w:eastAsia="Times New Roman" w:cs="Arial"/>
                <w:color w:val="000000"/>
                <w:sz w:val="14"/>
                <w:szCs w:val="14"/>
                <w:vertAlign w:val="superscript"/>
              </w:rPr>
              <w:t>2</w:t>
            </w:r>
            <w:r w:rsidRPr="003B476C">
              <w:rPr>
                <w:rFonts w:eastAsia="Times New Roman" w:cs="Arial"/>
                <w:sz w:val="14"/>
                <w:szCs w:val="14"/>
              </w:rPr>
              <w:t xml:space="preserve">. Los importes corresponden a los ingresos devengados al cierre del tercer trimestre de 2024 y estimados para el resto del ejercicio. </w:t>
            </w:r>
          </w:p>
        </w:tc>
        <w:tc>
          <w:tcPr>
            <w:tcW w:w="876" w:type="dxa"/>
            <w:tcBorders>
              <w:top w:val="nil"/>
              <w:left w:val="nil"/>
              <w:bottom w:val="nil"/>
              <w:right w:val="nil"/>
            </w:tcBorders>
            <w:shd w:val="clear" w:color="FFFFCC" w:fill="FFFFFF"/>
            <w:noWrap/>
            <w:vAlign w:val="center"/>
            <w:hideMark/>
          </w:tcPr>
          <w:p w14:paraId="19B00EB8" w14:textId="77777777" w:rsidR="005873E4" w:rsidRPr="003B476C" w:rsidRDefault="005873E4" w:rsidP="005873E4">
            <w:pPr>
              <w:jc w:val="left"/>
              <w:rPr>
                <w:rFonts w:eastAsia="Times New Roman" w:cs="Arial"/>
                <w:color w:val="000000"/>
                <w:sz w:val="14"/>
                <w:szCs w:val="14"/>
              </w:rPr>
            </w:pPr>
            <w:r w:rsidRPr="003B476C">
              <w:rPr>
                <w:rFonts w:eastAsia="Times New Roman" w:cs="Arial"/>
                <w:color w:val="000000"/>
                <w:sz w:val="14"/>
                <w:szCs w:val="14"/>
                <w:vertAlign w:val="superscript"/>
              </w:rPr>
              <w:t> </w:t>
            </w:r>
          </w:p>
        </w:tc>
        <w:tc>
          <w:tcPr>
            <w:tcW w:w="1378" w:type="dxa"/>
            <w:gridSpan w:val="2"/>
            <w:tcBorders>
              <w:top w:val="nil"/>
              <w:left w:val="nil"/>
              <w:bottom w:val="nil"/>
              <w:right w:val="nil"/>
            </w:tcBorders>
            <w:shd w:val="clear" w:color="auto" w:fill="auto"/>
            <w:noWrap/>
            <w:vAlign w:val="bottom"/>
            <w:hideMark/>
          </w:tcPr>
          <w:p w14:paraId="12316145" w14:textId="77777777" w:rsidR="005873E4" w:rsidRPr="003B476C" w:rsidRDefault="005873E4" w:rsidP="005873E4">
            <w:pPr>
              <w:jc w:val="left"/>
              <w:rPr>
                <w:rFonts w:eastAsia="Times New Roman" w:cs="Arial"/>
                <w:color w:val="000000"/>
                <w:sz w:val="14"/>
                <w:szCs w:val="14"/>
              </w:rPr>
            </w:pPr>
          </w:p>
        </w:tc>
      </w:tr>
      <w:tr w:rsidR="005873E4" w:rsidRPr="003B476C" w14:paraId="2C24B60E" w14:textId="77777777" w:rsidTr="009E37EE">
        <w:trPr>
          <w:trHeight w:val="20"/>
        </w:trPr>
        <w:tc>
          <w:tcPr>
            <w:tcW w:w="2830" w:type="dxa"/>
            <w:tcBorders>
              <w:top w:val="nil"/>
              <w:left w:val="nil"/>
              <w:bottom w:val="nil"/>
              <w:right w:val="nil"/>
            </w:tcBorders>
            <w:shd w:val="clear" w:color="000000" w:fill="FFFFFF"/>
            <w:noWrap/>
            <w:vAlign w:val="bottom"/>
            <w:hideMark/>
          </w:tcPr>
          <w:p w14:paraId="7913E00A" w14:textId="77777777" w:rsidR="005873E4" w:rsidRPr="003B476C" w:rsidRDefault="005873E4" w:rsidP="005873E4">
            <w:pPr>
              <w:jc w:val="left"/>
              <w:rPr>
                <w:rFonts w:eastAsia="Times New Roman" w:cs="Arial"/>
                <w:sz w:val="14"/>
                <w:szCs w:val="14"/>
              </w:rPr>
            </w:pPr>
            <w:r w:rsidRPr="003B476C">
              <w:rPr>
                <w:rFonts w:eastAsia="Times New Roman" w:cs="Arial"/>
                <w:sz w:val="14"/>
                <w:szCs w:val="14"/>
              </w:rPr>
              <w:t>Fuente: Cuentas públicas anuales</w:t>
            </w:r>
          </w:p>
        </w:tc>
        <w:tc>
          <w:tcPr>
            <w:tcW w:w="1134" w:type="dxa"/>
            <w:tcBorders>
              <w:top w:val="nil"/>
              <w:left w:val="nil"/>
              <w:bottom w:val="nil"/>
              <w:right w:val="nil"/>
            </w:tcBorders>
            <w:shd w:val="clear" w:color="000000" w:fill="FFFFFF"/>
            <w:vAlign w:val="center"/>
            <w:hideMark/>
          </w:tcPr>
          <w:p w14:paraId="0A86C696"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 </w:t>
            </w:r>
          </w:p>
        </w:tc>
        <w:tc>
          <w:tcPr>
            <w:tcW w:w="993" w:type="dxa"/>
            <w:tcBorders>
              <w:top w:val="nil"/>
              <w:left w:val="nil"/>
              <w:bottom w:val="nil"/>
              <w:right w:val="nil"/>
            </w:tcBorders>
            <w:shd w:val="clear" w:color="000000" w:fill="FFFFFF"/>
            <w:vAlign w:val="center"/>
            <w:hideMark/>
          </w:tcPr>
          <w:p w14:paraId="6F7D3225"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 </w:t>
            </w:r>
          </w:p>
        </w:tc>
        <w:tc>
          <w:tcPr>
            <w:tcW w:w="1134" w:type="dxa"/>
            <w:tcBorders>
              <w:top w:val="nil"/>
              <w:left w:val="nil"/>
              <w:bottom w:val="nil"/>
              <w:right w:val="nil"/>
            </w:tcBorders>
            <w:shd w:val="clear" w:color="000000" w:fill="FFFFFF"/>
            <w:vAlign w:val="center"/>
            <w:hideMark/>
          </w:tcPr>
          <w:p w14:paraId="30F9A47D"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 </w:t>
            </w:r>
          </w:p>
        </w:tc>
        <w:tc>
          <w:tcPr>
            <w:tcW w:w="1134" w:type="dxa"/>
            <w:tcBorders>
              <w:top w:val="nil"/>
              <w:left w:val="nil"/>
              <w:bottom w:val="nil"/>
              <w:right w:val="nil"/>
            </w:tcBorders>
            <w:shd w:val="clear" w:color="000000" w:fill="FFFFFF"/>
            <w:vAlign w:val="center"/>
            <w:hideMark/>
          </w:tcPr>
          <w:p w14:paraId="74280A60"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 </w:t>
            </w:r>
          </w:p>
        </w:tc>
        <w:tc>
          <w:tcPr>
            <w:tcW w:w="1134" w:type="dxa"/>
            <w:gridSpan w:val="3"/>
            <w:tcBorders>
              <w:top w:val="nil"/>
              <w:left w:val="nil"/>
              <w:bottom w:val="nil"/>
              <w:right w:val="nil"/>
            </w:tcBorders>
            <w:shd w:val="clear" w:color="000000" w:fill="FFFFFF"/>
            <w:vAlign w:val="center"/>
            <w:hideMark/>
          </w:tcPr>
          <w:p w14:paraId="3F230334" w14:textId="77777777" w:rsidR="005873E4" w:rsidRPr="003B476C" w:rsidRDefault="005873E4" w:rsidP="005873E4">
            <w:pPr>
              <w:jc w:val="right"/>
              <w:rPr>
                <w:rFonts w:eastAsia="Times New Roman" w:cs="Arial"/>
                <w:b/>
                <w:bCs/>
                <w:color w:val="000000"/>
                <w:sz w:val="14"/>
                <w:szCs w:val="14"/>
              </w:rPr>
            </w:pPr>
            <w:r w:rsidRPr="003B476C">
              <w:rPr>
                <w:rFonts w:eastAsia="Times New Roman" w:cs="Arial"/>
                <w:b/>
                <w:bCs/>
                <w:color w:val="000000"/>
                <w:sz w:val="14"/>
                <w:szCs w:val="14"/>
              </w:rPr>
              <w:t> </w:t>
            </w:r>
          </w:p>
        </w:tc>
        <w:tc>
          <w:tcPr>
            <w:tcW w:w="1134" w:type="dxa"/>
            <w:tcBorders>
              <w:top w:val="nil"/>
              <w:left w:val="nil"/>
              <w:bottom w:val="nil"/>
              <w:right w:val="nil"/>
            </w:tcBorders>
            <w:shd w:val="clear" w:color="auto" w:fill="auto"/>
            <w:noWrap/>
            <w:vAlign w:val="bottom"/>
            <w:hideMark/>
          </w:tcPr>
          <w:p w14:paraId="3D3EC552" w14:textId="77777777" w:rsidR="005873E4" w:rsidRPr="003B476C" w:rsidRDefault="005873E4" w:rsidP="005873E4">
            <w:pPr>
              <w:jc w:val="right"/>
              <w:rPr>
                <w:rFonts w:eastAsia="Times New Roman" w:cs="Arial"/>
                <w:b/>
                <w:bCs/>
                <w:color w:val="000000"/>
                <w:sz w:val="14"/>
                <w:szCs w:val="14"/>
              </w:rPr>
            </w:pPr>
          </w:p>
        </w:tc>
      </w:tr>
    </w:tbl>
    <w:p w14:paraId="201B5BA3" w14:textId="571167EC" w:rsidR="003D40E2" w:rsidRDefault="003D40E2" w:rsidP="003D40E2">
      <w:pPr>
        <w:rPr>
          <w:rFonts w:cs="Arial"/>
          <w:sz w:val="14"/>
        </w:rPr>
      </w:pPr>
    </w:p>
    <w:p w14:paraId="0B343B2F" w14:textId="646F3FCC" w:rsidR="001A0595" w:rsidRDefault="001A0595" w:rsidP="003D40E2">
      <w:pPr>
        <w:rPr>
          <w:rFonts w:cs="Arial"/>
          <w:sz w:val="14"/>
        </w:rPr>
      </w:pPr>
    </w:p>
    <w:p w14:paraId="1AEF685A" w14:textId="6D83061B" w:rsidR="001A0595" w:rsidRDefault="001A0595" w:rsidP="003D40E2">
      <w:pPr>
        <w:rPr>
          <w:rFonts w:cs="Arial"/>
          <w:sz w:val="14"/>
        </w:rPr>
      </w:pPr>
    </w:p>
    <w:p w14:paraId="568E299A" w14:textId="26DED316" w:rsidR="001A0595" w:rsidRDefault="001A0595" w:rsidP="003D40E2">
      <w:pPr>
        <w:rPr>
          <w:rFonts w:cs="Arial"/>
          <w:sz w:val="14"/>
        </w:rPr>
      </w:pPr>
    </w:p>
    <w:p w14:paraId="48C8170E" w14:textId="77777777" w:rsidR="003D40E2" w:rsidRPr="002811A2" w:rsidRDefault="003D40E2" w:rsidP="00045C85">
      <w:pPr>
        <w:pStyle w:val="Ttulo3"/>
      </w:pPr>
      <w:r w:rsidRPr="002811A2">
        <w:t>2.IV.B Formato 7d) Resultados de Egresos – LDF</w:t>
      </w:r>
    </w:p>
    <w:p w14:paraId="3F295F02" w14:textId="77777777" w:rsidR="003D40E2" w:rsidRDefault="003D40E2" w:rsidP="003D40E2">
      <w:pPr>
        <w:rPr>
          <w:rFonts w:cs="Arial"/>
          <w:b/>
          <w:bCs/>
        </w:rPr>
      </w:pPr>
    </w:p>
    <w:tbl>
      <w:tblPr>
        <w:tblW w:w="9498" w:type="dxa"/>
        <w:tblInd w:w="-289" w:type="dxa"/>
        <w:tblLayout w:type="fixed"/>
        <w:tblCellMar>
          <w:left w:w="28" w:type="dxa"/>
          <w:right w:w="28" w:type="dxa"/>
        </w:tblCellMar>
        <w:tblLook w:val="04A0" w:firstRow="1" w:lastRow="0" w:firstColumn="1" w:lastColumn="0" w:noHBand="0" w:noVBand="1"/>
      </w:tblPr>
      <w:tblGrid>
        <w:gridCol w:w="3686"/>
        <w:gridCol w:w="1134"/>
        <w:gridCol w:w="1134"/>
        <w:gridCol w:w="1134"/>
        <w:gridCol w:w="1276"/>
        <w:gridCol w:w="1134"/>
      </w:tblGrid>
      <w:tr w:rsidR="00650D81" w:rsidRPr="00650D81" w14:paraId="2B63B32A" w14:textId="77777777" w:rsidTr="003B476C">
        <w:trPr>
          <w:trHeight w:val="20"/>
          <w:tblHeader/>
        </w:trPr>
        <w:tc>
          <w:tcPr>
            <w:tcW w:w="9498" w:type="dxa"/>
            <w:gridSpan w:val="6"/>
            <w:tcBorders>
              <w:top w:val="single" w:sz="4" w:space="0" w:color="auto"/>
              <w:left w:val="single" w:sz="4" w:space="0" w:color="auto"/>
              <w:right w:val="single" w:sz="4" w:space="0" w:color="auto"/>
            </w:tcBorders>
            <w:shd w:val="clear" w:color="000000" w:fill="D9D9D9"/>
            <w:noWrap/>
            <w:vAlign w:val="center"/>
            <w:hideMark/>
          </w:tcPr>
          <w:p w14:paraId="322AB4B8" w14:textId="77777777" w:rsidR="00650D81" w:rsidRPr="003B476C" w:rsidRDefault="00650D81" w:rsidP="00650D81">
            <w:pPr>
              <w:jc w:val="center"/>
              <w:rPr>
                <w:rFonts w:eastAsia="Times New Roman" w:cs="Arial"/>
                <w:b/>
                <w:bCs/>
                <w:color w:val="000000"/>
                <w:sz w:val="14"/>
                <w:szCs w:val="14"/>
              </w:rPr>
            </w:pPr>
            <w:r w:rsidRPr="003B476C">
              <w:rPr>
                <w:rFonts w:eastAsia="Times New Roman" w:cs="Arial"/>
                <w:b/>
                <w:bCs/>
                <w:color w:val="000000"/>
                <w:sz w:val="14"/>
                <w:szCs w:val="14"/>
              </w:rPr>
              <w:t>GOBIERNO DEL ESTADO DE COLIMA</w:t>
            </w:r>
          </w:p>
        </w:tc>
      </w:tr>
      <w:tr w:rsidR="00650D81" w:rsidRPr="00650D81" w14:paraId="7D76A05A" w14:textId="77777777" w:rsidTr="003B476C">
        <w:trPr>
          <w:trHeight w:val="20"/>
          <w:tblHeader/>
        </w:trPr>
        <w:tc>
          <w:tcPr>
            <w:tcW w:w="9498" w:type="dxa"/>
            <w:gridSpan w:val="6"/>
            <w:tcBorders>
              <w:top w:val="nil"/>
              <w:left w:val="single" w:sz="4" w:space="0" w:color="auto"/>
              <w:bottom w:val="nil"/>
              <w:right w:val="single" w:sz="4" w:space="0" w:color="auto"/>
            </w:tcBorders>
            <w:shd w:val="clear" w:color="000000" w:fill="D9D9D9"/>
            <w:noWrap/>
            <w:vAlign w:val="center"/>
            <w:hideMark/>
          </w:tcPr>
          <w:p w14:paraId="2ADD0E34" w14:textId="77777777" w:rsidR="00650D81" w:rsidRPr="003B476C" w:rsidRDefault="00650D81" w:rsidP="00650D81">
            <w:pPr>
              <w:jc w:val="center"/>
              <w:rPr>
                <w:rFonts w:eastAsia="Times New Roman" w:cs="Arial"/>
                <w:b/>
                <w:bCs/>
                <w:color w:val="000000"/>
                <w:sz w:val="14"/>
                <w:szCs w:val="14"/>
              </w:rPr>
            </w:pPr>
            <w:r w:rsidRPr="003B476C">
              <w:rPr>
                <w:rFonts w:eastAsia="Times New Roman" w:cs="Arial"/>
                <w:b/>
                <w:bCs/>
                <w:color w:val="000000"/>
                <w:sz w:val="14"/>
                <w:szCs w:val="14"/>
              </w:rPr>
              <w:t xml:space="preserve"> Resultados de Egresos - LDF</w:t>
            </w:r>
          </w:p>
        </w:tc>
      </w:tr>
      <w:tr w:rsidR="00650D81" w:rsidRPr="00650D81" w14:paraId="579C9F55" w14:textId="77777777" w:rsidTr="003B476C">
        <w:trPr>
          <w:trHeight w:val="20"/>
          <w:tblHeader/>
        </w:trPr>
        <w:tc>
          <w:tcPr>
            <w:tcW w:w="9498" w:type="dxa"/>
            <w:gridSpan w:val="6"/>
            <w:tcBorders>
              <w:top w:val="nil"/>
              <w:left w:val="single" w:sz="4" w:space="0" w:color="auto"/>
              <w:bottom w:val="nil"/>
              <w:right w:val="single" w:sz="4" w:space="0" w:color="auto"/>
            </w:tcBorders>
            <w:shd w:val="clear" w:color="000000" w:fill="D9D9D9"/>
            <w:noWrap/>
            <w:vAlign w:val="center"/>
            <w:hideMark/>
          </w:tcPr>
          <w:p w14:paraId="4AF29721" w14:textId="77777777" w:rsidR="00650D81" w:rsidRPr="003B476C" w:rsidRDefault="00650D81" w:rsidP="00650D81">
            <w:pPr>
              <w:jc w:val="center"/>
              <w:rPr>
                <w:rFonts w:eastAsia="Times New Roman" w:cs="Arial"/>
                <w:b/>
                <w:bCs/>
                <w:color w:val="000000"/>
                <w:sz w:val="14"/>
                <w:szCs w:val="14"/>
              </w:rPr>
            </w:pPr>
            <w:r w:rsidRPr="003B476C">
              <w:rPr>
                <w:rFonts w:eastAsia="Times New Roman" w:cs="Arial"/>
                <w:b/>
                <w:bCs/>
                <w:color w:val="000000"/>
                <w:sz w:val="14"/>
                <w:szCs w:val="14"/>
              </w:rPr>
              <w:t>(PESOS)</w:t>
            </w:r>
          </w:p>
        </w:tc>
      </w:tr>
      <w:tr w:rsidR="00650D81" w:rsidRPr="00650D81" w14:paraId="6D25BC8F" w14:textId="77777777" w:rsidTr="000B5B46">
        <w:trPr>
          <w:trHeight w:val="20"/>
          <w:tblHeader/>
        </w:trPr>
        <w:tc>
          <w:tcPr>
            <w:tcW w:w="3686" w:type="dxa"/>
            <w:tcBorders>
              <w:top w:val="single" w:sz="4" w:space="0" w:color="auto"/>
              <w:left w:val="single" w:sz="4" w:space="0" w:color="auto"/>
              <w:bottom w:val="single" w:sz="4" w:space="0" w:color="auto"/>
              <w:right w:val="nil"/>
            </w:tcBorders>
            <w:shd w:val="clear" w:color="000000" w:fill="D9D9D9"/>
            <w:noWrap/>
            <w:vAlign w:val="center"/>
            <w:hideMark/>
          </w:tcPr>
          <w:p w14:paraId="2E99719F" w14:textId="77777777" w:rsidR="00650D81" w:rsidRPr="003B476C" w:rsidRDefault="00650D81" w:rsidP="00650D81">
            <w:pPr>
              <w:jc w:val="center"/>
              <w:rPr>
                <w:rFonts w:eastAsia="Times New Roman" w:cs="Arial"/>
                <w:b/>
                <w:bCs/>
                <w:color w:val="000000"/>
                <w:sz w:val="14"/>
                <w:szCs w:val="14"/>
              </w:rPr>
            </w:pPr>
            <w:r w:rsidRPr="003B476C">
              <w:rPr>
                <w:rFonts w:eastAsia="Times New Roman" w:cs="Arial"/>
                <w:b/>
                <w:bCs/>
                <w:color w:val="000000"/>
                <w:sz w:val="14"/>
                <w:szCs w:val="14"/>
              </w:rPr>
              <w:t>Concepto (b)</w:t>
            </w:r>
          </w:p>
        </w:tc>
        <w:tc>
          <w:tcPr>
            <w:tcW w:w="1134" w:type="dxa"/>
            <w:tcBorders>
              <w:top w:val="single" w:sz="4" w:space="0" w:color="auto"/>
              <w:left w:val="nil"/>
              <w:bottom w:val="single" w:sz="4" w:space="0" w:color="auto"/>
              <w:right w:val="single" w:sz="4" w:space="0" w:color="auto"/>
            </w:tcBorders>
            <w:shd w:val="clear" w:color="DDDDDD" w:fill="D9D9D9"/>
            <w:noWrap/>
            <w:vAlign w:val="center"/>
            <w:hideMark/>
          </w:tcPr>
          <w:p w14:paraId="4FA8B043" w14:textId="77777777" w:rsidR="00650D81" w:rsidRPr="003B476C" w:rsidRDefault="00650D81" w:rsidP="00650D81">
            <w:pPr>
              <w:jc w:val="center"/>
              <w:rPr>
                <w:rFonts w:eastAsia="Times New Roman" w:cs="Arial"/>
                <w:b/>
                <w:bCs/>
                <w:color w:val="000000"/>
                <w:sz w:val="14"/>
                <w:szCs w:val="14"/>
              </w:rPr>
            </w:pPr>
            <w:r w:rsidRPr="003B476C">
              <w:rPr>
                <w:rFonts w:eastAsia="Times New Roman" w:cs="Arial"/>
                <w:b/>
                <w:bCs/>
                <w:color w:val="000000"/>
                <w:sz w:val="14"/>
                <w:szCs w:val="14"/>
              </w:rPr>
              <w:t xml:space="preserve">2020 </w:t>
            </w:r>
            <w:r w:rsidRPr="003B476C">
              <w:rPr>
                <w:rFonts w:eastAsia="Times New Roman" w:cs="Arial"/>
                <w:b/>
                <w:bCs/>
                <w:color w:val="000000"/>
                <w:sz w:val="14"/>
                <w:szCs w:val="14"/>
                <w:vertAlign w:val="superscript"/>
              </w:rPr>
              <w:t>1</w:t>
            </w:r>
          </w:p>
        </w:tc>
        <w:tc>
          <w:tcPr>
            <w:tcW w:w="1134" w:type="dxa"/>
            <w:tcBorders>
              <w:top w:val="single" w:sz="4" w:space="0" w:color="auto"/>
              <w:left w:val="nil"/>
              <w:bottom w:val="single" w:sz="4" w:space="0" w:color="auto"/>
              <w:right w:val="single" w:sz="4" w:space="0" w:color="auto"/>
            </w:tcBorders>
            <w:shd w:val="clear" w:color="DDDDDD" w:fill="D9D9D9"/>
            <w:noWrap/>
            <w:vAlign w:val="center"/>
            <w:hideMark/>
          </w:tcPr>
          <w:p w14:paraId="157EC978" w14:textId="77777777" w:rsidR="00650D81" w:rsidRPr="003B476C" w:rsidRDefault="00650D81" w:rsidP="00650D81">
            <w:pPr>
              <w:jc w:val="center"/>
              <w:rPr>
                <w:rFonts w:eastAsia="Times New Roman" w:cs="Arial"/>
                <w:b/>
                <w:bCs/>
                <w:color w:val="000000"/>
                <w:sz w:val="14"/>
                <w:szCs w:val="14"/>
              </w:rPr>
            </w:pPr>
            <w:r w:rsidRPr="003B476C">
              <w:rPr>
                <w:rFonts w:eastAsia="Times New Roman" w:cs="Arial"/>
                <w:b/>
                <w:bCs/>
                <w:color w:val="000000"/>
                <w:sz w:val="14"/>
                <w:szCs w:val="14"/>
              </w:rPr>
              <w:t xml:space="preserve">2021 </w:t>
            </w:r>
            <w:r w:rsidRPr="003B476C">
              <w:rPr>
                <w:rFonts w:eastAsia="Times New Roman" w:cs="Arial"/>
                <w:b/>
                <w:bCs/>
                <w:color w:val="000000"/>
                <w:sz w:val="14"/>
                <w:szCs w:val="14"/>
                <w:vertAlign w:val="superscript"/>
              </w:rPr>
              <w:t>1</w:t>
            </w:r>
          </w:p>
        </w:tc>
        <w:tc>
          <w:tcPr>
            <w:tcW w:w="1134" w:type="dxa"/>
            <w:tcBorders>
              <w:top w:val="single" w:sz="4" w:space="0" w:color="auto"/>
              <w:left w:val="nil"/>
              <w:bottom w:val="single" w:sz="4" w:space="0" w:color="auto"/>
              <w:right w:val="single" w:sz="4" w:space="0" w:color="auto"/>
            </w:tcBorders>
            <w:shd w:val="clear" w:color="DDDDDD" w:fill="D9D9D9"/>
            <w:noWrap/>
            <w:vAlign w:val="center"/>
            <w:hideMark/>
          </w:tcPr>
          <w:p w14:paraId="3C03ACE0" w14:textId="77777777" w:rsidR="00650D81" w:rsidRPr="003B476C" w:rsidRDefault="00650D81" w:rsidP="00650D81">
            <w:pPr>
              <w:jc w:val="center"/>
              <w:rPr>
                <w:rFonts w:eastAsia="Times New Roman" w:cs="Arial"/>
                <w:b/>
                <w:bCs/>
                <w:color w:val="000000"/>
                <w:sz w:val="14"/>
                <w:szCs w:val="14"/>
              </w:rPr>
            </w:pPr>
            <w:r w:rsidRPr="003B476C">
              <w:rPr>
                <w:rFonts w:eastAsia="Times New Roman" w:cs="Arial"/>
                <w:b/>
                <w:bCs/>
                <w:color w:val="000000"/>
                <w:sz w:val="14"/>
                <w:szCs w:val="14"/>
              </w:rPr>
              <w:t xml:space="preserve">2022 </w:t>
            </w:r>
            <w:r w:rsidRPr="003B476C">
              <w:rPr>
                <w:rFonts w:eastAsia="Times New Roman" w:cs="Arial"/>
                <w:b/>
                <w:bCs/>
                <w:color w:val="000000"/>
                <w:sz w:val="14"/>
                <w:szCs w:val="14"/>
                <w:vertAlign w:val="superscript"/>
              </w:rPr>
              <w:t>1</w:t>
            </w:r>
          </w:p>
        </w:tc>
        <w:tc>
          <w:tcPr>
            <w:tcW w:w="1276" w:type="dxa"/>
            <w:tcBorders>
              <w:top w:val="single" w:sz="4" w:space="0" w:color="auto"/>
              <w:left w:val="nil"/>
              <w:bottom w:val="single" w:sz="4" w:space="0" w:color="auto"/>
              <w:right w:val="single" w:sz="4" w:space="0" w:color="auto"/>
            </w:tcBorders>
            <w:shd w:val="clear" w:color="DDDDDD" w:fill="D9D9D9"/>
            <w:noWrap/>
            <w:vAlign w:val="center"/>
            <w:hideMark/>
          </w:tcPr>
          <w:p w14:paraId="740BF4A0" w14:textId="77777777" w:rsidR="00650D81" w:rsidRPr="003B476C" w:rsidRDefault="00650D81" w:rsidP="00650D81">
            <w:pPr>
              <w:jc w:val="center"/>
              <w:rPr>
                <w:rFonts w:eastAsia="Times New Roman" w:cs="Arial"/>
                <w:b/>
                <w:bCs/>
                <w:color w:val="000000"/>
                <w:sz w:val="14"/>
                <w:szCs w:val="14"/>
              </w:rPr>
            </w:pPr>
            <w:r w:rsidRPr="003B476C">
              <w:rPr>
                <w:rFonts w:eastAsia="Times New Roman" w:cs="Arial"/>
                <w:b/>
                <w:bCs/>
                <w:color w:val="000000"/>
                <w:sz w:val="14"/>
                <w:szCs w:val="14"/>
              </w:rPr>
              <w:t xml:space="preserve">2023 </w:t>
            </w:r>
            <w:r w:rsidRPr="003B476C">
              <w:rPr>
                <w:rFonts w:eastAsia="Times New Roman" w:cs="Arial"/>
                <w:b/>
                <w:bCs/>
                <w:color w:val="000000"/>
                <w:sz w:val="14"/>
                <w:szCs w:val="14"/>
                <w:vertAlign w:val="superscript"/>
              </w:rPr>
              <w:t>2</w:t>
            </w:r>
          </w:p>
        </w:tc>
        <w:tc>
          <w:tcPr>
            <w:tcW w:w="1134" w:type="dxa"/>
            <w:tcBorders>
              <w:top w:val="single" w:sz="4" w:space="0" w:color="auto"/>
              <w:left w:val="nil"/>
              <w:bottom w:val="single" w:sz="4" w:space="0" w:color="auto"/>
              <w:right w:val="single" w:sz="4" w:space="0" w:color="auto"/>
            </w:tcBorders>
            <w:shd w:val="clear" w:color="DDDDDD" w:fill="D9D9D9"/>
            <w:noWrap/>
            <w:vAlign w:val="center"/>
            <w:hideMark/>
          </w:tcPr>
          <w:p w14:paraId="09B48382" w14:textId="77777777" w:rsidR="00650D81" w:rsidRPr="003B476C" w:rsidRDefault="00650D81" w:rsidP="00650D81">
            <w:pPr>
              <w:jc w:val="center"/>
              <w:rPr>
                <w:rFonts w:eastAsia="Times New Roman" w:cs="Arial"/>
                <w:b/>
                <w:bCs/>
                <w:color w:val="000000"/>
                <w:sz w:val="14"/>
                <w:szCs w:val="14"/>
              </w:rPr>
            </w:pPr>
            <w:r w:rsidRPr="003B476C">
              <w:rPr>
                <w:rFonts w:eastAsia="Times New Roman" w:cs="Arial"/>
                <w:b/>
                <w:bCs/>
                <w:color w:val="000000"/>
                <w:sz w:val="14"/>
                <w:szCs w:val="14"/>
              </w:rPr>
              <w:t>2024</w:t>
            </w:r>
          </w:p>
        </w:tc>
      </w:tr>
      <w:tr w:rsidR="00650D81" w:rsidRPr="00650D81" w14:paraId="5E93888D" w14:textId="77777777" w:rsidTr="000B5B46">
        <w:trPr>
          <w:trHeight w:val="20"/>
        </w:trPr>
        <w:tc>
          <w:tcPr>
            <w:tcW w:w="3686" w:type="dxa"/>
            <w:tcBorders>
              <w:top w:val="single" w:sz="4" w:space="0" w:color="auto"/>
              <w:left w:val="single" w:sz="4" w:space="0" w:color="auto"/>
              <w:bottom w:val="nil"/>
              <w:right w:val="single" w:sz="4" w:space="0" w:color="auto"/>
            </w:tcBorders>
            <w:shd w:val="clear" w:color="auto" w:fill="auto"/>
            <w:vAlign w:val="center"/>
            <w:hideMark/>
          </w:tcPr>
          <w:p w14:paraId="5BBFABD7" w14:textId="77777777" w:rsidR="00650D81" w:rsidRPr="003B476C" w:rsidRDefault="00650D81" w:rsidP="00650D81">
            <w:pPr>
              <w:ind w:firstLineChars="100" w:firstLine="140"/>
              <w:jc w:val="left"/>
              <w:rPr>
                <w:rFonts w:eastAsia="Times New Roman" w:cs="Arial"/>
                <w:color w:val="000000"/>
                <w:sz w:val="14"/>
                <w:szCs w:val="14"/>
              </w:rPr>
            </w:pPr>
            <w:r w:rsidRPr="003B476C">
              <w:rPr>
                <w:rFonts w:eastAsia="Times New Roman" w:cs="Arial"/>
                <w:color w:val="000000"/>
                <w:sz w:val="14"/>
                <w:szCs w:val="14"/>
              </w:rPr>
              <w:t>1.  </w:t>
            </w:r>
            <w:r w:rsidRPr="003B476C">
              <w:rPr>
                <w:rFonts w:eastAsia="Times New Roman" w:cs="Arial"/>
                <w:b/>
                <w:bCs/>
                <w:color w:val="000000"/>
                <w:sz w:val="14"/>
                <w:szCs w:val="14"/>
              </w:rPr>
              <w:t>Gasto No Etiquetado</w:t>
            </w:r>
            <w:r w:rsidRPr="003B476C">
              <w:rPr>
                <w:rFonts w:eastAsia="Times New Roman" w:cs="Arial"/>
                <w:color w:val="000000"/>
                <w:sz w:val="14"/>
                <w:szCs w:val="14"/>
              </w:rPr>
              <w:t xml:space="preserve"> </w:t>
            </w:r>
            <w:r w:rsidRPr="003B476C">
              <w:rPr>
                <w:rFonts w:eastAsia="Times New Roman" w:cs="Arial"/>
                <w:b/>
                <w:bCs/>
                <w:color w:val="000000"/>
                <w:sz w:val="14"/>
                <w:szCs w:val="14"/>
              </w:rPr>
              <w:t>(1=A+B+C+D+E+F+G+H+I)</w:t>
            </w:r>
          </w:p>
        </w:tc>
        <w:tc>
          <w:tcPr>
            <w:tcW w:w="1134" w:type="dxa"/>
            <w:tcBorders>
              <w:top w:val="nil"/>
              <w:left w:val="single" w:sz="4" w:space="0" w:color="auto"/>
              <w:bottom w:val="nil"/>
              <w:right w:val="single" w:sz="4" w:space="0" w:color="auto"/>
            </w:tcBorders>
            <w:shd w:val="clear" w:color="auto" w:fill="auto"/>
            <w:vAlign w:val="center"/>
            <w:hideMark/>
          </w:tcPr>
          <w:p w14:paraId="6330348A" w14:textId="77777777" w:rsidR="00650D81" w:rsidRPr="003B476C" w:rsidRDefault="00650D81" w:rsidP="003B476C">
            <w:pPr>
              <w:ind w:firstLineChars="100" w:firstLine="141"/>
              <w:jc w:val="right"/>
              <w:rPr>
                <w:rFonts w:eastAsia="Times New Roman" w:cs="Arial"/>
                <w:b/>
                <w:bCs/>
                <w:color w:val="000000"/>
                <w:sz w:val="14"/>
                <w:szCs w:val="14"/>
              </w:rPr>
            </w:pPr>
            <w:r w:rsidRPr="003B476C">
              <w:rPr>
                <w:rFonts w:eastAsia="Times New Roman" w:cs="Arial"/>
                <w:b/>
                <w:bCs/>
                <w:color w:val="000000"/>
                <w:sz w:val="14"/>
                <w:szCs w:val="14"/>
              </w:rPr>
              <w:t>9,895,762,189</w:t>
            </w:r>
          </w:p>
        </w:tc>
        <w:tc>
          <w:tcPr>
            <w:tcW w:w="1134" w:type="dxa"/>
            <w:tcBorders>
              <w:top w:val="nil"/>
              <w:left w:val="nil"/>
              <w:bottom w:val="nil"/>
              <w:right w:val="single" w:sz="4" w:space="0" w:color="auto"/>
            </w:tcBorders>
            <w:shd w:val="clear" w:color="auto" w:fill="auto"/>
            <w:vAlign w:val="center"/>
            <w:hideMark/>
          </w:tcPr>
          <w:p w14:paraId="4B5C7F61" w14:textId="77777777" w:rsidR="00650D81" w:rsidRPr="003B476C" w:rsidRDefault="00650D81" w:rsidP="003B476C">
            <w:pPr>
              <w:ind w:firstLineChars="100" w:firstLine="141"/>
              <w:jc w:val="right"/>
              <w:rPr>
                <w:rFonts w:eastAsia="Times New Roman" w:cs="Arial"/>
                <w:b/>
                <w:bCs/>
                <w:color w:val="000000"/>
                <w:sz w:val="14"/>
                <w:szCs w:val="14"/>
              </w:rPr>
            </w:pPr>
            <w:r w:rsidRPr="003B476C">
              <w:rPr>
                <w:rFonts w:eastAsia="Times New Roman" w:cs="Arial"/>
                <w:b/>
                <w:bCs/>
                <w:color w:val="000000"/>
                <w:sz w:val="14"/>
                <w:szCs w:val="14"/>
              </w:rPr>
              <w:t>8,679,806,604</w:t>
            </w:r>
          </w:p>
        </w:tc>
        <w:tc>
          <w:tcPr>
            <w:tcW w:w="1134" w:type="dxa"/>
            <w:tcBorders>
              <w:top w:val="nil"/>
              <w:left w:val="nil"/>
              <w:bottom w:val="nil"/>
              <w:right w:val="single" w:sz="4" w:space="0" w:color="auto"/>
            </w:tcBorders>
            <w:shd w:val="clear" w:color="auto" w:fill="auto"/>
            <w:vAlign w:val="center"/>
            <w:hideMark/>
          </w:tcPr>
          <w:p w14:paraId="368F7FA2" w14:textId="77777777" w:rsidR="00650D81" w:rsidRPr="003B476C" w:rsidRDefault="00650D81" w:rsidP="003B476C">
            <w:pPr>
              <w:ind w:firstLineChars="100" w:firstLine="141"/>
              <w:jc w:val="right"/>
              <w:rPr>
                <w:rFonts w:eastAsia="Times New Roman" w:cs="Arial"/>
                <w:b/>
                <w:bCs/>
                <w:color w:val="000000"/>
                <w:sz w:val="14"/>
                <w:szCs w:val="14"/>
              </w:rPr>
            </w:pPr>
            <w:r w:rsidRPr="003B476C">
              <w:rPr>
                <w:rFonts w:eastAsia="Times New Roman" w:cs="Arial"/>
                <w:b/>
                <w:bCs/>
                <w:color w:val="000000"/>
                <w:sz w:val="14"/>
                <w:szCs w:val="14"/>
              </w:rPr>
              <w:t>9,446,007,055</w:t>
            </w:r>
          </w:p>
        </w:tc>
        <w:tc>
          <w:tcPr>
            <w:tcW w:w="1276" w:type="dxa"/>
            <w:tcBorders>
              <w:top w:val="nil"/>
              <w:left w:val="nil"/>
              <w:bottom w:val="nil"/>
              <w:right w:val="single" w:sz="4" w:space="0" w:color="auto"/>
            </w:tcBorders>
            <w:shd w:val="clear" w:color="auto" w:fill="auto"/>
            <w:vAlign w:val="center"/>
            <w:hideMark/>
          </w:tcPr>
          <w:p w14:paraId="3A204A0F" w14:textId="77777777" w:rsidR="00650D81" w:rsidRPr="003B476C" w:rsidRDefault="00650D81" w:rsidP="003B476C">
            <w:pPr>
              <w:ind w:firstLineChars="100" w:firstLine="141"/>
              <w:jc w:val="right"/>
              <w:rPr>
                <w:rFonts w:eastAsia="Times New Roman" w:cs="Arial"/>
                <w:b/>
                <w:bCs/>
                <w:color w:val="000000"/>
                <w:sz w:val="14"/>
                <w:szCs w:val="14"/>
              </w:rPr>
            </w:pPr>
            <w:r w:rsidRPr="003B476C">
              <w:rPr>
                <w:rFonts w:eastAsia="Times New Roman" w:cs="Arial"/>
                <w:b/>
                <w:bCs/>
                <w:color w:val="000000"/>
                <w:sz w:val="14"/>
                <w:szCs w:val="14"/>
              </w:rPr>
              <w:t>9,669,783,400</w:t>
            </w:r>
          </w:p>
        </w:tc>
        <w:tc>
          <w:tcPr>
            <w:tcW w:w="1134" w:type="dxa"/>
            <w:tcBorders>
              <w:top w:val="nil"/>
              <w:left w:val="nil"/>
              <w:bottom w:val="nil"/>
              <w:right w:val="single" w:sz="4" w:space="0" w:color="auto"/>
            </w:tcBorders>
            <w:shd w:val="clear" w:color="auto" w:fill="auto"/>
            <w:vAlign w:val="center"/>
            <w:hideMark/>
          </w:tcPr>
          <w:p w14:paraId="03C603FC" w14:textId="77777777" w:rsidR="00650D81" w:rsidRPr="003B476C" w:rsidRDefault="00650D81" w:rsidP="003B476C">
            <w:pPr>
              <w:ind w:firstLineChars="100" w:firstLine="141"/>
              <w:jc w:val="right"/>
              <w:rPr>
                <w:rFonts w:eastAsia="Times New Roman" w:cs="Arial"/>
                <w:b/>
                <w:bCs/>
                <w:color w:val="000000"/>
                <w:sz w:val="14"/>
                <w:szCs w:val="14"/>
              </w:rPr>
            </w:pPr>
            <w:r w:rsidRPr="003B476C">
              <w:rPr>
                <w:rFonts w:eastAsia="Times New Roman" w:cs="Arial"/>
                <w:b/>
                <w:bCs/>
                <w:color w:val="000000"/>
                <w:sz w:val="14"/>
                <w:szCs w:val="14"/>
              </w:rPr>
              <w:t>12,930,883,114</w:t>
            </w:r>
          </w:p>
        </w:tc>
      </w:tr>
      <w:tr w:rsidR="00650D81" w:rsidRPr="00650D81" w14:paraId="36665E83" w14:textId="77777777" w:rsidTr="000B5B46">
        <w:trPr>
          <w:trHeight w:val="20"/>
        </w:trPr>
        <w:tc>
          <w:tcPr>
            <w:tcW w:w="3686" w:type="dxa"/>
            <w:tcBorders>
              <w:top w:val="nil"/>
              <w:left w:val="single" w:sz="4" w:space="0" w:color="auto"/>
              <w:bottom w:val="nil"/>
              <w:right w:val="single" w:sz="4" w:space="0" w:color="auto"/>
            </w:tcBorders>
            <w:shd w:val="clear" w:color="000000" w:fill="FFFFFF"/>
            <w:vAlign w:val="center"/>
            <w:hideMark/>
          </w:tcPr>
          <w:p w14:paraId="5CEA774A" w14:textId="77777777" w:rsidR="00650D81" w:rsidRPr="003B476C" w:rsidRDefault="00650D81" w:rsidP="00E97C62">
            <w:pPr>
              <w:ind w:left="215" w:hanging="1"/>
              <w:jc w:val="left"/>
              <w:rPr>
                <w:rFonts w:eastAsia="Times New Roman" w:cs="Arial"/>
                <w:color w:val="000000"/>
                <w:sz w:val="14"/>
                <w:szCs w:val="14"/>
              </w:rPr>
            </w:pPr>
            <w:r w:rsidRPr="003B476C">
              <w:rPr>
                <w:rFonts w:eastAsia="Times New Roman" w:cs="Arial"/>
                <w:color w:val="000000"/>
                <w:sz w:val="14"/>
                <w:szCs w:val="14"/>
              </w:rPr>
              <w:t>A.  Servicios Personales</w:t>
            </w:r>
          </w:p>
        </w:tc>
        <w:tc>
          <w:tcPr>
            <w:tcW w:w="1134" w:type="dxa"/>
            <w:tcBorders>
              <w:top w:val="nil"/>
              <w:left w:val="single" w:sz="4" w:space="0" w:color="auto"/>
              <w:bottom w:val="nil"/>
              <w:right w:val="single" w:sz="4" w:space="0" w:color="auto"/>
            </w:tcBorders>
            <w:shd w:val="clear" w:color="000000" w:fill="FFFFFF"/>
            <w:noWrap/>
            <w:vAlign w:val="center"/>
            <w:hideMark/>
          </w:tcPr>
          <w:p w14:paraId="29EF4B91"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1,785,141,688</w:t>
            </w:r>
          </w:p>
        </w:tc>
        <w:tc>
          <w:tcPr>
            <w:tcW w:w="1134" w:type="dxa"/>
            <w:tcBorders>
              <w:top w:val="nil"/>
              <w:left w:val="nil"/>
              <w:bottom w:val="nil"/>
              <w:right w:val="single" w:sz="4" w:space="0" w:color="auto"/>
            </w:tcBorders>
            <w:shd w:val="clear" w:color="000000" w:fill="FFFFFF"/>
            <w:noWrap/>
            <w:vAlign w:val="center"/>
            <w:hideMark/>
          </w:tcPr>
          <w:p w14:paraId="5C32D2EA"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1,402,366,008</w:t>
            </w:r>
          </w:p>
        </w:tc>
        <w:tc>
          <w:tcPr>
            <w:tcW w:w="1134" w:type="dxa"/>
            <w:tcBorders>
              <w:top w:val="nil"/>
              <w:left w:val="nil"/>
              <w:bottom w:val="nil"/>
              <w:right w:val="single" w:sz="4" w:space="0" w:color="auto"/>
            </w:tcBorders>
            <w:shd w:val="clear" w:color="000000" w:fill="FFFFFF"/>
            <w:noWrap/>
            <w:vAlign w:val="center"/>
            <w:hideMark/>
          </w:tcPr>
          <w:p w14:paraId="24D241A9"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1,450,821,382</w:t>
            </w:r>
          </w:p>
        </w:tc>
        <w:tc>
          <w:tcPr>
            <w:tcW w:w="1276" w:type="dxa"/>
            <w:tcBorders>
              <w:top w:val="nil"/>
              <w:left w:val="nil"/>
              <w:bottom w:val="nil"/>
              <w:right w:val="single" w:sz="4" w:space="0" w:color="auto"/>
            </w:tcBorders>
            <w:shd w:val="clear" w:color="000000" w:fill="FFFFFF"/>
            <w:noWrap/>
            <w:vAlign w:val="center"/>
            <w:hideMark/>
          </w:tcPr>
          <w:p w14:paraId="312DC464"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1,526,699,129</w:t>
            </w:r>
          </w:p>
        </w:tc>
        <w:tc>
          <w:tcPr>
            <w:tcW w:w="1134" w:type="dxa"/>
            <w:tcBorders>
              <w:top w:val="nil"/>
              <w:left w:val="nil"/>
              <w:bottom w:val="nil"/>
              <w:right w:val="single" w:sz="4" w:space="0" w:color="auto"/>
            </w:tcBorders>
            <w:shd w:val="clear" w:color="000000" w:fill="FFFFFF"/>
            <w:noWrap/>
            <w:vAlign w:val="center"/>
            <w:hideMark/>
          </w:tcPr>
          <w:p w14:paraId="43D3FB8E"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2,016,752,000</w:t>
            </w:r>
          </w:p>
        </w:tc>
      </w:tr>
      <w:tr w:rsidR="00650D81" w:rsidRPr="00650D81" w14:paraId="2E2966E4" w14:textId="77777777" w:rsidTr="000B5B46">
        <w:trPr>
          <w:trHeight w:val="20"/>
        </w:trPr>
        <w:tc>
          <w:tcPr>
            <w:tcW w:w="3686" w:type="dxa"/>
            <w:tcBorders>
              <w:top w:val="nil"/>
              <w:left w:val="single" w:sz="4" w:space="0" w:color="auto"/>
              <w:bottom w:val="nil"/>
              <w:right w:val="single" w:sz="4" w:space="0" w:color="auto"/>
            </w:tcBorders>
            <w:shd w:val="clear" w:color="000000" w:fill="FFFFFF"/>
            <w:vAlign w:val="center"/>
            <w:hideMark/>
          </w:tcPr>
          <w:p w14:paraId="10449EF6" w14:textId="77777777" w:rsidR="00650D81" w:rsidRPr="003B476C" w:rsidRDefault="00650D81" w:rsidP="00E97C62">
            <w:pPr>
              <w:ind w:left="215" w:hanging="1"/>
              <w:jc w:val="left"/>
              <w:rPr>
                <w:rFonts w:eastAsia="Times New Roman" w:cs="Arial"/>
                <w:color w:val="000000"/>
                <w:sz w:val="14"/>
                <w:szCs w:val="14"/>
              </w:rPr>
            </w:pPr>
            <w:r w:rsidRPr="003B476C">
              <w:rPr>
                <w:rFonts w:eastAsia="Times New Roman" w:cs="Arial"/>
                <w:color w:val="000000"/>
                <w:sz w:val="14"/>
                <w:szCs w:val="14"/>
              </w:rPr>
              <w:t>B.  Materiales y Suministros</w:t>
            </w:r>
          </w:p>
        </w:tc>
        <w:tc>
          <w:tcPr>
            <w:tcW w:w="1134" w:type="dxa"/>
            <w:tcBorders>
              <w:top w:val="nil"/>
              <w:left w:val="single" w:sz="4" w:space="0" w:color="auto"/>
              <w:bottom w:val="nil"/>
              <w:right w:val="single" w:sz="4" w:space="0" w:color="auto"/>
            </w:tcBorders>
            <w:shd w:val="clear" w:color="000000" w:fill="FFFFFF"/>
            <w:noWrap/>
            <w:vAlign w:val="center"/>
            <w:hideMark/>
          </w:tcPr>
          <w:p w14:paraId="3392EEE7"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161,200,396</w:t>
            </w:r>
          </w:p>
        </w:tc>
        <w:tc>
          <w:tcPr>
            <w:tcW w:w="1134" w:type="dxa"/>
            <w:tcBorders>
              <w:top w:val="nil"/>
              <w:left w:val="nil"/>
              <w:bottom w:val="nil"/>
              <w:right w:val="single" w:sz="4" w:space="0" w:color="auto"/>
            </w:tcBorders>
            <w:shd w:val="clear" w:color="000000" w:fill="FFFFFF"/>
            <w:noWrap/>
            <w:vAlign w:val="center"/>
            <w:hideMark/>
          </w:tcPr>
          <w:p w14:paraId="26E3DBDA"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129,712,877</w:t>
            </w:r>
          </w:p>
        </w:tc>
        <w:tc>
          <w:tcPr>
            <w:tcW w:w="1134" w:type="dxa"/>
            <w:tcBorders>
              <w:top w:val="nil"/>
              <w:left w:val="nil"/>
              <w:bottom w:val="nil"/>
              <w:right w:val="single" w:sz="4" w:space="0" w:color="auto"/>
            </w:tcBorders>
            <w:shd w:val="clear" w:color="000000" w:fill="FFFFFF"/>
            <w:noWrap/>
            <w:vAlign w:val="center"/>
            <w:hideMark/>
          </w:tcPr>
          <w:p w14:paraId="0E75FC10"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127,505,433</w:t>
            </w:r>
          </w:p>
        </w:tc>
        <w:tc>
          <w:tcPr>
            <w:tcW w:w="1276" w:type="dxa"/>
            <w:tcBorders>
              <w:top w:val="nil"/>
              <w:left w:val="nil"/>
              <w:bottom w:val="nil"/>
              <w:right w:val="single" w:sz="4" w:space="0" w:color="auto"/>
            </w:tcBorders>
            <w:shd w:val="clear" w:color="000000" w:fill="FFFFFF"/>
            <w:noWrap/>
            <w:vAlign w:val="center"/>
            <w:hideMark/>
          </w:tcPr>
          <w:p w14:paraId="5F539853"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143,141,406</w:t>
            </w:r>
          </w:p>
        </w:tc>
        <w:tc>
          <w:tcPr>
            <w:tcW w:w="1134" w:type="dxa"/>
            <w:tcBorders>
              <w:top w:val="nil"/>
              <w:left w:val="nil"/>
              <w:bottom w:val="nil"/>
              <w:right w:val="single" w:sz="4" w:space="0" w:color="auto"/>
            </w:tcBorders>
            <w:shd w:val="clear" w:color="000000" w:fill="FFFFFF"/>
            <w:noWrap/>
            <w:vAlign w:val="center"/>
            <w:hideMark/>
          </w:tcPr>
          <w:p w14:paraId="25078FEE"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142,997,161</w:t>
            </w:r>
          </w:p>
        </w:tc>
      </w:tr>
      <w:tr w:rsidR="00650D81" w:rsidRPr="00650D81" w14:paraId="343ECB90" w14:textId="77777777" w:rsidTr="000B5B46">
        <w:trPr>
          <w:trHeight w:val="20"/>
        </w:trPr>
        <w:tc>
          <w:tcPr>
            <w:tcW w:w="3686" w:type="dxa"/>
            <w:tcBorders>
              <w:top w:val="nil"/>
              <w:left w:val="single" w:sz="4" w:space="0" w:color="auto"/>
              <w:bottom w:val="nil"/>
              <w:right w:val="single" w:sz="4" w:space="0" w:color="auto"/>
            </w:tcBorders>
            <w:shd w:val="clear" w:color="000000" w:fill="FFFFFF"/>
            <w:vAlign w:val="center"/>
            <w:hideMark/>
          </w:tcPr>
          <w:p w14:paraId="055D12F9" w14:textId="77777777" w:rsidR="00650D81" w:rsidRPr="003B476C" w:rsidRDefault="00650D81" w:rsidP="00E97C62">
            <w:pPr>
              <w:ind w:left="215" w:hanging="1"/>
              <w:jc w:val="left"/>
              <w:rPr>
                <w:rFonts w:eastAsia="Times New Roman" w:cs="Arial"/>
                <w:color w:val="000000"/>
                <w:sz w:val="14"/>
                <w:szCs w:val="14"/>
              </w:rPr>
            </w:pPr>
            <w:r w:rsidRPr="003B476C">
              <w:rPr>
                <w:rFonts w:eastAsia="Times New Roman" w:cs="Arial"/>
                <w:color w:val="000000"/>
                <w:sz w:val="14"/>
                <w:szCs w:val="14"/>
              </w:rPr>
              <w:t>C.  Servicios Generales</w:t>
            </w:r>
          </w:p>
        </w:tc>
        <w:tc>
          <w:tcPr>
            <w:tcW w:w="1134" w:type="dxa"/>
            <w:tcBorders>
              <w:top w:val="nil"/>
              <w:left w:val="single" w:sz="4" w:space="0" w:color="auto"/>
              <w:bottom w:val="nil"/>
              <w:right w:val="single" w:sz="4" w:space="0" w:color="auto"/>
            </w:tcBorders>
            <w:shd w:val="clear" w:color="000000" w:fill="FFFFFF"/>
            <w:noWrap/>
            <w:vAlign w:val="center"/>
            <w:hideMark/>
          </w:tcPr>
          <w:p w14:paraId="5EAD7B46"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471,601,978</w:t>
            </w:r>
          </w:p>
        </w:tc>
        <w:tc>
          <w:tcPr>
            <w:tcW w:w="1134" w:type="dxa"/>
            <w:tcBorders>
              <w:top w:val="nil"/>
              <w:left w:val="nil"/>
              <w:bottom w:val="nil"/>
              <w:right w:val="single" w:sz="4" w:space="0" w:color="auto"/>
            </w:tcBorders>
            <w:shd w:val="clear" w:color="000000" w:fill="FFFFFF"/>
            <w:noWrap/>
            <w:vAlign w:val="center"/>
            <w:hideMark/>
          </w:tcPr>
          <w:p w14:paraId="405F1BB3"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435,254,979</w:t>
            </w:r>
          </w:p>
        </w:tc>
        <w:tc>
          <w:tcPr>
            <w:tcW w:w="1134" w:type="dxa"/>
            <w:tcBorders>
              <w:top w:val="nil"/>
              <w:left w:val="nil"/>
              <w:bottom w:val="nil"/>
              <w:right w:val="single" w:sz="4" w:space="0" w:color="auto"/>
            </w:tcBorders>
            <w:shd w:val="clear" w:color="000000" w:fill="FFFFFF"/>
            <w:noWrap/>
            <w:vAlign w:val="center"/>
            <w:hideMark/>
          </w:tcPr>
          <w:p w14:paraId="1BB671C1"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327,750,664</w:t>
            </w:r>
          </w:p>
        </w:tc>
        <w:tc>
          <w:tcPr>
            <w:tcW w:w="1276" w:type="dxa"/>
            <w:tcBorders>
              <w:top w:val="nil"/>
              <w:left w:val="nil"/>
              <w:bottom w:val="nil"/>
              <w:right w:val="single" w:sz="4" w:space="0" w:color="auto"/>
            </w:tcBorders>
            <w:shd w:val="clear" w:color="000000" w:fill="FFFFFF"/>
            <w:noWrap/>
            <w:vAlign w:val="center"/>
            <w:hideMark/>
          </w:tcPr>
          <w:p w14:paraId="4136B6C8"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339,927,843</w:t>
            </w:r>
          </w:p>
        </w:tc>
        <w:tc>
          <w:tcPr>
            <w:tcW w:w="1134" w:type="dxa"/>
            <w:tcBorders>
              <w:top w:val="nil"/>
              <w:left w:val="nil"/>
              <w:bottom w:val="nil"/>
              <w:right w:val="single" w:sz="4" w:space="0" w:color="auto"/>
            </w:tcBorders>
            <w:shd w:val="clear" w:color="000000" w:fill="FFFFFF"/>
            <w:noWrap/>
            <w:vAlign w:val="center"/>
            <w:hideMark/>
          </w:tcPr>
          <w:p w14:paraId="6B0EDCF0"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312,702,018</w:t>
            </w:r>
          </w:p>
        </w:tc>
      </w:tr>
      <w:tr w:rsidR="00650D81" w:rsidRPr="00650D81" w14:paraId="5B6D7725" w14:textId="77777777" w:rsidTr="000B5B46">
        <w:trPr>
          <w:trHeight w:val="20"/>
        </w:trPr>
        <w:tc>
          <w:tcPr>
            <w:tcW w:w="3686" w:type="dxa"/>
            <w:tcBorders>
              <w:top w:val="nil"/>
              <w:left w:val="single" w:sz="4" w:space="0" w:color="auto"/>
              <w:bottom w:val="nil"/>
              <w:right w:val="single" w:sz="4" w:space="0" w:color="auto"/>
            </w:tcBorders>
            <w:shd w:val="clear" w:color="000000" w:fill="FFFFFF"/>
            <w:vAlign w:val="center"/>
            <w:hideMark/>
          </w:tcPr>
          <w:p w14:paraId="68142E33" w14:textId="77777777" w:rsidR="00650D81" w:rsidRPr="003B476C" w:rsidRDefault="00650D81" w:rsidP="00E97C62">
            <w:pPr>
              <w:ind w:left="215" w:hanging="1"/>
              <w:jc w:val="left"/>
              <w:rPr>
                <w:rFonts w:eastAsia="Times New Roman" w:cs="Arial"/>
                <w:color w:val="000000"/>
                <w:sz w:val="14"/>
                <w:szCs w:val="14"/>
              </w:rPr>
            </w:pPr>
            <w:r w:rsidRPr="003B476C">
              <w:rPr>
                <w:rFonts w:eastAsia="Times New Roman" w:cs="Arial"/>
                <w:color w:val="000000"/>
                <w:sz w:val="14"/>
                <w:szCs w:val="14"/>
              </w:rPr>
              <w:t>D.  Transferencias, Asignaciones, Subsidios y Otras Ayudas</w:t>
            </w:r>
          </w:p>
        </w:tc>
        <w:tc>
          <w:tcPr>
            <w:tcW w:w="1134" w:type="dxa"/>
            <w:tcBorders>
              <w:top w:val="nil"/>
              <w:left w:val="single" w:sz="4" w:space="0" w:color="auto"/>
              <w:bottom w:val="nil"/>
              <w:right w:val="single" w:sz="4" w:space="0" w:color="auto"/>
            </w:tcBorders>
            <w:shd w:val="clear" w:color="000000" w:fill="FFFFFF"/>
            <w:noWrap/>
            <w:vAlign w:val="center"/>
            <w:hideMark/>
          </w:tcPr>
          <w:p w14:paraId="693D4107"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3,776,274,736</w:t>
            </w:r>
          </w:p>
        </w:tc>
        <w:tc>
          <w:tcPr>
            <w:tcW w:w="1134" w:type="dxa"/>
            <w:tcBorders>
              <w:top w:val="nil"/>
              <w:left w:val="nil"/>
              <w:bottom w:val="nil"/>
              <w:right w:val="single" w:sz="4" w:space="0" w:color="auto"/>
            </w:tcBorders>
            <w:shd w:val="clear" w:color="000000" w:fill="FFFFFF"/>
            <w:noWrap/>
            <w:vAlign w:val="center"/>
            <w:hideMark/>
          </w:tcPr>
          <w:p w14:paraId="6DF495F6"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3,942,383,774</w:t>
            </w:r>
          </w:p>
        </w:tc>
        <w:tc>
          <w:tcPr>
            <w:tcW w:w="1134" w:type="dxa"/>
            <w:tcBorders>
              <w:top w:val="nil"/>
              <w:left w:val="nil"/>
              <w:bottom w:val="nil"/>
              <w:right w:val="single" w:sz="4" w:space="0" w:color="auto"/>
            </w:tcBorders>
            <w:shd w:val="clear" w:color="000000" w:fill="FFFFFF"/>
            <w:noWrap/>
            <w:vAlign w:val="center"/>
            <w:hideMark/>
          </w:tcPr>
          <w:p w14:paraId="5B29F833"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4,698,246,342</w:t>
            </w:r>
          </w:p>
        </w:tc>
        <w:tc>
          <w:tcPr>
            <w:tcW w:w="1276" w:type="dxa"/>
            <w:tcBorders>
              <w:top w:val="nil"/>
              <w:left w:val="nil"/>
              <w:bottom w:val="nil"/>
              <w:right w:val="single" w:sz="4" w:space="0" w:color="auto"/>
            </w:tcBorders>
            <w:shd w:val="clear" w:color="000000" w:fill="FFFFFF"/>
            <w:noWrap/>
            <w:vAlign w:val="center"/>
            <w:hideMark/>
          </w:tcPr>
          <w:p w14:paraId="7423A3DA"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4,602,338,937</w:t>
            </w:r>
          </w:p>
        </w:tc>
        <w:tc>
          <w:tcPr>
            <w:tcW w:w="1134" w:type="dxa"/>
            <w:tcBorders>
              <w:top w:val="nil"/>
              <w:left w:val="nil"/>
              <w:bottom w:val="nil"/>
              <w:right w:val="single" w:sz="4" w:space="0" w:color="auto"/>
            </w:tcBorders>
            <w:shd w:val="clear" w:color="000000" w:fill="FFFFFF"/>
            <w:noWrap/>
            <w:vAlign w:val="center"/>
            <w:hideMark/>
          </w:tcPr>
          <w:p w14:paraId="1651CE8B"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4,880,467,682</w:t>
            </w:r>
          </w:p>
        </w:tc>
      </w:tr>
      <w:tr w:rsidR="00650D81" w:rsidRPr="00650D81" w14:paraId="7BFBB011" w14:textId="77777777" w:rsidTr="000B5B46">
        <w:trPr>
          <w:trHeight w:val="20"/>
        </w:trPr>
        <w:tc>
          <w:tcPr>
            <w:tcW w:w="3686" w:type="dxa"/>
            <w:tcBorders>
              <w:top w:val="nil"/>
              <w:left w:val="single" w:sz="4" w:space="0" w:color="auto"/>
              <w:bottom w:val="nil"/>
              <w:right w:val="single" w:sz="4" w:space="0" w:color="auto"/>
            </w:tcBorders>
            <w:shd w:val="clear" w:color="000000" w:fill="FFFFFF"/>
            <w:vAlign w:val="center"/>
            <w:hideMark/>
          </w:tcPr>
          <w:p w14:paraId="1180BFAE" w14:textId="77777777" w:rsidR="00650D81" w:rsidRPr="003B476C" w:rsidRDefault="00650D81" w:rsidP="00E97C62">
            <w:pPr>
              <w:ind w:left="215" w:hanging="1"/>
              <w:jc w:val="left"/>
              <w:rPr>
                <w:rFonts w:eastAsia="Times New Roman" w:cs="Arial"/>
                <w:color w:val="000000"/>
                <w:sz w:val="14"/>
                <w:szCs w:val="14"/>
              </w:rPr>
            </w:pPr>
            <w:r w:rsidRPr="003B476C">
              <w:rPr>
                <w:rFonts w:eastAsia="Times New Roman" w:cs="Arial"/>
                <w:color w:val="000000"/>
                <w:sz w:val="14"/>
                <w:szCs w:val="14"/>
              </w:rPr>
              <w:t>E.  Bienes Muebles, Inmuebles e Intangibles</w:t>
            </w:r>
          </w:p>
        </w:tc>
        <w:tc>
          <w:tcPr>
            <w:tcW w:w="1134" w:type="dxa"/>
            <w:tcBorders>
              <w:top w:val="nil"/>
              <w:left w:val="single" w:sz="4" w:space="0" w:color="auto"/>
              <w:bottom w:val="nil"/>
              <w:right w:val="single" w:sz="4" w:space="0" w:color="auto"/>
            </w:tcBorders>
            <w:shd w:val="clear" w:color="000000" w:fill="FFFFFF"/>
            <w:noWrap/>
            <w:vAlign w:val="center"/>
            <w:hideMark/>
          </w:tcPr>
          <w:p w14:paraId="134625A5"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28,409,928</w:t>
            </w:r>
          </w:p>
        </w:tc>
        <w:tc>
          <w:tcPr>
            <w:tcW w:w="1134" w:type="dxa"/>
            <w:tcBorders>
              <w:top w:val="nil"/>
              <w:left w:val="nil"/>
              <w:bottom w:val="nil"/>
              <w:right w:val="single" w:sz="4" w:space="0" w:color="auto"/>
            </w:tcBorders>
            <w:shd w:val="clear" w:color="000000" w:fill="FFFFFF"/>
            <w:noWrap/>
            <w:vAlign w:val="center"/>
            <w:hideMark/>
          </w:tcPr>
          <w:p w14:paraId="051EDD99"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17,887,062</w:t>
            </w:r>
          </w:p>
        </w:tc>
        <w:tc>
          <w:tcPr>
            <w:tcW w:w="1134" w:type="dxa"/>
            <w:tcBorders>
              <w:top w:val="nil"/>
              <w:left w:val="nil"/>
              <w:bottom w:val="nil"/>
              <w:right w:val="single" w:sz="4" w:space="0" w:color="auto"/>
            </w:tcBorders>
            <w:shd w:val="clear" w:color="000000" w:fill="FFFFFF"/>
            <w:noWrap/>
            <w:vAlign w:val="center"/>
            <w:hideMark/>
          </w:tcPr>
          <w:p w14:paraId="0C27E1F8"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18,564,816</w:t>
            </w:r>
          </w:p>
        </w:tc>
        <w:tc>
          <w:tcPr>
            <w:tcW w:w="1276" w:type="dxa"/>
            <w:tcBorders>
              <w:top w:val="nil"/>
              <w:left w:val="nil"/>
              <w:bottom w:val="nil"/>
              <w:right w:val="single" w:sz="4" w:space="0" w:color="auto"/>
            </w:tcBorders>
            <w:shd w:val="clear" w:color="000000" w:fill="FFFFFF"/>
            <w:noWrap/>
            <w:vAlign w:val="center"/>
            <w:hideMark/>
          </w:tcPr>
          <w:p w14:paraId="7114A116"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57,776,735</w:t>
            </w:r>
          </w:p>
        </w:tc>
        <w:tc>
          <w:tcPr>
            <w:tcW w:w="1134" w:type="dxa"/>
            <w:tcBorders>
              <w:top w:val="nil"/>
              <w:left w:val="nil"/>
              <w:bottom w:val="nil"/>
              <w:right w:val="single" w:sz="4" w:space="0" w:color="auto"/>
            </w:tcBorders>
            <w:shd w:val="clear" w:color="000000" w:fill="FFFFFF"/>
            <w:noWrap/>
            <w:vAlign w:val="center"/>
            <w:hideMark/>
          </w:tcPr>
          <w:p w14:paraId="3F74B976"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31,694,395</w:t>
            </w:r>
          </w:p>
        </w:tc>
      </w:tr>
      <w:tr w:rsidR="00650D81" w:rsidRPr="00650D81" w14:paraId="04A84B01" w14:textId="77777777" w:rsidTr="000B5B46">
        <w:trPr>
          <w:trHeight w:val="20"/>
        </w:trPr>
        <w:tc>
          <w:tcPr>
            <w:tcW w:w="3686" w:type="dxa"/>
            <w:tcBorders>
              <w:top w:val="nil"/>
              <w:left w:val="single" w:sz="4" w:space="0" w:color="auto"/>
              <w:bottom w:val="nil"/>
              <w:right w:val="single" w:sz="4" w:space="0" w:color="auto"/>
            </w:tcBorders>
            <w:shd w:val="clear" w:color="000000" w:fill="FFFFFF"/>
            <w:vAlign w:val="center"/>
            <w:hideMark/>
          </w:tcPr>
          <w:p w14:paraId="019E71F8" w14:textId="77777777" w:rsidR="00650D81" w:rsidRPr="003B476C" w:rsidRDefault="00650D81" w:rsidP="00E97C62">
            <w:pPr>
              <w:ind w:left="215" w:hanging="1"/>
              <w:jc w:val="left"/>
              <w:rPr>
                <w:rFonts w:eastAsia="Times New Roman" w:cs="Arial"/>
                <w:color w:val="000000"/>
                <w:sz w:val="14"/>
                <w:szCs w:val="14"/>
              </w:rPr>
            </w:pPr>
            <w:r w:rsidRPr="003B476C">
              <w:rPr>
                <w:rFonts w:eastAsia="Times New Roman" w:cs="Arial"/>
                <w:color w:val="000000"/>
                <w:sz w:val="14"/>
                <w:szCs w:val="14"/>
              </w:rPr>
              <w:t>F.  Inversión Pública</w:t>
            </w:r>
          </w:p>
        </w:tc>
        <w:tc>
          <w:tcPr>
            <w:tcW w:w="1134" w:type="dxa"/>
            <w:tcBorders>
              <w:top w:val="nil"/>
              <w:left w:val="single" w:sz="4" w:space="0" w:color="auto"/>
              <w:bottom w:val="nil"/>
              <w:right w:val="single" w:sz="4" w:space="0" w:color="auto"/>
            </w:tcBorders>
            <w:shd w:val="clear" w:color="000000" w:fill="FFFFFF"/>
            <w:noWrap/>
            <w:vAlign w:val="center"/>
            <w:hideMark/>
          </w:tcPr>
          <w:p w14:paraId="3686D8E3"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214,370,110</w:t>
            </w:r>
          </w:p>
        </w:tc>
        <w:tc>
          <w:tcPr>
            <w:tcW w:w="1134" w:type="dxa"/>
            <w:tcBorders>
              <w:top w:val="nil"/>
              <w:left w:val="nil"/>
              <w:bottom w:val="nil"/>
              <w:right w:val="single" w:sz="4" w:space="0" w:color="auto"/>
            </w:tcBorders>
            <w:shd w:val="clear" w:color="000000" w:fill="FFFFFF"/>
            <w:noWrap/>
            <w:vAlign w:val="center"/>
            <w:hideMark/>
          </w:tcPr>
          <w:p w14:paraId="6E3B533B"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108,828,239</w:t>
            </w:r>
          </w:p>
        </w:tc>
        <w:tc>
          <w:tcPr>
            <w:tcW w:w="1134" w:type="dxa"/>
            <w:tcBorders>
              <w:top w:val="nil"/>
              <w:left w:val="nil"/>
              <w:bottom w:val="nil"/>
              <w:right w:val="single" w:sz="4" w:space="0" w:color="auto"/>
            </w:tcBorders>
            <w:shd w:val="clear" w:color="000000" w:fill="FFFFFF"/>
            <w:noWrap/>
            <w:vAlign w:val="center"/>
            <w:hideMark/>
          </w:tcPr>
          <w:p w14:paraId="74F4F0C5"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11,476,691</w:t>
            </w:r>
          </w:p>
        </w:tc>
        <w:tc>
          <w:tcPr>
            <w:tcW w:w="1276" w:type="dxa"/>
            <w:tcBorders>
              <w:top w:val="nil"/>
              <w:left w:val="nil"/>
              <w:bottom w:val="nil"/>
              <w:right w:val="single" w:sz="4" w:space="0" w:color="auto"/>
            </w:tcBorders>
            <w:shd w:val="clear" w:color="000000" w:fill="FFFFFF"/>
            <w:noWrap/>
            <w:vAlign w:val="center"/>
            <w:hideMark/>
          </w:tcPr>
          <w:p w14:paraId="73C5BCF6"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55,467,588</w:t>
            </w:r>
          </w:p>
        </w:tc>
        <w:tc>
          <w:tcPr>
            <w:tcW w:w="1134" w:type="dxa"/>
            <w:tcBorders>
              <w:top w:val="nil"/>
              <w:left w:val="nil"/>
              <w:bottom w:val="nil"/>
              <w:right w:val="single" w:sz="4" w:space="0" w:color="auto"/>
            </w:tcBorders>
            <w:shd w:val="clear" w:color="000000" w:fill="FFFFFF"/>
            <w:noWrap/>
            <w:vAlign w:val="center"/>
            <w:hideMark/>
          </w:tcPr>
          <w:p w14:paraId="03EF0BE7"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65,942,242</w:t>
            </w:r>
          </w:p>
        </w:tc>
      </w:tr>
      <w:tr w:rsidR="00650D81" w:rsidRPr="00650D81" w14:paraId="5DEE97FD" w14:textId="77777777" w:rsidTr="000B5B46">
        <w:trPr>
          <w:trHeight w:val="20"/>
        </w:trPr>
        <w:tc>
          <w:tcPr>
            <w:tcW w:w="3686" w:type="dxa"/>
            <w:tcBorders>
              <w:top w:val="nil"/>
              <w:left w:val="single" w:sz="4" w:space="0" w:color="auto"/>
              <w:bottom w:val="nil"/>
              <w:right w:val="single" w:sz="4" w:space="0" w:color="auto"/>
            </w:tcBorders>
            <w:shd w:val="clear" w:color="000000" w:fill="FFFFFF"/>
            <w:vAlign w:val="center"/>
            <w:hideMark/>
          </w:tcPr>
          <w:p w14:paraId="47520DAD" w14:textId="77777777" w:rsidR="00650D81" w:rsidRPr="003B476C" w:rsidRDefault="00650D81" w:rsidP="00E97C62">
            <w:pPr>
              <w:ind w:left="215" w:hanging="1"/>
              <w:jc w:val="left"/>
              <w:rPr>
                <w:rFonts w:eastAsia="Times New Roman" w:cs="Arial"/>
                <w:color w:val="000000"/>
                <w:sz w:val="14"/>
                <w:szCs w:val="14"/>
              </w:rPr>
            </w:pPr>
            <w:r w:rsidRPr="003B476C">
              <w:rPr>
                <w:rFonts w:eastAsia="Times New Roman" w:cs="Arial"/>
                <w:color w:val="000000"/>
                <w:sz w:val="14"/>
                <w:szCs w:val="14"/>
              </w:rPr>
              <w:t>G.  Inversiones Financieras y Otras Provisiones</w:t>
            </w:r>
          </w:p>
        </w:tc>
        <w:tc>
          <w:tcPr>
            <w:tcW w:w="1134" w:type="dxa"/>
            <w:tcBorders>
              <w:top w:val="nil"/>
              <w:left w:val="single" w:sz="4" w:space="0" w:color="auto"/>
              <w:bottom w:val="nil"/>
              <w:right w:val="single" w:sz="4" w:space="0" w:color="auto"/>
            </w:tcBorders>
            <w:shd w:val="clear" w:color="000000" w:fill="FFFFFF"/>
            <w:noWrap/>
            <w:vAlign w:val="center"/>
            <w:hideMark/>
          </w:tcPr>
          <w:p w14:paraId="31E3750C"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000000" w:fill="FFFFFF"/>
            <w:noWrap/>
            <w:vAlign w:val="center"/>
            <w:hideMark/>
          </w:tcPr>
          <w:p w14:paraId="7E0E26F8"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000000" w:fill="FFFFFF"/>
            <w:noWrap/>
            <w:vAlign w:val="center"/>
            <w:hideMark/>
          </w:tcPr>
          <w:p w14:paraId="7FFA0195"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0</w:t>
            </w:r>
          </w:p>
        </w:tc>
        <w:tc>
          <w:tcPr>
            <w:tcW w:w="1276" w:type="dxa"/>
            <w:tcBorders>
              <w:top w:val="nil"/>
              <w:left w:val="nil"/>
              <w:bottom w:val="nil"/>
              <w:right w:val="single" w:sz="4" w:space="0" w:color="auto"/>
            </w:tcBorders>
            <w:shd w:val="clear" w:color="000000" w:fill="FFFFFF"/>
            <w:noWrap/>
            <w:vAlign w:val="center"/>
            <w:hideMark/>
          </w:tcPr>
          <w:p w14:paraId="351BBD52"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000000" w:fill="FFFFFF"/>
            <w:noWrap/>
            <w:vAlign w:val="center"/>
            <w:hideMark/>
          </w:tcPr>
          <w:p w14:paraId="043AC6F0"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2,450,000</w:t>
            </w:r>
          </w:p>
        </w:tc>
      </w:tr>
      <w:tr w:rsidR="00650D81" w:rsidRPr="00650D81" w14:paraId="1B14F4FE" w14:textId="77777777" w:rsidTr="000B5B46">
        <w:trPr>
          <w:trHeight w:val="20"/>
        </w:trPr>
        <w:tc>
          <w:tcPr>
            <w:tcW w:w="3686" w:type="dxa"/>
            <w:tcBorders>
              <w:top w:val="nil"/>
              <w:left w:val="single" w:sz="4" w:space="0" w:color="auto"/>
              <w:bottom w:val="nil"/>
              <w:right w:val="single" w:sz="4" w:space="0" w:color="auto"/>
            </w:tcBorders>
            <w:shd w:val="clear" w:color="000000" w:fill="FFFFFF"/>
            <w:vAlign w:val="center"/>
            <w:hideMark/>
          </w:tcPr>
          <w:p w14:paraId="2549A498" w14:textId="77777777" w:rsidR="00650D81" w:rsidRPr="003B476C" w:rsidRDefault="00650D81" w:rsidP="00E97C62">
            <w:pPr>
              <w:ind w:left="215" w:hanging="1"/>
              <w:jc w:val="left"/>
              <w:rPr>
                <w:rFonts w:eastAsia="Times New Roman" w:cs="Arial"/>
                <w:color w:val="000000"/>
                <w:sz w:val="14"/>
                <w:szCs w:val="14"/>
              </w:rPr>
            </w:pPr>
            <w:r w:rsidRPr="003B476C">
              <w:rPr>
                <w:rFonts w:eastAsia="Times New Roman" w:cs="Arial"/>
                <w:color w:val="000000"/>
                <w:sz w:val="14"/>
                <w:szCs w:val="14"/>
              </w:rPr>
              <w:t xml:space="preserve">H.  Participaciones y Aportaciones </w:t>
            </w:r>
          </w:p>
        </w:tc>
        <w:tc>
          <w:tcPr>
            <w:tcW w:w="1134" w:type="dxa"/>
            <w:tcBorders>
              <w:top w:val="nil"/>
              <w:left w:val="single" w:sz="4" w:space="0" w:color="auto"/>
              <w:bottom w:val="nil"/>
              <w:right w:val="single" w:sz="4" w:space="0" w:color="auto"/>
            </w:tcBorders>
            <w:shd w:val="clear" w:color="000000" w:fill="FFFFFF"/>
            <w:noWrap/>
            <w:vAlign w:val="center"/>
            <w:hideMark/>
          </w:tcPr>
          <w:p w14:paraId="153C3356"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1,559,767,815</w:t>
            </w:r>
          </w:p>
        </w:tc>
        <w:tc>
          <w:tcPr>
            <w:tcW w:w="1134" w:type="dxa"/>
            <w:tcBorders>
              <w:top w:val="nil"/>
              <w:left w:val="nil"/>
              <w:bottom w:val="nil"/>
              <w:right w:val="single" w:sz="4" w:space="0" w:color="auto"/>
            </w:tcBorders>
            <w:shd w:val="clear" w:color="000000" w:fill="FFFFFF"/>
            <w:noWrap/>
            <w:vAlign w:val="center"/>
            <w:hideMark/>
          </w:tcPr>
          <w:p w14:paraId="418A3519"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1,534,750,951</w:t>
            </w:r>
          </w:p>
        </w:tc>
        <w:tc>
          <w:tcPr>
            <w:tcW w:w="1134" w:type="dxa"/>
            <w:tcBorders>
              <w:top w:val="nil"/>
              <w:left w:val="nil"/>
              <w:bottom w:val="nil"/>
              <w:right w:val="single" w:sz="4" w:space="0" w:color="auto"/>
            </w:tcBorders>
            <w:shd w:val="clear" w:color="000000" w:fill="FFFFFF"/>
            <w:noWrap/>
            <w:vAlign w:val="center"/>
            <w:hideMark/>
          </w:tcPr>
          <w:p w14:paraId="6E23C52A"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1,690,290,546</w:t>
            </w:r>
          </w:p>
        </w:tc>
        <w:tc>
          <w:tcPr>
            <w:tcW w:w="1276" w:type="dxa"/>
            <w:tcBorders>
              <w:top w:val="nil"/>
              <w:left w:val="nil"/>
              <w:bottom w:val="nil"/>
              <w:right w:val="single" w:sz="4" w:space="0" w:color="auto"/>
            </w:tcBorders>
            <w:shd w:val="clear" w:color="000000" w:fill="FFFFFF"/>
            <w:noWrap/>
            <w:vAlign w:val="center"/>
            <w:hideMark/>
          </w:tcPr>
          <w:p w14:paraId="6D4FC83A"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1,828,533,873</w:t>
            </w:r>
          </w:p>
        </w:tc>
        <w:tc>
          <w:tcPr>
            <w:tcW w:w="1134" w:type="dxa"/>
            <w:tcBorders>
              <w:top w:val="nil"/>
              <w:left w:val="nil"/>
              <w:bottom w:val="nil"/>
              <w:right w:val="single" w:sz="4" w:space="0" w:color="auto"/>
            </w:tcBorders>
            <w:shd w:val="clear" w:color="000000" w:fill="FFFFFF"/>
            <w:noWrap/>
            <w:vAlign w:val="center"/>
            <w:hideMark/>
          </w:tcPr>
          <w:p w14:paraId="28C14F89"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1,940,936,576</w:t>
            </w:r>
          </w:p>
        </w:tc>
      </w:tr>
      <w:tr w:rsidR="00650D81" w:rsidRPr="00650D81" w14:paraId="222FF4A8" w14:textId="77777777" w:rsidTr="000B5B46">
        <w:trPr>
          <w:trHeight w:val="20"/>
        </w:trPr>
        <w:tc>
          <w:tcPr>
            <w:tcW w:w="3686" w:type="dxa"/>
            <w:tcBorders>
              <w:top w:val="nil"/>
              <w:left w:val="single" w:sz="4" w:space="0" w:color="auto"/>
              <w:bottom w:val="nil"/>
              <w:right w:val="single" w:sz="4" w:space="0" w:color="auto"/>
            </w:tcBorders>
            <w:shd w:val="clear" w:color="000000" w:fill="FFFFFF"/>
            <w:vAlign w:val="center"/>
            <w:hideMark/>
          </w:tcPr>
          <w:p w14:paraId="0E076CEC" w14:textId="77777777" w:rsidR="00650D81" w:rsidRPr="003B476C" w:rsidRDefault="00650D81" w:rsidP="00E97C62">
            <w:pPr>
              <w:ind w:left="215" w:hanging="1"/>
              <w:jc w:val="left"/>
              <w:rPr>
                <w:rFonts w:eastAsia="Times New Roman" w:cs="Arial"/>
                <w:color w:val="000000"/>
                <w:sz w:val="14"/>
                <w:szCs w:val="14"/>
              </w:rPr>
            </w:pPr>
            <w:r w:rsidRPr="003B476C">
              <w:rPr>
                <w:rFonts w:eastAsia="Times New Roman" w:cs="Arial"/>
                <w:color w:val="000000"/>
                <w:sz w:val="14"/>
                <w:szCs w:val="14"/>
              </w:rPr>
              <w:t>I.   Deuda Pública</w:t>
            </w:r>
          </w:p>
        </w:tc>
        <w:tc>
          <w:tcPr>
            <w:tcW w:w="1134" w:type="dxa"/>
            <w:tcBorders>
              <w:top w:val="nil"/>
              <w:left w:val="single" w:sz="4" w:space="0" w:color="auto"/>
              <w:bottom w:val="nil"/>
              <w:right w:val="single" w:sz="4" w:space="0" w:color="auto"/>
            </w:tcBorders>
            <w:shd w:val="clear" w:color="000000" w:fill="FFFFFF"/>
            <w:noWrap/>
            <w:vAlign w:val="center"/>
            <w:hideMark/>
          </w:tcPr>
          <w:p w14:paraId="4DEA597F"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1,898,995,539</w:t>
            </w:r>
          </w:p>
        </w:tc>
        <w:tc>
          <w:tcPr>
            <w:tcW w:w="1134" w:type="dxa"/>
            <w:tcBorders>
              <w:top w:val="nil"/>
              <w:left w:val="nil"/>
              <w:bottom w:val="nil"/>
              <w:right w:val="single" w:sz="4" w:space="0" w:color="auto"/>
            </w:tcBorders>
            <w:shd w:val="clear" w:color="000000" w:fill="FFFFFF"/>
            <w:noWrap/>
            <w:vAlign w:val="center"/>
            <w:hideMark/>
          </w:tcPr>
          <w:p w14:paraId="32784D15"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1,108,622,713</w:t>
            </w:r>
          </w:p>
        </w:tc>
        <w:tc>
          <w:tcPr>
            <w:tcW w:w="1134" w:type="dxa"/>
            <w:tcBorders>
              <w:top w:val="nil"/>
              <w:left w:val="nil"/>
              <w:bottom w:val="nil"/>
              <w:right w:val="single" w:sz="4" w:space="0" w:color="auto"/>
            </w:tcBorders>
            <w:shd w:val="clear" w:color="000000" w:fill="FFFFFF"/>
            <w:noWrap/>
            <w:vAlign w:val="center"/>
            <w:hideMark/>
          </w:tcPr>
          <w:p w14:paraId="4C31E057"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1,121,351,181</w:t>
            </w:r>
          </w:p>
        </w:tc>
        <w:tc>
          <w:tcPr>
            <w:tcW w:w="1276" w:type="dxa"/>
            <w:tcBorders>
              <w:top w:val="nil"/>
              <w:left w:val="nil"/>
              <w:bottom w:val="nil"/>
              <w:right w:val="single" w:sz="4" w:space="0" w:color="auto"/>
            </w:tcBorders>
            <w:shd w:val="clear" w:color="000000" w:fill="FFFFFF"/>
            <w:noWrap/>
            <w:vAlign w:val="center"/>
            <w:hideMark/>
          </w:tcPr>
          <w:p w14:paraId="30784EE9"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1,115,897,889</w:t>
            </w:r>
          </w:p>
        </w:tc>
        <w:tc>
          <w:tcPr>
            <w:tcW w:w="1134" w:type="dxa"/>
            <w:tcBorders>
              <w:top w:val="nil"/>
              <w:left w:val="nil"/>
              <w:bottom w:val="nil"/>
              <w:right w:val="single" w:sz="4" w:space="0" w:color="auto"/>
            </w:tcBorders>
            <w:shd w:val="clear" w:color="000000" w:fill="FFFFFF"/>
            <w:noWrap/>
            <w:vAlign w:val="center"/>
            <w:hideMark/>
          </w:tcPr>
          <w:p w14:paraId="12780A4D"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3,536,941,040</w:t>
            </w:r>
          </w:p>
        </w:tc>
      </w:tr>
      <w:tr w:rsidR="00650D81" w:rsidRPr="00650D81" w14:paraId="0CA62815" w14:textId="77777777" w:rsidTr="000B5B46">
        <w:trPr>
          <w:trHeight w:val="20"/>
        </w:trPr>
        <w:tc>
          <w:tcPr>
            <w:tcW w:w="3686" w:type="dxa"/>
            <w:tcBorders>
              <w:top w:val="nil"/>
              <w:left w:val="single" w:sz="4" w:space="0" w:color="auto"/>
              <w:bottom w:val="nil"/>
              <w:right w:val="single" w:sz="4" w:space="0" w:color="auto"/>
            </w:tcBorders>
            <w:shd w:val="clear" w:color="000000" w:fill="FFFFFF"/>
            <w:vAlign w:val="center"/>
            <w:hideMark/>
          </w:tcPr>
          <w:p w14:paraId="24C98BDA" w14:textId="77777777" w:rsidR="00650D81" w:rsidRPr="003B476C" w:rsidRDefault="00650D81" w:rsidP="00E97C62">
            <w:pPr>
              <w:ind w:left="215" w:hanging="1"/>
              <w:jc w:val="left"/>
              <w:rPr>
                <w:rFonts w:eastAsia="Times New Roman" w:cs="Arial"/>
                <w:color w:val="000000"/>
                <w:sz w:val="14"/>
                <w:szCs w:val="14"/>
              </w:rPr>
            </w:pPr>
            <w:r w:rsidRPr="003B476C">
              <w:rPr>
                <w:rFonts w:eastAsia="Times New Roman" w:cs="Arial"/>
                <w:color w:val="000000"/>
                <w:sz w:val="14"/>
                <w:szCs w:val="14"/>
              </w:rPr>
              <w:t> </w:t>
            </w:r>
          </w:p>
        </w:tc>
        <w:tc>
          <w:tcPr>
            <w:tcW w:w="1134" w:type="dxa"/>
            <w:tcBorders>
              <w:top w:val="nil"/>
              <w:left w:val="single" w:sz="4" w:space="0" w:color="auto"/>
              <w:bottom w:val="nil"/>
              <w:right w:val="single" w:sz="4" w:space="0" w:color="auto"/>
            </w:tcBorders>
            <w:shd w:val="clear" w:color="000000" w:fill="FFFFFF"/>
            <w:vAlign w:val="center"/>
            <w:hideMark/>
          </w:tcPr>
          <w:p w14:paraId="6306F439"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 </w:t>
            </w:r>
          </w:p>
        </w:tc>
        <w:tc>
          <w:tcPr>
            <w:tcW w:w="1134" w:type="dxa"/>
            <w:tcBorders>
              <w:top w:val="nil"/>
              <w:left w:val="nil"/>
              <w:bottom w:val="nil"/>
              <w:right w:val="single" w:sz="4" w:space="0" w:color="auto"/>
            </w:tcBorders>
            <w:shd w:val="clear" w:color="000000" w:fill="FFFFFF"/>
            <w:vAlign w:val="center"/>
            <w:hideMark/>
          </w:tcPr>
          <w:p w14:paraId="1CD41A3B"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 </w:t>
            </w:r>
          </w:p>
        </w:tc>
        <w:tc>
          <w:tcPr>
            <w:tcW w:w="1134" w:type="dxa"/>
            <w:tcBorders>
              <w:top w:val="nil"/>
              <w:left w:val="nil"/>
              <w:bottom w:val="nil"/>
              <w:right w:val="single" w:sz="4" w:space="0" w:color="auto"/>
            </w:tcBorders>
            <w:shd w:val="clear" w:color="000000" w:fill="FFFFFF"/>
            <w:vAlign w:val="center"/>
            <w:hideMark/>
          </w:tcPr>
          <w:p w14:paraId="0FFF1603"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 </w:t>
            </w:r>
          </w:p>
        </w:tc>
        <w:tc>
          <w:tcPr>
            <w:tcW w:w="1276" w:type="dxa"/>
            <w:tcBorders>
              <w:top w:val="nil"/>
              <w:left w:val="nil"/>
              <w:bottom w:val="nil"/>
              <w:right w:val="single" w:sz="4" w:space="0" w:color="auto"/>
            </w:tcBorders>
            <w:shd w:val="clear" w:color="000000" w:fill="FFFFFF"/>
            <w:vAlign w:val="center"/>
            <w:hideMark/>
          </w:tcPr>
          <w:p w14:paraId="47FC3CFE"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 </w:t>
            </w:r>
          </w:p>
        </w:tc>
        <w:tc>
          <w:tcPr>
            <w:tcW w:w="1134" w:type="dxa"/>
            <w:tcBorders>
              <w:top w:val="nil"/>
              <w:left w:val="nil"/>
              <w:bottom w:val="nil"/>
              <w:right w:val="single" w:sz="4" w:space="0" w:color="auto"/>
            </w:tcBorders>
            <w:shd w:val="clear" w:color="000000" w:fill="FFFFFF"/>
            <w:vAlign w:val="center"/>
            <w:hideMark/>
          </w:tcPr>
          <w:p w14:paraId="32BCB630"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 </w:t>
            </w:r>
          </w:p>
        </w:tc>
      </w:tr>
      <w:tr w:rsidR="00650D81" w:rsidRPr="00650D81" w14:paraId="7BD3AA75" w14:textId="77777777" w:rsidTr="000B5B46">
        <w:trPr>
          <w:trHeight w:val="20"/>
        </w:trPr>
        <w:tc>
          <w:tcPr>
            <w:tcW w:w="3686" w:type="dxa"/>
            <w:tcBorders>
              <w:top w:val="nil"/>
              <w:left w:val="single" w:sz="4" w:space="0" w:color="auto"/>
              <w:bottom w:val="nil"/>
              <w:right w:val="single" w:sz="4" w:space="0" w:color="auto"/>
            </w:tcBorders>
            <w:shd w:val="clear" w:color="auto" w:fill="auto"/>
            <w:vAlign w:val="center"/>
            <w:hideMark/>
          </w:tcPr>
          <w:p w14:paraId="5D5C5C88" w14:textId="77777777" w:rsidR="00650D81" w:rsidRPr="003B476C" w:rsidRDefault="00650D81" w:rsidP="00650D81">
            <w:pPr>
              <w:ind w:firstLineChars="100" w:firstLine="140"/>
              <w:jc w:val="left"/>
              <w:rPr>
                <w:rFonts w:eastAsia="Times New Roman" w:cs="Arial"/>
                <w:color w:val="000000"/>
                <w:sz w:val="14"/>
                <w:szCs w:val="14"/>
              </w:rPr>
            </w:pPr>
            <w:r w:rsidRPr="003B476C">
              <w:rPr>
                <w:rFonts w:eastAsia="Times New Roman" w:cs="Arial"/>
                <w:color w:val="000000"/>
                <w:sz w:val="14"/>
                <w:szCs w:val="14"/>
              </w:rPr>
              <w:t>2.  </w:t>
            </w:r>
            <w:r w:rsidRPr="003B476C">
              <w:rPr>
                <w:rFonts w:eastAsia="Times New Roman" w:cs="Arial"/>
                <w:b/>
                <w:bCs/>
                <w:color w:val="000000"/>
                <w:sz w:val="14"/>
                <w:szCs w:val="14"/>
              </w:rPr>
              <w:t>Gasto Etiquetado (2=A+B+C+D+E+F+G+H+I)</w:t>
            </w:r>
          </w:p>
        </w:tc>
        <w:tc>
          <w:tcPr>
            <w:tcW w:w="1134" w:type="dxa"/>
            <w:tcBorders>
              <w:top w:val="nil"/>
              <w:left w:val="single" w:sz="4" w:space="0" w:color="auto"/>
              <w:bottom w:val="nil"/>
              <w:right w:val="single" w:sz="4" w:space="0" w:color="auto"/>
            </w:tcBorders>
            <w:shd w:val="clear" w:color="auto" w:fill="auto"/>
            <w:vAlign w:val="center"/>
            <w:hideMark/>
          </w:tcPr>
          <w:p w14:paraId="3B56C25F" w14:textId="77777777" w:rsidR="00650D81" w:rsidRPr="003B476C" w:rsidRDefault="00650D81" w:rsidP="003B476C">
            <w:pPr>
              <w:ind w:firstLineChars="100" w:firstLine="141"/>
              <w:jc w:val="right"/>
              <w:rPr>
                <w:rFonts w:eastAsia="Times New Roman" w:cs="Arial"/>
                <w:b/>
                <w:bCs/>
                <w:color w:val="000000"/>
                <w:sz w:val="14"/>
                <w:szCs w:val="14"/>
              </w:rPr>
            </w:pPr>
            <w:r w:rsidRPr="003B476C">
              <w:rPr>
                <w:rFonts w:eastAsia="Times New Roman" w:cs="Arial"/>
                <w:b/>
                <w:bCs/>
                <w:color w:val="000000"/>
                <w:sz w:val="14"/>
                <w:szCs w:val="14"/>
              </w:rPr>
              <w:t>9,168,358,080</w:t>
            </w:r>
          </w:p>
        </w:tc>
        <w:tc>
          <w:tcPr>
            <w:tcW w:w="1134" w:type="dxa"/>
            <w:tcBorders>
              <w:top w:val="nil"/>
              <w:left w:val="nil"/>
              <w:bottom w:val="nil"/>
              <w:right w:val="single" w:sz="4" w:space="0" w:color="auto"/>
            </w:tcBorders>
            <w:shd w:val="clear" w:color="auto" w:fill="auto"/>
            <w:vAlign w:val="center"/>
            <w:hideMark/>
          </w:tcPr>
          <w:p w14:paraId="0A6B7EBF" w14:textId="77777777" w:rsidR="00650D81" w:rsidRPr="003B476C" w:rsidRDefault="00650D81" w:rsidP="003B476C">
            <w:pPr>
              <w:ind w:firstLineChars="100" w:firstLine="141"/>
              <w:jc w:val="right"/>
              <w:rPr>
                <w:rFonts w:eastAsia="Times New Roman" w:cs="Arial"/>
                <w:b/>
                <w:bCs/>
                <w:color w:val="000000"/>
                <w:sz w:val="14"/>
                <w:szCs w:val="14"/>
              </w:rPr>
            </w:pPr>
            <w:r w:rsidRPr="003B476C">
              <w:rPr>
                <w:rFonts w:eastAsia="Times New Roman" w:cs="Arial"/>
                <w:b/>
                <w:bCs/>
                <w:color w:val="000000"/>
                <w:sz w:val="14"/>
                <w:szCs w:val="14"/>
              </w:rPr>
              <w:t>9,998,118,299</w:t>
            </w:r>
          </w:p>
        </w:tc>
        <w:tc>
          <w:tcPr>
            <w:tcW w:w="1134" w:type="dxa"/>
            <w:tcBorders>
              <w:top w:val="nil"/>
              <w:left w:val="nil"/>
              <w:bottom w:val="nil"/>
              <w:right w:val="single" w:sz="4" w:space="0" w:color="auto"/>
            </w:tcBorders>
            <w:shd w:val="clear" w:color="auto" w:fill="auto"/>
            <w:vAlign w:val="center"/>
            <w:hideMark/>
          </w:tcPr>
          <w:p w14:paraId="58EA1CC2" w14:textId="77777777" w:rsidR="00650D81" w:rsidRPr="000B5B46" w:rsidRDefault="00650D81" w:rsidP="003B476C">
            <w:pPr>
              <w:ind w:firstLineChars="100" w:firstLine="120"/>
              <w:jc w:val="right"/>
              <w:rPr>
                <w:rFonts w:eastAsia="Times New Roman" w:cs="Arial"/>
                <w:b/>
                <w:bCs/>
                <w:color w:val="000000"/>
                <w:sz w:val="12"/>
                <w:szCs w:val="12"/>
              </w:rPr>
            </w:pPr>
            <w:r w:rsidRPr="000B5B46">
              <w:rPr>
                <w:rFonts w:eastAsia="Times New Roman" w:cs="Arial"/>
                <w:b/>
                <w:bCs/>
                <w:color w:val="000000"/>
                <w:sz w:val="12"/>
                <w:szCs w:val="12"/>
              </w:rPr>
              <w:t>10,432,730,052</w:t>
            </w:r>
          </w:p>
        </w:tc>
        <w:tc>
          <w:tcPr>
            <w:tcW w:w="1276" w:type="dxa"/>
            <w:tcBorders>
              <w:top w:val="nil"/>
              <w:left w:val="nil"/>
              <w:bottom w:val="nil"/>
              <w:right w:val="single" w:sz="4" w:space="0" w:color="auto"/>
            </w:tcBorders>
            <w:shd w:val="clear" w:color="auto" w:fill="auto"/>
            <w:vAlign w:val="center"/>
            <w:hideMark/>
          </w:tcPr>
          <w:p w14:paraId="285E213C" w14:textId="77777777" w:rsidR="00650D81" w:rsidRPr="003B476C" w:rsidRDefault="00650D81" w:rsidP="003B476C">
            <w:pPr>
              <w:ind w:firstLineChars="100" w:firstLine="141"/>
              <w:jc w:val="right"/>
              <w:rPr>
                <w:rFonts w:eastAsia="Times New Roman" w:cs="Arial"/>
                <w:b/>
                <w:bCs/>
                <w:color w:val="000000"/>
                <w:sz w:val="14"/>
                <w:szCs w:val="14"/>
              </w:rPr>
            </w:pPr>
            <w:r w:rsidRPr="003B476C">
              <w:rPr>
                <w:rFonts w:eastAsia="Times New Roman" w:cs="Arial"/>
                <w:b/>
                <w:bCs/>
                <w:color w:val="000000"/>
                <w:sz w:val="14"/>
                <w:szCs w:val="14"/>
              </w:rPr>
              <w:t>12,003,599,721</w:t>
            </w:r>
          </w:p>
        </w:tc>
        <w:tc>
          <w:tcPr>
            <w:tcW w:w="1134" w:type="dxa"/>
            <w:tcBorders>
              <w:top w:val="nil"/>
              <w:left w:val="nil"/>
              <w:bottom w:val="nil"/>
              <w:right w:val="single" w:sz="4" w:space="0" w:color="auto"/>
            </w:tcBorders>
            <w:shd w:val="clear" w:color="auto" w:fill="auto"/>
            <w:vAlign w:val="center"/>
            <w:hideMark/>
          </w:tcPr>
          <w:p w14:paraId="3E2DBDB5" w14:textId="77777777" w:rsidR="00650D81" w:rsidRPr="000B5B46" w:rsidRDefault="00650D81" w:rsidP="000B5B46">
            <w:pPr>
              <w:ind w:firstLineChars="100" w:firstLine="120"/>
              <w:jc w:val="right"/>
              <w:rPr>
                <w:rFonts w:eastAsia="Times New Roman" w:cs="Arial"/>
                <w:b/>
                <w:bCs/>
                <w:color w:val="000000"/>
                <w:sz w:val="12"/>
                <w:szCs w:val="12"/>
              </w:rPr>
            </w:pPr>
            <w:r w:rsidRPr="000B5B46">
              <w:rPr>
                <w:rFonts w:eastAsia="Times New Roman" w:cs="Arial"/>
                <w:b/>
                <w:bCs/>
                <w:color w:val="000000"/>
                <w:sz w:val="12"/>
                <w:szCs w:val="12"/>
              </w:rPr>
              <w:t>10,918,522,573</w:t>
            </w:r>
          </w:p>
        </w:tc>
      </w:tr>
      <w:tr w:rsidR="00650D81" w:rsidRPr="00650D81" w14:paraId="7BD1C9F4" w14:textId="77777777" w:rsidTr="000B5B46">
        <w:trPr>
          <w:trHeight w:val="20"/>
        </w:trPr>
        <w:tc>
          <w:tcPr>
            <w:tcW w:w="3686" w:type="dxa"/>
            <w:tcBorders>
              <w:top w:val="nil"/>
              <w:left w:val="single" w:sz="4" w:space="0" w:color="auto"/>
              <w:bottom w:val="nil"/>
              <w:right w:val="single" w:sz="4" w:space="0" w:color="auto"/>
            </w:tcBorders>
            <w:shd w:val="clear" w:color="000000" w:fill="FFFFFF"/>
            <w:vAlign w:val="center"/>
            <w:hideMark/>
          </w:tcPr>
          <w:p w14:paraId="023F4551" w14:textId="77777777" w:rsidR="00650D81" w:rsidRPr="003B476C" w:rsidRDefault="00650D81" w:rsidP="00E97C62">
            <w:pPr>
              <w:ind w:firstLineChars="134" w:firstLine="188"/>
              <w:jc w:val="left"/>
              <w:rPr>
                <w:rFonts w:eastAsia="Times New Roman" w:cs="Arial"/>
                <w:color w:val="000000"/>
                <w:sz w:val="14"/>
                <w:szCs w:val="14"/>
              </w:rPr>
            </w:pPr>
            <w:r w:rsidRPr="003B476C">
              <w:rPr>
                <w:rFonts w:eastAsia="Times New Roman" w:cs="Arial"/>
                <w:color w:val="000000"/>
                <w:sz w:val="14"/>
                <w:szCs w:val="14"/>
              </w:rPr>
              <w:t>A.  Servicios Personales</w:t>
            </w:r>
          </w:p>
        </w:tc>
        <w:tc>
          <w:tcPr>
            <w:tcW w:w="1134" w:type="dxa"/>
            <w:tcBorders>
              <w:top w:val="nil"/>
              <w:left w:val="single" w:sz="4" w:space="0" w:color="auto"/>
              <w:bottom w:val="nil"/>
              <w:right w:val="single" w:sz="4" w:space="0" w:color="auto"/>
            </w:tcBorders>
            <w:shd w:val="clear" w:color="000000" w:fill="FFFFFF"/>
            <w:noWrap/>
            <w:vAlign w:val="center"/>
            <w:hideMark/>
          </w:tcPr>
          <w:p w14:paraId="5052DCD0"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44,184,716</w:t>
            </w:r>
          </w:p>
        </w:tc>
        <w:tc>
          <w:tcPr>
            <w:tcW w:w="1134" w:type="dxa"/>
            <w:tcBorders>
              <w:top w:val="nil"/>
              <w:left w:val="nil"/>
              <w:bottom w:val="nil"/>
              <w:right w:val="single" w:sz="4" w:space="0" w:color="auto"/>
            </w:tcBorders>
            <w:shd w:val="clear" w:color="000000" w:fill="FFFFFF"/>
            <w:noWrap/>
            <w:vAlign w:val="center"/>
            <w:hideMark/>
          </w:tcPr>
          <w:p w14:paraId="15EDEDBC"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406,492,165</w:t>
            </w:r>
          </w:p>
        </w:tc>
        <w:tc>
          <w:tcPr>
            <w:tcW w:w="1134" w:type="dxa"/>
            <w:tcBorders>
              <w:top w:val="nil"/>
              <w:left w:val="nil"/>
              <w:bottom w:val="nil"/>
              <w:right w:val="single" w:sz="4" w:space="0" w:color="auto"/>
            </w:tcBorders>
            <w:shd w:val="clear" w:color="000000" w:fill="FFFFFF"/>
            <w:noWrap/>
            <w:vAlign w:val="center"/>
            <w:hideMark/>
          </w:tcPr>
          <w:p w14:paraId="63C60B6E"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384,829,384</w:t>
            </w:r>
          </w:p>
        </w:tc>
        <w:tc>
          <w:tcPr>
            <w:tcW w:w="1276" w:type="dxa"/>
            <w:tcBorders>
              <w:top w:val="nil"/>
              <w:left w:val="nil"/>
              <w:bottom w:val="nil"/>
              <w:right w:val="single" w:sz="4" w:space="0" w:color="auto"/>
            </w:tcBorders>
            <w:shd w:val="clear" w:color="000000" w:fill="FFFFFF"/>
            <w:noWrap/>
            <w:vAlign w:val="center"/>
            <w:hideMark/>
          </w:tcPr>
          <w:p w14:paraId="3FB15566"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445,410,595</w:t>
            </w:r>
          </w:p>
        </w:tc>
        <w:tc>
          <w:tcPr>
            <w:tcW w:w="1134" w:type="dxa"/>
            <w:tcBorders>
              <w:top w:val="nil"/>
              <w:left w:val="nil"/>
              <w:bottom w:val="nil"/>
              <w:right w:val="single" w:sz="4" w:space="0" w:color="auto"/>
            </w:tcBorders>
            <w:shd w:val="clear" w:color="000000" w:fill="FFFFFF"/>
            <w:noWrap/>
            <w:vAlign w:val="center"/>
            <w:hideMark/>
          </w:tcPr>
          <w:p w14:paraId="11260D1D"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139,514,558</w:t>
            </w:r>
          </w:p>
        </w:tc>
      </w:tr>
      <w:tr w:rsidR="00650D81" w:rsidRPr="00650D81" w14:paraId="17EE50E0" w14:textId="77777777" w:rsidTr="000B5B46">
        <w:trPr>
          <w:trHeight w:val="20"/>
        </w:trPr>
        <w:tc>
          <w:tcPr>
            <w:tcW w:w="3686" w:type="dxa"/>
            <w:tcBorders>
              <w:top w:val="nil"/>
              <w:left w:val="single" w:sz="4" w:space="0" w:color="auto"/>
              <w:bottom w:val="nil"/>
              <w:right w:val="single" w:sz="4" w:space="0" w:color="auto"/>
            </w:tcBorders>
            <w:shd w:val="clear" w:color="000000" w:fill="FFFFFF"/>
            <w:vAlign w:val="center"/>
            <w:hideMark/>
          </w:tcPr>
          <w:p w14:paraId="3A3D8D3A" w14:textId="77777777" w:rsidR="00650D81" w:rsidRPr="003B476C" w:rsidRDefault="00650D81" w:rsidP="00E97C62">
            <w:pPr>
              <w:ind w:firstLineChars="134" w:firstLine="188"/>
              <w:jc w:val="left"/>
              <w:rPr>
                <w:rFonts w:eastAsia="Times New Roman" w:cs="Arial"/>
                <w:color w:val="000000"/>
                <w:sz w:val="14"/>
                <w:szCs w:val="14"/>
              </w:rPr>
            </w:pPr>
            <w:r w:rsidRPr="003B476C">
              <w:rPr>
                <w:rFonts w:eastAsia="Times New Roman" w:cs="Arial"/>
                <w:color w:val="000000"/>
                <w:sz w:val="14"/>
                <w:szCs w:val="14"/>
              </w:rPr>
              <w:t>B.  Materiales y Suministros</w:t>
            </w:r>
          </w:p>
        </w:tc>
        <w:tc>
          <w:tcPr>
            <w:tcW w:w="1134" w:type="dxa"/>
            <w:tcBorders>
              <w:top w:val="nil"/>
              <w:left w:val="single" w:sz="4" w:space="0" w:color="auto"/>
              <w:bottom w:val="nil"/>
              <w:right w:val="single" w:sz="4" w:space="0" w:color="auto"/>
            </w:tcBorders>
            <w:shd w:val="clear" w:color="000000" w:fill="FFFFFF"/>
            <w:noWrap/>
            <w:vAlign w:val="center"/>
            <w:hideMark/>
          </w:tcPr>
          <w:p w14:paraId="665FC003"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36,720,348</w:t>
            </w:r>
          </w:p>
        </w:tc>
        <w:tc>
          <w:tcPr>
            <w:tcW w:w="1134" w:type="dxa"/>
            <w:tcBorders>
              <w:top w:val="nil"/>
              <w:left w:val="nil"/>
              <w:bottom w:val="nil"/>
              <w:right w:val="single" w:sz="4" w:space="0" w:color="auto"/>
            </w:tcBorders>
            <w:shd w:val="clear" w:color="000000" w:fill="FFFFFF"/>
            <w:noWrap/>
            <w:vAlign w:val="center"/>
            <w:hideMark/>
          </w:tcPr>
          <w:p w14:paraId="02561A0C"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48,453,636</w:t>
            </w:r>
          </w:p>
        </w:tc>
        <w:tc>
          <w:tcPr>
            <w:tcW w:w="1134" w:type="dxa"/>
            <w:tcBorders>
              <w:top w:val="nil"/>
              <w:left w:val="nil"/>
              <w:bottom w:val="nil"/>
              <w:right w:val="single" w:sz="4" w:space="0" w:color="auto"/>
            </w:tcBorders>
            <w:shd w:val="clear" w:color="000000" w:fill="FFFFFF"/>
            <w:noWrap/>
            <w:vAlign w:val="center"/>
            <w:hideMark/>
          </w:tcPr>
          <w:p w14:paraId="3C31E180"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47,962,060</w:t>
            </w:r>
          </w:p>
        </w:tc>
        <w:tc>
          <w:tcPr>
            <w:tcW w:w="1276" w:type="dxa"/>
            <w:tcBorders>
              <w:top w:val="nil"/>
              <w:left w:val="nil"/>
              <w:bottom w:val="nil"/>
              <w:right w:val="single" w:sz="4" w:space="0" w:color="auto"/>
            </w:tcBorders>
            <w:shd w:val="clear" w:color="000000" w:fill="FFFFFF"/>
            <w:noWrap/>
            <w:vAlign w:val="center"/>
            <w:hideMark/>
          </w:tcPr>
          <w:p w14:paraId="60A4CC9C"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36,333,427</w:t>
            </w:r>
          </w:p>
        </w:tc>
        <w:tc>
          <w:tcPr>
            <w:tcW w:w="1134" w:type="dxa"/>
            <w:tcBorders>
              <w:top w:val="nil"/>
              <w:left w:val="nil"/>
              <w:bottom w:val="nil"/>
              <w:right w:val="single" w:sz="4" w:space="0" w:color="auto"/>
            </w:tcBorders>
            <w:shd w:val="clear" w:color="000000" w:fill="FFFFFF"/>
            <w:noWrap/>
            <w:vAlign w:val="center"/>
            <w:hideMark/>
          </w:tcPr>
          <w:p w14:paraId="2D4A56BD"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4,262,088</w:t>
            </w:r>
          </w:p>
        </w:tc>
      </w:tr>
      <w:tr w:rsidR="00650D81" w:rsidRPr="00650D81" w14:paraId="4AB1D018" w14:textId="77777777" w:rsidTr="000B5B46">
        <w:trPr>
          <w:trHeight w:val="20"/>
        </w:trPr>
        <w:tc>
          <w:tcPr>
            <w:tcW w:w="3686" w:type="dxa"/>
            <w:tcBorders>
              <w:top w:val="nil"/>
              <w:left w:val="single" w:sz="4" w:space="0" w:color="auto"/>
              <w:bottom w:val="nil"/>
              <w:right w:val="single" w:sz="4" w:space="0" w:color="auto"/>
            </w:tcBorders>
            <w:shd w:val="clear" w:color="000000" w:fill="FFFFFF"/>
            <w:vAlign w:val="center"/>
            <w:hideMark/>
          </w:tcPr>
          <w:p w14:paraId="2CA16E67" w14:textId="77777777" w:rsidR="00650D81" w:rsidRPr="003B476C" w:rsidRDefault="00650D81" w:rsidP="00E97C62">
            <w:pPr>
              <w:ind w:firstLineChars="134" w:firstLine="188"/>
              <w:jc w:val="left"/>
              <w:rPr>
                <w:rFonts w:eastAsia="Times New Roman" w:cs="Arial"/>
                <w:color w:val="000000"/>
                <w:sz w:val="14"/>
                <w:szCs w:val="14"/>
              </w:rPr>
            </w:pPr>
            <w:r w:rsidRPr="003B476C">
              <w:rPr>
                <w:rFonts w:eastAsia="Times New Roman" w:cs="Arial"/>
                <w:color w:val="000000"/>
                <w:sz w:val="14"/>
                <w:szCs w:val="14"/>
              </w:rPr>
              <w:t>C.  Servicios Generales</w:t>
            </w:r>
          </w:p>
        </w:tc>
        <w:tc>
          <w:tcPr>
            <w:tcW w:w="1134" w:type="dxa"/>
            <w:tcBorders>
              <w:top w:val="nil"/>
              <w:left w:val="single" w:sz="4" w:space="0" w:color="auto"/>
              <w:bottom w:val="nil"/>
              <w:right w:val="single" w:sz="4" w:space="0" w:color="auto"/>
            </w:tcBorders>
            <w:shd w:val="clear" w:color="000000" w:fill="FFFFFF"/>
            <w:noWrap/>
            <w:vAlign w:val="center"/>
            <w:hideMark/>
          </w:tcPr>
          <w:p w14:paraId="481534C4"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115,599,140</w:t>
            </w:r>
          </w:p>
        </w:tc>
        <w:tc>
          <w:tcPr>
            <w:tcW w:w="1134" w:type="dxa"/>
            <w:tcBorders>
              <w:top w:val="nil"/>
              <w:left w:val="nil"/>
              <w:bottom w:val="nil"/>
              <w:right w:val="single" w:sz="4" w:space="0" w:color="auto"/>
            </w:tcBorders>
            <w:shd w:val="clear" w:color="000000" w:fill="FFFFFF"/>
            <w:noWrap/>
            <w:vAlign w:val="center"/>
            <w:hideMark/>
          </w:tcPr>
          <w:p w14:paraId="70962AC0"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39,472,124</w:t>
            </w:r>
          </w:p>
        </w:tc>
        <w:tc>
          <w:tcPr>
            <w:tcW w:w="1134" w:type="dxa"/>
            <w:tcBorders>
              <w:top w:val="nil"/>
              <w:left w:val="nil"/>
              <w:bottom w:val="nil"/>
              <w:right w:val="single" w:sz="4" w:space="0" w:color="auto"/>
            </w:tcBorders>
            <w:shd w:val="clear" w:color="000000" w:fill="FFFFFF"/>
            <w:noWrap/>
            <w:vAlign w:val="center"/>
            <w:hideMark/>
          </w:tcPr>
          <w:p w14:paraId="4BF30900"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123,896,954</w:t>
            </w:r>
          </w:p>
        </w:tc>
        <w:tc>
          <w:tcPr>
            <w:tcW w:w="1276" w:type="dxa"/>
            <w:tcBorders>
              <w:top w:val="nil"/>
              <w:left w:val="nil"/>
              <w:bottom w:val="nil"/>
              <w:right w:val="single" w:sz="4" w:space="0" w:color="auto"/>
            </w:tcBorders>
            <w:shd w:val="clear" w:color="000000" w:fill="FFFFFF"/>
            <w:noWrap/>
            <w:vAlign w:val="center"/>
            <w:hideMark/>
          </w:tcPr>
          <w:p w14:paraId="45AD2B94"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157,906,495</w:t>
            </w:r>
          </w:p>
        </w:tc>
        <w:tc>
          <w:tcPr>
            <w:tcW w:w="1134" w:type="dxa"/>
            <w:tcBorders>
              <w:top w:val="nil"/>
              <w:left w:val="nil"/>
              <w:bottom w:val="nil"/>
              <w:right w:val="single" w:sz="4" w:space="0" w:color="auto"/>
            </w:tcBorders>
            <w:shd w:val="clear" w:color="000000" w:fill="FFFFFF"/>
            <w:noWrap/>
            <w:vAlign w:val="center"/>
            <w:hideMark/>
          </w:tcPr>
          <w:p w14:paraId="1F6D99CB"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108,961,199</w:t>
            </w:r>
          </w:p>
        </w:tc>
      </w:tr>
      <w:tr w:rsidR="00650D81" w:rsidRPr="00650D81" w14:paraId="2168D47A" w14:textId="77777777" w:rsidTr="000B5B46">
        <w:trPr>
          <w:trHeight w:val="20"/>
        </w:trPr>
        <w:tc>
          <w:tcPr>
            <w:tcW w:w="3686" w:type="dxa"/>
            <w:tcBorders>
              <w:top w:val="nil"/>
              <w:left w:val="single" w:sz="4" w:space="0" w:color="auto"/>
              <w:bottom w:val="nil"/>
              <w:right w:val="single" w:sz="4" w:space="0" w:color="auto"/>
            </w:tcBorders>
            <w:shd w:val="clear" w:color="000000" w:fill="FFFFFF"/>
            <w:vAlign w:val="center"/>
            <w:hideMark/>
          </w:tcPr>
          <w:p w14:paraId="22891046" w14:textId="77777777" w:rsidR="00650D81" w:rsidRPr="003B476C" w:rsidRDefault="00650D81" w:rsidP="00E97C62">
            <w:pPr>
              <w:ind w:left="215" w:hanging="1"/>
              <w:jc w:val="left"/>
              <w:rPr>
                <w:rFonts w:eastAsia="Times New Roman" w:cs="Arial"/>
                <w:color w:val="000000"/>
                <w:sz w:val="14"/>
                <w:szCs w:val="14"/>
              </w:rPr>
            </w:pPr>
            <w:r w:rsidRPr="003B476C">
              <w:rPr>
                <w:rFonts w:eastAsia="Times New Roman" w:cs="Arial"/>
                <w:color w:val="000000"/>
                <w:sz w:val="14"/>
                <w:szCs w:val="14"/>
              </w:rPr>
              <w:t>D.  Transferencias, Asignaciones, Subsidios y Otras Ayudas</w:t>
            </w:r>
          </w:p>
        </w:tc>
        <w:tc>
          <w:tcPr>
            <w:tcW w:w="1134" w:type="dxa"/>
            <w:tcBorders>
              <w:top w:val="nil"/>
              <w:left w:val="single" w:sz="4" w:space="0" w:color="auto"/>
              <w:bottom w:val="nil"/>
              <w:right w:val="single" w:sz="4" w:space="0" w:color="auto"/>
            </w:tcBorders>
            <w:shd w:val="clear" w:color="000000" w:fill="FFFFFF"/>
            <w:noWrap/>
            <w:vAlign w:val="center"/>
            <w:hideMark/>
          </w:tcPr>
          <w:p w14:paraId="7F4201F3"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7,609,628,555</w:t>
            </w:r>
          </w:p>
        </w:tc>
        <w:tc>
          <w:tcPr>
            <w:tcW w:w="1134" w:type="dxa"/>
            <w:tcBorders>
              <w:top w:val="nil"/>
              <w:left w:val="nil"/>
              <w:bottom w:val="nil"/>
              <w:right w:val="single" w:sz="4" w:space="0" w:color="auto"/>
            </w:tcBorders>
            <w:shd w:val="clear" w:color="000000" w:fill="FFFFFF"/>
            <w:noWrap/>
            <w:vAlign w:val="center"/>
            <w:hideMark/>
          </w:tcPr>
          <w:p w14:paraId="2251D425"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8,220,469,173</w:t>
            </w:r>
          </w:p>
        </w:tc>
        <w:tc>
          <w:tcPr>
            <w:tcW w:w="1134" w:type="dxa"/>
            <w:tcBorders>
              <w:top w:val="nil"/>
              <w:left w:val="nil"/>
              <w:bottom w:val="nil"/>
              <w:right w:val="single" w:sz="4" w:space="0" w:color="auto"/>
            </w:tcBorders>
            <w:shd w:val="clear" w:color="000000" w:fill="FFFFFF"/>
            <w:noWrap/>
            <w:vAlign w:val="center"/>
            <w:hideMark/>
          </w:tcPr>
          <w:p w14:paraId="38445580"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8,506,558,538</w:t>
            </w:r>
          </w:p>
        </w:tc>
        <w:tc>
          <w:tcPr>
            <w:tcW w:w="1276" w:type="dxa"/>
            <w:tcBorders>
              <w:top w:val="nil"/>
              <w:left w:val="nil"/>
              <w:bottom w:val="nil"/>
              <w:right w:val="single" w:sz="4" w:space="0" w:color="auto"/>
            </w:tcBorders>
            <w:shd w:val="clear" w:color="000000" w:fill="FFFFFF"/>
            <w:noWrap/>
            <w:vAlign w:val="center"/>
            <w:hideMark/>
          </w:tcPr>
          <w:p w14:paraId="3090E2F9"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9,370,151,664</w:t>
            </w:r>
          </w:p>
        </w:tc>
        <w:tc>
          <w:tcPr>
            <w:tcW w:w="1134" w:type="dxa"/>
            <w:tcBorders>
              <w:top w:val="nil"/>
              <w:left w:val="nil"/>
              <w:bottom w:val="nil"/>
              <w:right w:val="single" w:sz="4" w:space="0" w:color="auto"/>
            </w:tcBorders>
            <w:shd w:val="clear" w:color="000000" w:fill="FFFFFF"/>
            <w:noWrap/>
            <w:vAlign w:val="center"/>
            <w:hideMark/>
          </w:tcPr>
          <w:p w14:paraId="41602B45"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9,065,293,092</w:t>
            </w:r>
          </w:p>
        </w:tc>
      </w:tr>
      <w:tr w:rsidR="00650D81" w:rsidRPr="00650D81" w14:paraId="6E6E07BE" w14:textId="77777777" w:rsidTr="000B5B46">
        <w:trPr>
          <w:trHeight w:val="20"/>
        </w:trPr>
        <w:tc>
          <w:tcPr>
            <w:tcW w:w="3686" w:type="dxa"/>
            <w:tcBorders>
              <w:top w:val="nil"/>
              <w:left w:val="single" w:sz="4" w:space="0" w:color="auto"/>
              <w:bottom w:val="nil"/>
              <w:right w:val="single" w:sz="4" w:space="0" w:color="auto"/>
            </w:tcBorders>
            <w:shd w:val="clear" w:color="000000" w:fill="FFFFFF"/>
            <w:vAlign w:val="center"/>
            <w:hideMark/>
          </w:tcPr>
          <w:p w14:paraId="4DAC2110" w14:textId="77777777" w:rsidR="00650D81" w:rsidRPr="003B476C" w:rsidRDefault="00650D81" w:rsidP="00E97C62">
            <w:pPr>
              <w:ind w:left="215" w:hanging="1"/>
              <w:jc w:val="left"/>
              <w:rPr>
                <w:rFonts w:eastAsia="Times New Roman" w:cs="Arial"/>
                <w:color w:val="000000"/>
                <w:sz w:val="14"/>
                <w:szCs w:val="14"/>
              </w:rPr>
            </w:pPr>
            <w:r w:rsidRPr="003B476C">
              <w:rPr>
                <w:rFonts w:eastAsia="Times New Roman" w:cs="Arial"/>
                <w:color w:val="000000"/>
                <w:sz w:val="14"/>
                <w:szCs w:val="14"/>
              </w:rPr>
              <w:t>E.  Bienes Muebles, Inmuebles e Intangibles</w:t>
            </w:r>
          </w:p>
        </w:tc>
        <w:tc>
          <w:tcPr>
            <w:tcW w:w="1134" w:type="dxa"/>
            <w:tcBorders>
              <w:top w:val="nil"/>
              <w:left w:val="single" w:sz="4" w:space="0" w:color="auto"/>
              <w:bottom w:val="nil"/>
              <w:right w:val="single" w:sz="4" w:space="0" w:color="auto"/>
            </w:tcBorders>
            <w:shd w:val="clear" w:color="000000" w:fill="FFFFFF"/>
            <w:noWrap/>
            <w:vAlign w:val="center"/>
            <w:hideMark/>
          </w:tcPr>
          <w:p w14:paraId="5F7D4D5C"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82,232,728</w:t>
            </w:r>
          </w:p>
        </w:tc>
        <w:tc>
          <w:tcPr>
            <w:tcW w:w="1134" w:type="dxa"/>
            <w:tcBorders>
              <w:top w:val="nil"/>
              <w:left w:val="nil"/>
              <w:bottom w:val="nil"/>
              <w:right w:val="single" w:sz="4" w:space="0" w:color="auto"/>
            </w:tcBorders>
            <w:shd w:val="clear" w:color="000000" w:fill="FFFFFF"/>
            <w:noWrap/>
            <w:vAlign w:val="center"/>
            <w:hideMark/>
          </w:tcPr>
          <w:p w14:paraId="650DA780"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94,591,965</w:t>
            </w:r>
          </w:p>
        </w:tc>
        <w:tc>
          <w:tcPr>
            <w:tcW w:w="1134" w:type="dxa"/>
            <w:tcBorders>
              <w:top w:val="nil"/>
              <w:left w:val="nil"/>
              <w:bottom w:val="nil"/>
              <w:right w:val="single" w:sz="4" w:space="0" w:color="auto"/>
            </w:tcBorders>
            <w:shd w:val="clear" w:color="000000" w:fill="FFFFFF"/>
            <w:noWrap/>
            <w:vAlign w:val="center"/>
            <w:hideMark/>
          </w:tcPr>
          <w:p w14:paraId="57DFB49D"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54,970,218</w:t>
            </w:r>
          </w:p>
        </w:tc>
        <w:tc>
          <w:tcPr>
            <w:tcW w:w="1276" w:type="dxa"/>
            <w:tcBorders>
              <w:top w:val="nil"/>
              <w:left w:val="nil"/>
              <w:bottom w:val="nil"/>
              <w:right w:val="single" w:sz="4" w:space="0" w:color="auto"/>
            </w:tcBorders>
            <w:shd w:val="clear" w:color="000000" w:fill="FFFFFF"/>
            <w:noWrap/>
            <w:vAlign w:val="center"/>
            <w:hideMark/>
          </w:tcPr>
          <w:p w14:paraId="3C20C014"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82,849,595</w:t>
            </w:r>
          </w:p>
        </w:tc>
        <w:tc>
          <w:tcPr>
            <w:tcW w:w="1134" w:type="dxa"/>
            <w:tcBorders>
              <w:top w:val="nil"/>
              <w:left w:val="nil"/>
              <w:bottom w:val="nil"/>
              <w:right w:val="single" w:sz="4" w:space="0" w:color="auto"/>
            </w:tcBorders>
            <w:shd w:val="clear" w:color="000000" w:fill="FFFFFF"/>
            <w:noWrap/>
            <w:vAlign w:val="center"/>
            <w:hideMark/>
          </w:tcPr>
          <w:p w14:paraId="4F759F53"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16,152,344</w:t>
            </w:r>
          </w:p>
        </w:tc>
      </w:tr>
      <w:tr w:rsidR="00650D81" w:rsidRPr="00650D81" w14:paraId="05B057B4" w14:textId="77777777" w:rsidTr="000B5B46">
        <w:trPr>
          <w:trHeight w:val="20"/>
        </w:trPr>
        <w:tc>
          <w:tcPr>
            <w:tcW w:w="3686" w:type="dxa"/>
            <w:tcBorders>
              <w:top w:val="nil"/>
              <w:left w:val="single" w:sz="4" w:space="0" w:color="auto"/>
              <w:bottom w:val="nil"/>
              <w:right w:val="single" w:sz="4" w:space="0" w:color="auto"/>
            </w:tcBorders>
            <w:shd w:val="clear" w:color="000000" w:fill="FFFFFF"/>
            <w:vAlign w:val="center"/>
            <w:hideMark/>
          </w:tcPr>
          <w:p w14:paraId="0E2C0700" w14:textId="77777777" w:rsidR="00650D81" w:rsidRPr="003B476C" w:rsidRDefault="00650D81" w:rsidP="00E97C62">
            <w:pPr>
              <w:ind w:left="215" w:hanging="1"/>
              <w:jc w:val="left"/>
              <w:rPr>
                <w:rFonts w:eastAsia="Times New Roman" w:cs="Arial"/>
                <w:color w:val="000000"/>
                <w:sz w:val="14"/>
                <w:szCs w:val="14"/>
              </w:rPr>
            </w:pPr>
            <w:r w:rsidRPr="003B476C">
              <w:rPr>
                <w:rFonts w:eastAsia="Times New Roman" w:cs="Arial"/>
                <w:color w:val="000000"/>
                <w:sz w:val="14"/>
                <w:szCs w:val="14"/>
              </w:rPr>
              <w:t>F.  Inversión Pública</w:t>
            </w:r>
          </w:p>
        </w:tc>
        <w:tc>
          <w:tcPr>
            <w:tcW w:w="1134" w:type="dxa"/>
            <w:tcBorders>
              <w:top w:val="nil"/>
              <w:left w:val="single" w:sz="4" w:space="0" w:color="auto"/>
              <w:bottom w:val="nil"/>
              <w:right w:val="single" w:sz="4" w:space="0" w:color="auto"/>
            </w:tcBorders>
            <w:shd w:val="clear" w:color="000000" w:fill="FFFFFF"/>
            <w:noWrap/>
            <w:vAlign w:val="center"/>
            <w:hideMark/>
          </w:tcPr>
          <w:p w14:paraId="4A1551F5"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191,520,630</w:t>
            </w:r>
          </w:p>
        </w:tc>
        <w:tc>
          <w:tcPr>
            <w:tcW w:w="1134" w:type="dxa"/>
            <w:tcBorders>
              <w:top w:val="nil"/>
              <w:left w:val="nil"/>
              <w:bottom w:val="nil"/>
              <w:right w:val="single" w:sz="4" w:space="0" w:color="auto"/>
            </w:tcBorders>
            <w:shd w:val="clear" w:color="000000" w:fill="FFFFFF"/>
            <w:noWrap/>
            <w:vAlign w:val="center"/>
            <w:hideMark/>
          </w:tcPr>
          <w:p w14:paraId="2EF5FE5E"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107,537,565</w:t>
            </w:r>
          </w:p>
        </w:tc>
        <w:tc>
          <w:tcPr>
            <w:tcW w:w="1134" w:type="dxa"/>
            <w:tcBorders>
              <w:top w:val="nil"/>
              <w:left w:val="nil"/>
              <w:bottom w:val="nil"/>
              <w:right w:val="single" w:sz="4" w:space="0" w:color="auto"/>
            </w:tcBorders>
            <w:shd w:val="clear" w:color="000000" w:fill="FFFFFF"/>
            <w:noWrap/>
            <w:vAlign w:val="center"/>
            <w:hideMark/>
          </w:tcPr>
          <w:p w14:paraId="2E2C383D"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34,675,398</w:t>
            </w:r>
          </w:p>
        </w:tc>
        <w:tc>
          <w:tcPr>
            <w:tcW w:w="1276" w:type="dxa"/>
            <w:tcBorders>
              <w:top w:val="nil"/>
              <w:left w:val="nil"/>
              <w:bottom w:val="nil"/>
              <w:right w:val="single" w:sz="4" w:space="0" w:color="auto"/>
            </w:tcBorders>
            <w:shd w:val="clear" w:color="000000" w:fill="FFFFFF"/>
            <w:noWrap/>
            <w:vAlign w:val="center"/>
            <w:hideMark/>
          </w:tcPr>
          <w:p w14:paraId="717638B3"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302,551,393</w:t>
            </w:r>
          </w:p>
        </w:tc>
        <w:tc>
          <w:tcPr>
            <w:tcW w:w="1134" w:type="dxa"/>
            <w:tcBorders>
              <w:top w:val="nil"/>
              <w:left w:val="nil"/>
              <w:bottom w:val="nil"/>
              <w:right w:val="single" w:sz="4" w:space="0" w:color="auto"/>
            </w:tcBorders>
            <w:shd w:val="clear" w:color="000000" w:fill="FFFFFF"/>
            <w:noWrap/>
            <w:vAlign w:val="center"/>
            <w:hideMark/>
          </w:tcPr>
          <w:p w14:paraId="5F6A223D"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70,331,220</w:t>
            </w:r>
          </w:p>
        </w:tc>
      </w:tr>
      <w:tr w:rsidR="00650D81" w:rsidRPr="00650D81" w14:paraId="1050B1B7" w14:textId="77777777" w:rsidTr="000B5B46">
        <w:trPr>
          <w:trHeight w:val="20"/>
        </w:trPr>
        <w:tc>
          <w:tcPr>
            <w:tcW w:w="3686" w:type="dxa"/>
            <w:tcBorders>
              <w:top w:val="nil"/>
              <w:left w:val="single" w:sz="4" w:space="0" w:color="auto"/>
              <w:bottom w:val="nil"/>
              <w:right w:val="single" w:sz="4" w:space="0" w:color="auto"/>
            </w:tcBorders>
            <w:shd w:val="clear" w:color="000000" w:fill="FFFFFF"/>
            <w:vAlign w:val="center"/>
            <w:hideMark/>
          </w:tcPr>
          <w:p w14:paraId="59214A30" w14:textId="77777777" w:rsidR="00650D81" w:rsidRPr="003B476C" w:rsidRDefault="00650D81" w:rsidP="00E97C62">
            <w:pPr>
              <w:ind w:left="215" w:hanging="1"/>
              <w:jc w:val="left"/>
              <w:rPr>
                <w:rFonts w:eastAsia="Times New Roman" w:cs="Arial"/>
                <w:color w:val="000000"/>
                <w:sz w:val="14"/>
                <w:szCs w:val="14"/>
              </w:rPr>
            </w:pPr>
            <w:r w:rsidRPr="003B476C">
              <w:rPr>
                <w:rFonts w:eastAsia="Times New Roman" w:cs="Arial"/>
                <w:color w:val="000000"/>
                <w:sz w:val="14"/>
                <w:szCs w:val="14"/>
              </w:rPr>
              <w:t>G.  Inversiones Financieras y Otras Provisiones</w:t>
            </w:r>
          </w:p>
        </w:tc>
        <w:tc>
          <w:tcPr>
            <w:tcW w:w="1134" w:type="dxa"/>
            <w:tcBorders>
              <w:top w:val="nil"/>
              <w:left w:val="single" w:sz="4" w:space="0" w:color="auto"/>
              <w:bottom w:val="nil"/>
              <w:right w:val="single" w:sz="4" w:space="0" w:color="auto"/>
            </w:tcBorders>
            <w:shd w:val="clear" w:color="000000" w:fill="FFFFFF"/>
            <w:noWrap/>
            <w:vAlign w:val="center"/>
            <w:hideMark/>
          </w:tcPr>
          <w:p w14:paraId="6D27FD4F"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000000" w:fill="FFFFFF"/>
            <w:noWrap/>
            <w:vAlign w:val="center"/>
            <w:hideMark/>
          </w:tcPr>
          <w:p w14:paraId="322DB2CA"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000000" w:fill="FFFFFF"/>
            <w:noWrap/>
            <w:vAlign w:val="center"/>
            <w:hideMark/>
          </w:tcPr>
          <w:p w14:paraId="1E30C939"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0</w:t>
            </w:r>
          </w:p>
        </w:tc>
        <w:tc>
          <w:tcPr>
            <w:tcW w:w="1276" w:type="dxa"/>
            <w:tcBorders>
              <w:top w:val="nil"/>
              <w:left w:val="nil"/>
              <w:bottom w:val="nil"/>
              <w:right w:val="single" w:sz="4" w:space="0" w:color="auto"/>
            </w:tcBorders>
            <w:shd w:val="clear" w:color="000000" w:fill="FFFFFF"/>
            <w:noWrap/>
            <w:vAlign w:val="center"/>
            <w:hideMark/>
          </w:tcPr>
          <w:p w14:paraId="50A46161"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0</w:t>
            </w:r>
          </w:p>
        </w:tc>
        <w:tc>
          <w:tcPr>
            <w:tcW w:w="1134" w:type="dxa"/>
            <w:tcBorders>
              <w:top w:val="nil"/>
              <w:left w:val="nil"/>
              <w:bottom w:val="nil"/>
              <w:right w:val="single" w:sz="4" w:space="0" w:color="auto"/>
            </w:tcBorders>
            <w:shd w:val="clear" w:color="000000" w:fill="FFFFFF"/>
            <w:noWrap/>
            <w:vAlign w:val="center"/>
            <w:hideMark/>
          </w:tcPr>
          <w:p w14:paraId="4D389FA1"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0</w:t>
            </w:r>
          </w:p>
        </w:tc>
      </w:tr>
      <w:tr w:rsidR="00650D81" w:rsidRPr="00650D81" w14:paraId="3B031C8A" w14:textId="77777777" w:rsidTr="000B5B46">
        <w:trPr>
          <w:trHeight w:val="20"/>
        </w:trPr>
        <w:tc>
          <w:tcPr>
            <w:tcW w:w="3686" w:type="dxa"/>
            <w:tcBorders>
              <w:top w:val="nil"/>
              <w:left w:val="single" w:sz="4" w:space="0" w:color="auto"/>
              <w:bottom w:val="nil"/>
              <w:right w:val="single" w:sz="4" w:space="0" w:color="auto"/>
            </w:tcBorders>
            <w:shd w:val="clear" w:color="000000" w:fill="FFFFFF"/>
            <w:vAlign w:val="center"/>
            <w:hideMark/>
          </w:tcPr>
          <w:p w14:paraId="02BE853D" w14:textId="77777777" w:rsidR="00650D81" w:rsidRPr="003B476C" w:rsidRDefault="00650D81" w:rsidP="00E97C62">
            <w:pPr>
              <w:ind w:left="215" w:hanging="1"/>
              <w:jc w:val="left"/>
              <w:rPr>
                <w:rFonts w:eastAsia="Times New Roman" w:cs="Arial"/>
                <w:color w:val="000000"/>
                <w:sz w:val="14"/>
                <w:szCs w:val="14"/>
              </w:rPr>
            </w:pPr>
            <w:r w:rsidRPr="003B476C">
              <w:rPr>
                <w:rFonts w:eastAsia="Times New Roman" w:cs="Arial"/>
                <w:color w:val="000000"/>
                <w:sz w:val="14"/>
                <w:szCs w:val="14"/>
              </w:rPr>
              <w:t>H.  Participaciones y Aportaciones</w:t>
            </w:r>
          </w:p>
        </w:tc>
        <w:tc>
          <w:tcPr>
            <w:tcW w:w="1134" w:type="dxa"/>
            <w:tcBorders>
              <w:top w:val="nil"/>
              <w:left w:val="single" w:sz="4" w:space="0" w:color="auto"/>
              <w:bottom w:val="nil"/>
              <w:right w:val="single" w:sz="4" w:space="0" w:color="auto"/>
            </w:tcBorders>
            <w:shd w:val="clear" w:color="000000" w:fill="FFFFFF"/>
            <w:noWrap/>
            <w:vAlign w:val="center"/>
            <w:hideMark/>
          </w:tcPr>
          <w:p w14:paraId="620A1AC6"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816,474,728</w:t>
            </w:r>
          </w:p>
        </w:tc>
        <w:tc>
          <w:tcPr>
            <w:tcW w:w="1134" w:type="dxa"/>
            <w:tcBorders>
              <w:top w:val="nil"/>
              <w:left w:val="nil"/>
              <w:bottom w:val="nil"/>
              <w:right w:val="single" w:sz="4" w:space="0" w:color="auto"/>
            </w:tcBorders>
            <w:shd w:val="clear" w:color="000000" w:fill="FFFFFF"/>
            <w:noWrap/>
            <w:vAlign w:val="center"/>
            <w:hideMark/>
          </w:tcPr>
          <w:p w14:paraId="38B1FED1"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805,316,405</w:t>
            </w:r>
          </w:p>
        </w:tc>
        <w:tc>
          <w:tcPr>
            <w:tcW w:w="1134" w:type="dxa"/>
            <w:tcBorders>
              <w:top w:val="nil"/>
              <w:left w:val="nil"/>
              <w:bottom w:val="nil"/>
              <w:right w:val="single" w:sz="4" w:space="0" w:color="auto"/>
            </w:tcBorders>
            <w:shd w:val="clear" w:color="000000" w:fill="FFFFFF"/>
            <w:noWrap/>
            <w:vAlign w:val="center"/>
            <w:hideMark/>
          </w:tcPr>
          <w:p w14:paraId="1F895D16"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981,549,196</w:t>
            </w:r>
          </w:p>
        </w:tc>
        <w:tc>
          <w:tcPr>
            <w:tcW w:w="1276" w:type="dxa"/>
            <w:tcBorders>
              <w:top w:val="nil"/>
              <w:left w:val="nil"/>
              <w:bottom w:val="nil"/>
              <w:right w:val="single" w:sz="4" w:space="0" w:color="auto"/>
            </w:tcBorders>
            <w:shd w:val="clear" w:color="000000" w:fill="FFFFFF"/>
            <w:noWrap/>
            <w:vAlign w:val="center"/>
            <w:hideMark/>
          </w:tcPr>
          <w:p w14:paraId="73C4E191"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1,248,922,034</w:t>
            </w:r>
          </w:p>
        </w:tc>
        <w:tc>
          <w:tcPr>
            <w:tcW w:w="1134" w:type="dxa"/>
            <w:tcBorders>
              <w:top w:val="nil"/>
              <w:left w:val="nil"/>
              <w:bottom w:val="nil"/>
              <w:right w:val="single" w:sz="4" w:space="0" w:color="auto"/>
            </w:tcBorders>
            <w:shd w:val="clear" w:color="000000" w:fill="FFFFFF"/>
            <w:noWrap/>
            <w:vAlign w:val="center"/>
            <w:hideMark/>
          </w:tcPr>
          <w:p w14:paraId="630E69F1"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1,144,818,776</w:t>
            </w:r>
          </w:p>
        </w:tc>
      </w:tr>
      <w:tr w:rsidR="00650D81" w:rsidRPr="00650D81" w14:paraId="6EFBF6AE" w14:textId="77777777" w:rsidTr="000B5B46">
        <w:trPr>
          <w:trHeight w:val="20"/>
        </w:trPr>
        <w:tc>
          <w:tcPr>
            <w:tcW w:w="3686" w:type="dxa"/>
            <w:tcBorders>
              <w:top w:val="nil"/>
              <w:left w:val="single" w:sz="4" w:space="0" w:color="auto"/>
              <w:bottom w:val="nil"/>
              <w:right w:val="single" w:sz="4" w:space="0" w:color="auto"/>
            </w:tcBorders>
            <w:shd w:val="clear" w:color="000000" w:fill="FFFFFF"/>
            <w:vAlign w:val="center"/>
            <w:hideMark/>
          </w:tcPr>
          <w:p w14:paraId="016AB9BF" w14:textId="77777777" w:rsidR="00650D81" w:rsidRPr="003B476C" w:rsidRDefault="00650D81" w:rsidP="00E97C62">
            <w:pPr>
              <w:ind w:left="215" w:hanging="1"/>
              <w:jc w:val="left"/>
              <w:rPr>
                <w:rFonts w:eastAsia="Times New Roman" w:cs="Arial"/>
                <w:color w:val="000000"/>
                <w:sz w:val="14"/>
                <w:szCs w:val="14"/>
              </w:rPr>
            </w:pPr>
            <w:r w:rsidRPr="003B476C">
              <w:rPr>
                <w:rFonts w:eastAsia="Times New Roman" w:cs="Arial"/>
                <w:color w:val="000000"/>
                <w:sz w:val="14"/>
                <w:szCs w:val="14"/>
              </w:rPr>
              <w:t>I.   Deuda Pública</w:t>
            </w:r>
          </w:p>
        </w:tc>
        <w:tc>
          <w:tcPr>
            <w:tcW w:w="1134" w:type="dxa"/>
            <w:tcBorders>
              <w:top w:val="nil"/>
              <w:left w:val="single" w:sz="4" w:space="0" w:color="auto"/>
              <w:bottom w:val="nil"/>
              <w:right w:val="single" w:sz="4" w:space="0" w:color="auto"/>
            </w:tcBorders>
            <w:shd w:val="clear" w:color="000000" w:fill="FFFFFF"/>
            <w:noWrap/>
            <w:vAlign w:val="center"/>
            <w:hideMark/>
          </w:tcPr>
          <w:p w14:paraId="76647F2B"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271,997,234</w:t>
            </w:r>
          </w:p>
        </w:tc>
        <w:tc>
          <w:tcPr>
            <w:tcW w:w="1134" w:type="dxa"/>
            <w:tcBorders>
              <w:top w:val="nil"/>
              <w:left w:val="nil"/>
              <w:bottom w:val="nil"/>
              <w:right w:val="single" w:sz="4" w:space="0" w:color="auto"/>
            </w:tcBorders>
            <w:shd w:val="clear" w:color="000000" w:fill="FFFFFF"/>
            <w:noWrap/>
            <w:vAlign w:val="center"/>
            <w:hideMark/>
          </w:tcPr>
          <w:p w14:paraId="086F89F7"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275,785,266</w:t>
            </w:r>
          </w:p>
        </w:tc>
        <w:tc>
          <w:tcPr>
            <w:tcW w:w="1134" w:type="dxa"/>
            <w:tcBorders>
              <w:top w:val="nil"/>
              <w:left w:val="nil"/>
              <w:bottom w:val="nil"/>
              <w:right w:val="single" w:sz="4" w:space="0" w:color="auto"/>
            </w:tcBorders>
            <w:shd w:val="clear" w:color="000000" w:fill="FFFFFF"/>
            <w:noWrap/>
            <w:vAlign w:val="center"/>
            <w:hideMark/>
          </w:tcPr>
          <w:p w14:paraId="3A0C729E"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298,288,304</w:t>
            </w:r>
          </w:p>
        </w:tc>
        <w:tc>
          <w:tcPr>
            <w:tcW w:w="1276" w:type="dxa"/>
            <w:tcBorders>
              <w:top w:val="nil"/>
              <w:left w:val="nil"/>
              <w:bottom w:val="nil"/>
              <w:right w:val="single" w:sz="4" w:space="0" w:color="auto"/>
            </w:tcBorders>
            <w:shd w:val="clear" w:color="000000" w:fill="FFFFFF"/>
            <w:noWrap/>
            <w:vAlign w:val="center"/>
            <w:hideMark/>
          </w:tcPr>
          <w:p w14:paraId="0A95DF7C"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359,474,517</w:t>
            </w:r>
          </w:p>
        </w:tc>
        <w:tc>
          <w:tcPr>
            <w:tcW w:w="1134" w:type="dxa"/>
            <w:tcBorders>
              <w:top w:val="nil"/>
              <w:left w:val="nil"/>
              <w:bottom w:val="nil"/>
              <w:right w:val="single" w:sz="4" w:space="0" w:color="auto"/>
            </w:tcBorders>
            <w:shd w:val="clear" w:color="000000" w:fill="FFFFFF"/>
            <w:noWrap/>
            <w:vAlign w:val="center"/>
            <w:hideMark/>
          </w:tcPr>
          <w:p w14:paraId="32AB417C" w14:textId="77777777" w:rsidR="00650D81" w:rsidRPr="003B476C" w:rsidRDefault="00650D81" w:rsidP="003B476C">
            <w:pPr>
              <w:jc w:val="right"/>
              <w:rPr>
                <w:rFonts w:eastAsia="Times New Roman" w:cs="Arial"/>
                <w:color w:val="000000"/>
                <w:sz w:val="14"/>
                <w:szCs w:val="14"/>
              </w:rPr>
            </w:pPr>
            <w:r w:rsidRPr="003B476C">
              <w:rPr>
                <w:rFonts w:eastAsia="Times New Roman" w:cs="Arial"/>
                <w:color w:val="000000"/>
                <w:sz w:val="14"/>
                <w:szCs w:val="14"/>
              </w:rPr>
              <w:t>369,189,296</w:t>
            </w:r>
          </w:p>
        </w:tc>
      </w:tr>
      <w:tr w:rsidR="00650D81" w:rsidRPr="00650D81" w14:paraId="5D78ADD7" w14:textId="77777777" w:rsidTr="000B5B46">
        <w:trPr>
          <w:trHeight w:val="20"/>
        </w:trPr>
        <w:tc>
          <w:tcPr>
            <w:tcW w:w="3686" w:type="dxa"/>
            <w:tcBorders>
              <w:top w:val="nil"/>
              <w:left w:val="single" w:sz="4" w:space="0" w:color="auto"/>
              <w:bottom w:val="nil"/>
              <w:right w:val="single" w:sz="4" w:space="0" w:color="auto"/>
            </w:tcBorders>
            <w:shd w:val="clear" w:color="000000" w:fill="FFFFFF"/>
            <w:vAlign w:val="center"/>
            <w:hideMark/>
          </w:tcPr>
          <w:p w14:paraId="533359BC" w14:textId="77777777" w:rsidR="00650D81" w:rsidRPr="003B476C" w:rsidRDefault="00650D81" w:rsidP="00650D81">
            <w:pPr>
              <w:jc w:val="left"/>
              <w:rPr>
                <w:rFonts w:eastAsia="Times New Roman" w:cs="Arial"/>
                <w:color w:val="000000"/>
                <w:sz w:val="14"/>
                <w:szCs w:val="14"/>
              </w:rPr>
            </w:pPr>
            <w:r w:rsidRPr="003B476C">
              <w:rPr>
                <w:rFonts w:eastAsia="Times New Roman" w:cs="Arial"/>
                <w:color w:val="000000"/>
                <w:sz w:val="14"/>
                <w:szCs w:val="14"/>
              </w:rPr>
              <w:t> </w:t>
            </w:r>
          </w:p>
        </w:tc>
        <w:tc>
          <w:tcPr>
            <w:tcW w:w="1134" w:type="dxa"/>
            <w:tcBorders>
              <w:top w:val="nil"/>
              <w:left w:val="single" w:sz="4" w:space="0" w:color="auto"/>
              <w:bottom w:val="nil"/>
              <w:right w:val="single" w:sz="4" w:space="0" w:color="auto"/>
            </w:tcBorders>
            <w:shd w:val="clear" w:color="000000" w:fill="FFFFFF"/>
            <w:vAlign w:val="center"/>
            <w:hideMark/>
          </w:tcPr>
          <w:p w14:paraId="74066A1E" w14:textId="202E4D8B" w:rsidR="00650D81" w:rsidRPr="003B476C" w:rsidRDefault="00650D81" w:rsidP="003B476C">
            <w:pPr>
              <w:ind w:firstLineChars="100" w:firstLine="140"/>
              <w:jc w:val="right"/>
              <w:rPr>
                <w:rFonts w:eastAsia="Times New Roman" w:cs="Arial"/>
                <w:color w:val="000000"/>
                <w:sz w:val="14"/>
                <w:szCs w:val="14"/>
              </w:rPr>
            </w:pPr>
          </w:p>
        </w:tc>
        <w:tc>
          <w:tcPr>
            <w:tcW w:w="1134" w:type="dxa"/>
            <w:tcBorders>
              <w:top w:val="nil"/>
              <w:left w:val="nil"/>
              <w:bottom w:val="nil"/>
              <w:right w:val="single" w:sz="4" w:space="0" w:color="auto"/>
            </w:tcBorders>
            <w:shd w:val="clear" w:color="000000" w:fill="FFFFFF"/>
            <w:vAlign w:val="center"/>
            <w:hideMark/>
          </w:tcPr>
          <w:p w14:paraId="35220586" w14:textId="2B619FD8" w:rsidR="00650D81" w:rsidRPr="003B476C" w:rsidRDefault="00650D81" w:rsidP="003B476C">
            <w:pPr>
              <w:ind w:firstLineChars="100" w:firstLine="140"/>
              <w:jc w:val="right"/>
              <w:rPr>
                <w:rFonts w:eastAsia="Times New Roman" w:cs="Arial"/>
                <w:color w:val="000000"/>
                <w:sz w:val="14"/>
                <w:szCs w:val="14"/>
              </w:rPr>
            </w:pPr>
          </w:p>
        </w:tc>
        <w:tc>
          <w:tcPr>
            <w:tcW w:w="1134" w:type="dxa"/>
            <w:tcBorders>
              <w:top w:val="nil"/>
              <w:left w:val="nil"/>
              <w:bottom w:val="nil"/>
              <w:right w:val="single" w:sz="4" w:space="0" w:color="auto"/>
            </w:tcBorders>
            <w:shd w:val="clear" w:color="000000" w:fill="FFFFFF"/>
            <w:vAlign w:val="center"/>
            <w:hideMark/>
          </w:tcPr>
          <w:p w14:paraId="753AACA2" w14:textId="5B3DECD8" w:rsidR="00650D81" w:rsidRPr="003B476C" w:rsidRDefault="00650D81" w:rsidP="003B476C">
            <w:pPr>
              <w:ind w:firstLineChars="100" w:firstLine="140"/>
              <w:jc w:val="right"/>
              <w:rPr>
                <w:rFonts w:eastAsia="Times New Roman" w:cs="Arial"/>
                <w:color w:val="000000"/>
                <w:sz w:val="14"/>
                <w:szCs w:val="14"/>
              </w:rPr>
            </w:pPr>
          </w:p>
        </w:tc>
        <w:tc>
          <w:tcPr>
            <w:tcW w:w="1276" w:type="dxa"/>
            <w:tcBorders>
              <w:top w:val="nil"/>
              <w:left w:val="nil"/>
              <w:bottom w:val="nil"/>
              <w:right w:val="single" w:sz="4" w:space="0" w:color="auto"/>
            </w:tcBorders>
            <w:shd w:val="clear" w:color="000000" w:fill="FFFFFF"/>
            <w:vAlign w:val="center"/>
            <w:hideMark/>
          </w:tcPr>
          <w:p w14:paraId="66FDC394" w14:textId="71B41054" w:rsidR="00650D81" w:rsidRPr="003B476C" w:rsidRDefault="00650D81" w:rsidP="003B476C">
            <w:pPr>
              <w:ind w:firstLineChars="100" w:firstLine="140"/>
              <w:jc w:val="right"/>
              <w:rPr>
                <w:rFonts w:eastAsia="Times New Roman" w:cs="Arial"/>
                <w:color w:val="000000"/>
                <w:sz w:val="14"/>
                <w:szCs w:val="14"/>
              </w:rPr>
            </w:pPr>
          </w:p>
        </w:tc>
        <w:tc>
          <w:tcPr>
            <w:tcW w:w="1134" w:type="dxa"/>
            <w:tcBorders>
              <w:top w:val="nil"/>
              <w:left w:val="nil"/>
              <w:bottom w:val="nil"/>
              <w:right w:val="single" w:sz="4" w:space="0" w:color="auto"/>
            </w:tcBorders>
            <w:shd w:val="clear" w:color="000000" w:fill="FFFFFF"/>
            <w:vAlign w:val="center"/>
            <w:hideMark/>
          </w:tcPr>
          <w:p w14:paraId="3044E101" w14:textId="28E2F731" w:rsidR="00650D81" w:rsidRPr="003B476C" w:rsidRDefault="00650D81" w:rsidP="003B476C">
            <w:pPr>
              <w:ind w:firstLineChars="100" w:firstLine="140"/>
              <w:jc w:val="right"/>
              <w:rPr>
                <w:rFonts w:eastAsia="Times New Roman" w:cs="Arial"/>
                <w:color w:val="000000"/>
                <w:sz w:val="14"/>
                <w:szCs w:val="14"/>
              </w:rPr>
            </w:pPr>
          </w:p>
        </w:tc>
      </w:tr>
      <w:tr w:rsidR="00650D81" w:rsidRPr="00650D81" w14:paraId="19AD4570" w14:textId="77777777" w:rsidTr="000B5B46">
        <w:trPr>
          <w:trHeight w:val="2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9B20012" w14:textId="77777777" w:rsidR="00650D81" w:rsidRPr="003B476C" w:rsidRDefault="00650D81" w:rsidP="00650D81">
            <w:pPr>
              <w:ind w:firstLineChars="100" w:firstLine="140"/>
              <w:jc w:val="left"/>
              <w:rPr>
                <w:rFonts w:eastAsia="Times New Roman" w:cs="Arial"/>
                <w:color w:val="000000"/>
                <w:sz w:val="14"/>
                <w:szCs w:val="14"/>
              </w:rPr>
            </w:pPr>
            <w:r w:rsidRPr="003B476C">
              <w:rPr>
                <w:rFonts w:eastAsia="Times New Roman" w:cs="Arial"/>
                <w:color w:val="000000"/>
                <w:sz w:val="14"/>
                <w:szCs w:val="14"/>
              </w:rPr>
              <w:t>3.  </w:t>
            </w:r>
            <w:r w:rsidRPr="003B476C">
              <w:rPr>
                <w:rFonts w:eastAsia="Times New Roman" w:cs="Arial"/>
                <w:b/>
                <w:bCs/>
                <w:color w:val="000000"/>
                <w:sz w:val="14"/>
                <w:szCs w:val="14"/>
              </w:rPr>
              <w:t>Total del Resultado de Egresos (3=1+2)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B9B31E" w14:textId="77777777" w:rsidR="00650D81" w:rsidRPr="000B5B46" w:rsidRDefault="00650D81" w:rsidP="003B476C">
            <w:pPr>
              <w:ind w:firstLineChars="100" w:firstLine="120"/>
              <w:jc w:val="right"/>
              <w:rPr>
                <w:rFonts w:eastAsia="Times New Roman" w:cs="Arial"/>
                <w:b/>
                <w:bCs/>
                <w:color w:val="000000"/>
                <w:sz w:val="12"/>
                <w:szCs w:val="12"/>
              </w:rPr>
            </w:pPr>
            <w:r w:rsidRPr="000B5B46">
              <w:rPr>
                <w:rFonts w:eastAsia="Times New Roman" w:cs="Arial"/>
                <w:b/>
                <w:bCs/>
                <w:color w:val="000000"/>
                <w:sz w:val="12"/>
                <w:szCs w:val="12"/>
              </w:rPr>
              <w:t>19,064,120,269</w:t>
            </w:r>
          </w:p>
        </w:tc>
        <w:tc>
          <w:tcPr>
            <w:tcW w:w="1134" w:type="dxa"/>
            <w:tcBorders>
              <w:top w:val="nil"/>
              <w:left w:val="nil"/>
              <w:bottom w:val="single" w:sz="4" w:space="0" w:color="auto"/>
              <w:right w:val="single" w:sz="4" w:space="0" w:color="auto"/>
            </w:tcBorders>
            <w:shd w:val="clear" w:color="auto" w:fill="auto"/>
            <w:vAlign w:val="center"/>
            <w:hideMark/>
          </w:tcPr>
          <w:p w14:paraId="3B19540D" w14:textId="77777777" w:rsidR="00650D81" w:rsidRPr="000B5B46" w:rsidRDefault="00650D81" w:rsidP="003B476C">
            <w:pPr>
              <w:ind w:firstLineChars="100" w:firstLine="120"/>
              <w:jc w:val="right"/>
              <w:rPr>
                <w:rFonts w:eastAsia="Times New Roman" w:cs="Arial"/>
                <w:b/>
                <w:bCs/>
                <w:color w:val="000000"/>
                <w:sz w:val="12"/>
                <w:szCs w:val="12"/>
              </w:rPr>
            </w:pPr>
            <w:r w:rsidRPr="000B5B46">
              <w:rPr>
                <w:rFonts w:eastAsia="Times New Roman" w:cs="Arial"/>
                <w:b/>
                <w:bCs/>
                <w:color w:val="000000"/>
                <w:sz w:val="12"/>
                <w:szCs w:val="12"/>
              </w:rPr>
              <w:t>18,677,924,903</w:t>
            </w:r>
          </w:p>
        </w:tc>
        <w:tc>
          <w:tcPr>
            <w:tcW w:w="1134" w:type="dxa"/>
            <w:tcBorders>
              <w:top w:val="nil"/>
              <w:left w:val="nil"/>
              <w:bottom w:val="single" w:sz="4" w:space="0" w:color="auto"/>
              <w:right w:val="single" w:sz="4" w:space="0" w:color="auto"/>
            </w:tcBorders>
            <w:shd w:val="clear" w:color="auto" w:fill="auto"/>
            <w:vAlign w:val="center"/>
            <w:hideMark/>
          </w:tcPr>
          <w:p w14:paraId="55BA3B81" w14:textId="77777777" w:rsidR="00650D81" w:rsidRPr="000B5B46" w:rsidRDefault="00650D81" w:rsidP="003B476C">
            <w:pPr>
              <w:ind w:firstLineChars="100" w:firstLine="120"/>
              <w:jc w:val="right"/>
              <w:rPr>
                <w:rFonts w:eastAsia="Times New Roman" w:cs="Arial"/>
                <w:b/>
                <w:bCs/>
                <w:color w:val="000000"/>
                <w:sz w:val="12"/>
                <w:szCs w:val="12"/>
              </w:rPr>
            </w:pPr>
            <w:r w:rsidRPr="000B5B46">
              <w:rPr>
                <w:rFonts w:eastAsia="Times New Roman" w:cs="Arial"/>
                <w:b/>
                <w:bCs/>
                <w:color w:val="000000"/>
                <w:sz w:val="12"/>
                <w:szCs w:val="12"/>
              </w:rPr>
              <w:t>19,878,737,107</w:t>
            </w:r>
          </w:p>
        </w:tc>
        <w:tc>
          <w:tcPr>
            <w:tcW w:w="1276" w:type="dxa"/>
            <w:tcBorders>
              <w:top w:val="nil"/>
              <w:left w:val="nil"/>
              <w:bottom w:val="single" w:sz="4" w:space="0" w:color="auto"/>
              <w:right w:val="single" w:sz="4" w:space="0" w:color="auto"/>
            </w:tcBorders>
            <w:shd w:val="clear" w:color="auto" w:fill="auto"/>
            <w:vAlign w:val="center"/>
            <w:hideMark/>
          </w:tcPr>
          <w:p w14:paraId="6489BA53" w14:textId="77777777" w:rsidR="00650D81" w:rsidRPr="003B476C" w:rsidRDefault="00650D81" w:rsidP="003B476C">
            <w:pPr>
              <w:ind w:firstLineChars="100" w:firstLine="141"/>
              <w:jc w:val="right"/>
              <w:rPr>
                <w:rFonts w:eastAsia="Times New Roman" w:cs="Arial"/>
                <w:b/>
                <w:bCs/>
                <w:color w:val="000000"/>
                <w:sz w:val="14"/>
                <w:szCs w:val="14"/>
              </w:rPr>
            </w:pPr>
            <w:r w:rsidRPr="003B476C">
              <w:rPr>
                <w:rFonts w:eastAsia="Times New Roman" w:cs="Arial"/>
                <w:b/>
                <w:bCs/>
                <w:color w:val="000000"/>
                <w:sz w:val="14"/>
                <w:szCs w:val="14"/>
              </w:rPr>
              <w:t>21,673,383,120</w:t>
            </w:r>
          </w:p>
        </w:tc>
        <w:tc>
          <w:tcPr>
            <w:tcW w:w="1134" w:type="dxa"/>
            <w:tcBorders>
              <w:top w:val="nil"/>
              <w:left w:val="nil"/>
              <w:bottom w:val="single" w:sz="4" w:space="0" w:color="auto"/>
              <w:right w:val="single" w:sz="4" w:space="0" w:color="auto"/>
            </w:tcBorders>
            <w:shd w:val="clear" w:color="auto" w:fill="auto"/>
            <w:vAlign w:val="center"/>
            <w:hideMark/>
          </w:tcPr>
          <w:p w14:paraId="12BDE2AA" w14:textId="77777777" w:rsidR="00650D81" w:rsidRPr="003B476C" w:rsidRDefault="00650D81" w:rsidP="003B476C">
            <w:pPr>
              <w:jc w:val="right"/>
              <w:rPr>
                <w:rFonts w:eastAsia="Times New Roman" w:cs="Arial"/>
                <w:b/>
                <w:bCs/>
                <w:color w:val="000000"/>
                <w:sz w:val="14"/>
                <w:szCs w:val="14"/>
              </w:rPr>
            </w:pPr>
            <w:r w:rsidRPr="003B476C">
              <w:rPr>
                <w:rFonts w:eastAsia="Times New Roman" w:cs="Arial"/>
                <w:b/>
                <w:bCs/>
                <w:color w:val="000000"/>
                <w:sz w:val="14"/>
                <w:szCs w:val="14"/>
              </w:rPr>
              <w:t>23,849,405,687</w:t>
            </w:r>
          </w:p>
        </w:tc>
      </w:tr>
    </w:tbl>
    <w:p w14:paraId="0DDB37C1" w14:textId="77777777" w:rsidR="003D40E2" w:rsidRPr="00516AFF" w:rsidRDefault="003D40E2" w:rsidP="003D40E2">
      <w:pPr>
        <w:rPr>
          <w:rFonts w:cs="Arial"/>
          <w:b/>
          <w:bCs/>
        </w:rPr>
      </w:pPr>
    </w:p>
    <w:p w14:paraId="69085F5A" w14:textId="0AF68D4F" w:rsidR="003D40E2" w:rsidRDefault="003D40E2" w:rsidP="003D40E2">
      <w:pPr>
        <w:pStyle w:val="Ttulo2"/>
        <w:rPr>
          <w:rFonts w:cs="Arial"/>
        </w:rPr>
      </w:pPr>
      <w:r w:rsidRPr="00516AFF">
        <w:rPr>
          <w:rFonts w:cs="Arial"/>
        </w:rPr>
        <w:lastRenderedPageBreak/>
        <w:t>2.V. Un estudio actuarial de las pensiones de sus trabajadores, el cual como mínimo deberá actualizarse cada tres años. El estudio deberá incluir la población afiliada, la edad promedio, las características de las prestaciones otorgadas por la ley aplicable, el monto de reservas de pensiones, así como el periodo de suficiencia y el balance actuarial en valor presente.</w:t>
      </w:r>
    </w:p>
    <w:p w14:paraId="2F97D54F" w14:textId="77777777" w:rsidR="00DB0940" w:rsidRPr="00DB0940" w:rsidRDefault="00DB0940" w:rsidP="00DB0940"/>
    <w:p w14:paraId="013EF410" w14:textId="77777777" w:rsidR="003D40E2" w:rsidRPr="00516AFF" w:rsidRDefault="003D40E2" w:rsidP="003D40E2">
      <w:pPr>
        <w:rPr>
          <w:rFonts w:cs="Arial"/>
        </w:rPr>
      </w:pPr>
    </w:p>
    <w:tbl>
      <w:tblPr>
        <w:tblW w:w="9569" w:type="dxa"/>
        <w:tblInd w:w="-714" w:type="dxa"/>
        <w:tblLayout w:type="fixed"/>
        <w:tblCellMar>
          <w:left w:w="70" w:type="dxa"/>
          <w:right w:w="70" w:type="dxa"/>
        </w:tblCellMar>
        <w:tblLook w:val="04A0" w:firstRow="1" w:lastRow="0" w:firstColumn="1" w:lastColumn="0" w:noHBand="0" w:noVBand="1"/>
      </w:tblPr>
      <w:tblGrid>
        <w:gridCol w:w="2724"/>
        <w:gridCol w:w="1221"/>
        <w:gridCol w:w="891"/>
        <w:gridCol w:w="1075"/>
        <w:gridCol w:w="1155"/>
        <w:gridCol w:w="1275"/>
        <w:gridCol w:w="1221"/>
        <w:gridCol w:w="7"/>
      </w:tblGrid>
      <w:tr w:rsidR="0090360E" w:rsidRPr="00527954" w14:paraId="4FD44A1B" w14:textId="77777777" w:rsidTr="00527954">
        <w:trPr>
          <w:trHeight w:val="20"/>
          <w:tblHeader/>
        </w:trPr>
        <w:tc>
          <w:tcPr>
            <w:tcW w:w="9569" w:type="dxa"/>
            <w:gridSpan w:val="8"/>
            <w:tcBorders>
              <w:top w:val="single" w:sz="4" w:space="0" w:color="auto"/>
              <w:left w:val="single" w:sz="4" w:space="0" w:color="auto"/>
              <w:bottom w:val="nil"/>
              <w:right w:val="single" w:sz="4" w:space="0" w:color="auto"/>
            </w:tcBorders>
            <w:shd w:val="clear" w:color="auto" w:fill="F2F2F2" w:themeFill="background1" w:themeFillShade="F2"/>
            <w:noWrap/>
            <w:vAlign w:val="bottom"/>
            <w:hideMark/>
          </w:tcPr>
          <w:p w14:paraId="4095D9E0" w14:textId="77777777" w:rsidR="0090360E" w:rsidRPr="0090360E" w:rsidRDefault="0090360E" w:rsidP="0090360E">
            <w:pPr>
              <w:jc w:val="center"/>
              <w:rPr>
                <w:rFonts w:eastAsia="Times New Roman" w:cs="Arial"/>
                <w:b/>
                <w:bCs/>
                <w:sz w:val="12"/>
                <w:szCs w:val="12"/>
              </w:rPr>
            </w:pPr>
            <w:r w:rsidRPr="0090360E">
              <w:rPr>
                <w:rFonts w:eastAsia="Times New Roman" w:cs="Arial"/>
                <w:b/>
                <w:bCs/>
                <w:sz w:val="12"/>
                <w:szCs w:val="12"/>
              </w:rPr>
              <w:t>Informe sobre Estudios Actuariales - LDF</w:t>
            </w:r>
          </w:p>
        </w:tc>
      </w:tr>
      <w:tr w:rsidR="00527954" w:rsidRPr="00527954" w14:paraId="48075C88" w14:textId="77777777" w:rsidTr="00527954">
        <w:trPr>
          <w:gridAfter w:val="1"/>
          <w:wAfter w:w="7" w:type="dxa"/>
          <w:trHeight w:val="20"/>
          <w:tblHeader/>
        </w:trPr>
        <w:tc>
          <w:tcPr>
            <w:tcW w:w="2724" w:type="dxa"/>
            <w:tcBorders>
              <w:top w:val="nil"/>
              <w:left w:val="single" w:sz="4" w:space="0" w:color="auto"/>
              <w:bottom w:val="single" w:sz="4" w:space="0" w:color="auto"/>
              <w:right w:val="nil"/>
            </w:tcBorders>
            <w:shd w:val="clear" w:color="auto" w:fill="F2F2F2" w:themeFill="background1" w:themeFillShade="F2"/>
            <w:vAlign w:val="center"/>
            <w:hideMark/>
          </w:tcPr>
          <w:p w14:paraId="1E2BBE95" w14:textId="77777777" w:rsidR="0090360E" w:rsidRPr="0090360E" w:rsidRDefault="0090360E" w:rsidP="0090360E">
            <w:pPr>
              <w:jc w:val="center"/>
              <w:rPr>
                <w:rFonts w:eastAsia="Times New Roman" w:cs="Arial"/>
                <w:b/>
                <w:bCs/>
                <w:sz w:val="12"/>
                <w:szCs w:val="12"/>
              </w:rPr>
            </w:pPr>
            <w:r w:rsidRPr="0090360E">
              <w:rPr>
                <w:rFonts w:eastAsia="Times New Roman" w:cs="Arial"/>
                <w:b/>
                <w:bCs/>
                <w:sz w:val="12"/>
                <w:szCs w:val="12"/>
              </w:rPr>
              <w:t> </w:t>
            </w:r>
          </w:p>
        </w:tc>
        <w:tc>
          <w:tcPr>
            <w:tcW w:w="1221" w:type="dxa"/>
            <w:tcBorders>
              <w:top w:val="nil"/>
              <w:left w:val="nil"/>
              <w:bottom w:val="single" w:sz="4" w:space="0" w:color="auto"/>
              <w:right w:val="nil"/>
            </w:tcBorders>
            <w:shd w:val="clear" w:color="auto" w:fill="F2F2F2" w:themeFill="background1" w:themeFillShade="F2"/>
            <w:vAlign w:val="center"/>
            <w:hideMark/>
          </w:tcPr>
          <w:p w14:paraId="0F3B2CA1" w14:textId="77777777" w:rsidR="0090360E" w:rsidRPr="0090360E" w:rsidRDefault="0090360E" w:rsidP="0090360E">
            <w:pPr>
              <w:jc w:val="center"/>
              <w:rPr>
                <w:rFonts w:eastAsia="Times New Roman" w:cs="Arial"/>
                <w:b/>
                <w:bCs/>
                <w:sz w:val="12"/>
                <w:szCs w:val="12"/>
              </w:rPr>
            </w:pPr>
            <w:r w:rsidRPr="0090360E">
              <w:rPr>
                <w:rFonts w:eastAsia="Times New Roman" w:cs="Arial"/>
                <w:b/>
                <w:bCs/>
                <w:sz w:val="12"/>
                <w:szCs w:val="12"/>
              </w:rPr>
              <w:t>Pensiones y jubilaciones</w:t>
            </w:r>
          </w:p>
        </w:tc>
        <w:tc>
          <w:tcPr>
            <w:tcW w:w="891" w:type="dxa"/>
            <w:tcBorders>
              <w:top w:val="nil"/>
              <w:left w:val="nil"/>
              <w:bottom w:val="single" w:sz="4" w:space="0" w:color="auto"/>
              <w:right w:val="nil"/>
            </w:tcBorders>
            <w:shd w:val="clear" w:color="auto" w:fill="F2F2F2" w:themeFill="background1" w:themeFillShade="F2"/>
            <w:vAlign w:val="center"/>
            <w:hideMark/>
          </w:tcPr>
          <w:p w14:paraId="6C2BCF70" w14:textId="77777777" w:rsidR="0090360E" w:rsidRPr="0090360E" w:rsidRDefault="0090360E" w:rsidP="0090360E">
            <w:pPr>
              <w:jc w:val="center"/>
              <w:rPr>
                <w:rFonts w:eastAsia="Times New Roman" w:cs="Arial"/>
                <w:b/>
                <w:bCs/>
                <w:sz w:val="12"/>
                <w:szCs w:val="12"/>
              </w:rPr>
            </w:pPr>
            <w:r w:rsidRPr="0090360E">
              <w:rPr>
                <w:rFonts w:eastAsia="Times New Roman" w:cs="Arial"/>
                <w:b/>
                <w:bCs/>
                <w:sz w:val="12"/>
                <w:szCs w:val="12"/>
              </w:rPr>
              <w:t>Salud</w:t>
            </w:r>
          </w:p>
        </w:tc>
        <w:tc>
          <w:tcPr>
            <w:tcW w:w="1075" w:type="dxa"/>
            <w:tcBorders>
              <w:top w:val="nil"/>
              <w:left w:val="nil"/>
              <w:bottom w:val="single" w:sz="4" w:space="0" w:color="auto"/>
              <w:right w:val="nil"/>
            </w:tcBorders>
            <w:shd w:val="clear" w:color="auto" w:fill="F2F2F2" w:themeFill="background1" w:themeFillShade="F2"/>
            <w:vAlign w:val="center"/>
            <w:hideMark/>
          </w:tcPr>
          <w:p w14:paraId="67C1E94E" w14:textId="77777777" w:rsidR="0090360E" w:rsidRPr="0090360E" w:rsidRDefault="0090360E" w:rsidP="0090360E">
            <w:pPr>
              <w:jc w:val="center"/>
              <w:rPr>
                <w:rFonts w:eastAsia="Times New Roman" w:cs="Arial"/>
                <w:b/>
                <w:bCs/>
                <w:sz w:val="12"/>
                <w:szCs w:val="12"/>
              </w:rPr>
            </w:pPr>
            <w:r w:rsidRPr="0090360E">
              <w:rPr>
                <w:rFonts w:eastAsia="Times New Roman" w:cs="Arial"/>
                <w:b/>
                <w:bCs/>
                <w:sz w:val="12"/>
                <w:szCs w:val="12"/>
              </w:rPr>
              <w:t>Riesgos de trabajo</w:t>
            </w:r>
          </w:p>
        </w:tc>
        <w:tc>
          <w:tcPr>
            <w:tcW w:w="1155" w:type="dxa"/>
            <w:tcBorders>
              <w:top w:val="nil"/>
              <w:left w:val="nil"/>
              <w:bottom w:val="single" w:sz="4" w:space="0" w:color="auto"/>
              <w:right w:val="nil"/>
            </w:tcBorders>
            <w:shd w:val="clear" w:color="auto" w:fill="F2F2F2" w:themeFill="background1" w:themeFillShade="F2"/>
            <w:vAlign w:val="center"/>
            <w:hideMark/>
          </w:tcPr>
          <w:p w14:paraId="15204BA7" w14:textId="77777777" w:rsidR="0090360E" w:rsidRPr="0090360E" w:rsidRDefault="0090360E" w:rsidP="0090360E">
            <w:pPr>
              <w:jc w:val="center"/>
              <w:rPr>
                <w:rFonts w:eastAsia="Times New Roman" w:cs="Arial"/>
                <w:b/>
                <w:bCs/>
                <w:sz w:val="12"/>
                <w:szCs w:val="12"/>
              </w:rPr>
            </w:pPr>
            <w:r w:rsidRPr="0090360E">
              <w:rPr>
                <w:rFonts w:eastAsia="Times New Roman" w:cs="Arial"/>
                <w:b/>
                <w:bCs/>
                <w:sz w:val="12"/>
                <w:szCs w:val="12"/>
              </w:rPr>
              <w:t>Invalidez y vida</w:t>
            </w:r>
          </w:p>
        </w:tc>
        <w:tc>
          <w:tcPr>
            <w:tcW w:w="1275" w:type="dxa"/>
            <w:tcBorders>
              <w:top w:val="nil"/>
              <w:left w:val="nil"/>
              <w:bottom w:val="single" w:sz="4" w:space="0" w:color="auto"/>
              <w:right w:val="nil"/>
            </w:tcBorders>
            <w:shd w:val="clear" w:color="auto" w:fill="F2F2F2" w:themeFill="background1" w:themeFillShade="F2"/>
            <w:vAlign w:val="center"/>
            <w:hideMark/>
          </w:tcPr>
          <w:p w14:paraId="1302F1E1" w14:textId="77777777" w:rsidR="0090360E" w:rsidRPr="0090360E" w:rsidRDefault="0090360E" w:rsidP="0090360E">
            <w:pPr>
              <w:jc w:val="center"/>
              <w:rPr>
                <w:rFonts w:eastAsia="Times New Roman" w:cs="Arial"/>
                <w:b/>
                <w:bCs/>
                <w:sz w:val="12"/>
                <w:szCs w:val="12"/>
              </w:rPr>
            </w:pPr>
            <w:r w:rsidRPr="0090360E">
              <w:rPr>
                <w:rFonts w:eastAsia="Times New Roman" w:cs="Arial"/>
                <w:b/>
                <w:bCs/>
                <w:sz w:val="12"/>
                <w:szCs w:val="12"/>
              </w:rPr>
              <w:t>Otras prestaciones sociales</w:t>
            </w:r>
          </w:p>
        </w:tc>
        <w:tc>
          <w:tcPr>
            <w:tcW w:w="1221" w:type="dxa"/>
            <w:tcBorders>
              <w:top w:val="nil"/>
              <w:left w:val="nil"/>
              <w:bottom w:val="single" w:sz="4" w:space="0" w:color="auto"/>
              <w:right w:val="single" w:sz="4" w:space="0" w:color="auto"/>
            </w:tcBorders>
            <w:shd w:val="clear" w:color="auto" w:fill="F2F2F2" w:themeFill="background1" w:themeFillShade="F2"/>
            <w:vAlign w:val="center"/>
            <w:hideMark/>
          </w:tcPr>
          <w:p w14:paraId="7305FEA8" w14:textId="77777777" w:rsidR="0090360E" w:rsidRPr="0090360E" w:rsidRDefault="0090360E" w:rsidP="0090360E">
            <w:pPr>
              <w:jc w:val="center"/>
              <w:rPr>
                <w:rFonts w:eastAsia="Times New Roman" w:cs="Arial"/>
                <w:b/>
                <w:bCs/>
                <w:sz w:val="12"/>
                <w:szCs w:val="12"/>
              </w:rPr>
            </w:pPr>
            <w:r w:rsidRPr="0090360E">
              <w:rPr>
                <w:rFonts w:eastAsia="Times New Roman" w:cs="Arial"/>
                <w:b/>
                <w:bCs/>
                <w:sz w:val="12"/>
                <w:szCs w:val="12"/>
              </w:rPr>
              <w:t>Total</w:t>
            </w:r>
          </w:p>
        </w:tc>
      </w:tr>
      <w:tr w:rsidR="0090360E" w:rsidRPr="0090360E" w14:paraId="01DCE06C" w14:textId="77777777" w:rsidTr="00527954">
        <w:trPr>
          <w:gridAfter w:val="1"/>
          <w:wAfter w:w="7" w:type="dxa"/>
          <w:trHeight w:val="20"/>
        </w:trPr>
        <w:tc>
          <w:tcPr>
            <w:tcW w:w="2724" w:type="dxa"/>
            <w:tcBorders>
              <w:top w:val="single" w:sz="4" w:space="0" w:color="auto"/>
              <w:left w:val="single" w:sz="4" w:space="0" w:color="auto"/>
              <w:bottom w:val="nil"/>
              <w:right w:val="nil"/>
            </w:tcBorders>
            <w:shd w:val="clear" w:color="auto" w:fill="auto"/>
            <w:vAlign w:val="center"/>
            <w:hideMark/>
          </w:tcPr>
          <w:p w14:paraId="5D759DA7"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Tipo de Sistema</w:t>
            </w:r>
          </w:p>
        </w:tc>
        <w:tc>
          <w:tcPr>
            <w:tcW w:w="1221" w:type="dxa"/>
            <w:tcBorders>
              <w:top w:val="single" w:sz="4" w:space="0" w:color="auto"/>
              <w:left w:val="single" w:sz="4" w:space="0" w:color="969696"/>
              <w:bottom w:val="nil"/>
              <w:right w:val="single" w:sz="4" w:space="0" w:color="969696"/>
            </w:tcBorders>
            <w:shd w:val="clear" w:color="auto" w:fill="auto"/>
            <w:noWrap/>
            <w:vAlign w:val="bottom"/>
            <w:hideMark/>
          </w:tcPr>
          <w:p w14:paraId="042DFE1E"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891" w:type="dxa"/>
            <w:tcBorders>
              <w:top w:val="single" w:sz="4" w:space="0" w:color="auto"/>
              <w:left w:val="nil"/>
              <w:bottom w:val="nil"/>
              <w:right w:val="single" w:sz="4" w:space="0" w:color="969696"/>
            </w:tcBorders>
            <w:shd w:val="clear" w:color="auto" w:fill="auto"/>
            <w:noWrap/>
            <w:vAlign w:val="bottom"/>
            <w:hideMark/>
          </w:tcPr>
          <w:p w14:paraId="737A6E55"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075" w:type="dxa"/>
            <w:tcBorders>
              <w:top w:val="single" w:sz="4" w:space="0" w:color="auto"/>
              <w:left w:val="nil"/>
              <w:bottom w:val="nil"/>
              <w:right w:val="single" w:sz="4" w:space="0" w:color="969696"/>
            </w:tcBorders>
            <w:shd w:val="clear" w:color="auto" w:fill="auto"/>
            <w:noWrap/>
            <w:vAlign w:val="bottom"/>
            <w:hideMark/>
          </w:tcPr>
          <w:p w14:paraId="3AE79DE1"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155" w:type="dxa"/>
            <w:tcBorders>
              <w:top w:val="single" w:sz="4" w:space="0" w:color="auto"/>
              <w:left w:val="nil"/>
              <w:bottom w:val="nil"/>
              <w:right w:val="single" w:sz="4" w:space="0" w:color="969696"/>
            </w:tcBorders>
            <w:shd w:val="clear" w:color="auto" w:fill="auto"/>
            <w:noWrap/>
            <w:vAlign w:val="bottom"/>
            <w:hideMark/>
          </w:tcPr>
          <w:p w14:paraId="62A082E6"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275" w:type="dxa"/>
            <w:tcBorders>
              <w:top w:val="single" w:sz="4" w:space="0" w:color="auto"/>
              <w:left w:val="nil"/>
              <w:bottom w:val="nil"/>
              <w:right w:val="single" w:sz="4" w:space="0" w:color="969696"/>
            </w:tcBorders>
            <w:shd w:val="clear" w:color="auto" w:fill="auto"/>
            <w:noWrap/>
            <w:vAlign w:val="bottom"/>
            <w:hideMark/>
          </w:tcPr>
          <w:p w14:paraId="42CA9A4E"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221" w:type="dxa"/>
            <w:tcBorders>
              <w:top w:val="single" w:sz="4" w:space="0" w:color="auto"/>
              <w:left w:val="nil"/>
              <w:bottom w:val="nil"/>
              <w:right w:val="single" w:sz="4" w:space="0" w:color="auto"/>
            </w:tcBorders>
            <w:shd w:val="clear" w:color="auto" w:fill="auto"/>
            <w:noWrap/>
            <w:vAlign w:val="bottom"/>
            <w:hideMark/>
          </w:tcPr>
          <w:p w14:paraId="718E79A0"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r>
      <w:tr w:rsidR="0090360E" w:rsidRPr="0090360E" w14:paraId="468BC2C3"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119A34ED"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Prestación laboral o Fondo general para trabajadores del estado o municipio</w:t>
            </w:r>
          </w:p>
        </w:tc>
        <w:tc>
          <w:tcPr>
            <w:tcW w:w="1221" w:type="dxa"/>
            <w:tcBorders>
              <w:top w:val="nil"/>
              <w:left w:val="single" w:sz="4" w:space="0" w:color="969696"/>
              <w:bottom w:val="nil"/>
              <w:right w:val="single" w:sz="4" w:space="0" w:color="969696"/>
            </w:tcBorders>
            <w:shd w:val="clear" w:color="auto" w:fill="auto"/>
            <w:noWrap/>
            <w:vAlign w:val="bottom"/>
            <w:hideMark/>
          </w:tcPr>
          <w:p w14:paraId="63ED2996"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Prestación Laboral</w:t>
            </w:r>
          </w:p>
        </w:tc>
        <w:tc>
          <w:tcPr>
            <w:tcW w:w="891" w:type="dxa"/>
            <w:tcBorders>
              <w:top w:val="nil"/>
              <w:left w:val="nil"/>
              <w:bottom w:val="nil"/>
              <w:right w:val="single" w:sz="4" w:space="0" w:color="969696"/>
            </w:tcBorders>
            <w:shd w:val="clear" w:color="auto" w:fill="auto"/>
            <w:noWrap/>
            <w:vAlign w:val="bottom"/>
            <w:hideMark/>
          </w:tcPr>
          <w:p w14:paraId="1C6146E5"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5AE98C24"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Prestación Laboral</w:t>
            </w:r>
          </w:p>
        </w:tc>
        <w:tc>
          <w:tcPr>
            <w:tcW w:w="1155" w:type="dxa"/>
            <w:tcBorders>
              <w:top w:val="nil"/>
              <w:left w:val="nil"/>
              <w:bottom w:val="nil"/>
              <w:right w:val="single" w:sz="4" w:space="0" w:color="969696"/>
            </w:tcBorders>
            <w:shd w:val="clear" w:color="auto" w:fill="auto"/>
            <w:noWrap/>
            <w:vAlign w:val="bottom"/>
            <w:hideMark/>
          </w:tcPr>
          <w:p w14:paraId="4CB22FD2"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Prestación Laboral</w:t>
            </w:r>
          </w:p>
        </w:tc>
        <w:tc>
          <w:tcPr>
            <w:tcW w:w="1275" w:type="dxa"/>
            <w:tcBorders>
              <w:top w:val="nil"/>
              <w:left w:val="nil"/>
              <w:bottom w:val="nil"/>
              <w:right w:val="single" w:sz="4" w:space="0" w:color="969696"/>
            </w:tcBorders>
            <w:shd w:val="clear" w:color="auto" w:fill="auto"/>
            <w:noWrap/>
            <w:vAlign w:val="bottom"/>
            <w:hideMark/>
          </w:tcPr>
          <w:p w14:paraId="6AE176F5"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Prestación Laboral</w:t>
            </w:r>
          </w:p>
        </w:tc>
        <w:tc>
          <w:tcPr>
            <w:tcW w:w="1221" w:type="dxa"/>
            <w:tcBorders>
              <w:top w:val="nil"/>
              <w:left w:val="nil"/>
              <w:bottom w:val="nil"/>
              <w:right w:val="single" w:sz="4" w:space="0" w:color="auto"/>
            </w:tcBorders>
            <w:shd w:val="clear" w:color="auto" w:fill="auto"/>
            <w:noWrap/>
            <w:vAlign w:val="bottom"/>
            <w:hideMark/>
          </w:tcPr>
          <w:p w14:paraId="669D95E1"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Prestación Laboral</w:t>
            </w:r>
          </w:p>
        </w:tc>
      </w:tr>
      <w:tr w:rsidR="0090360E" w:rsidRPr="0090360E" w14:paraId="0486E6F5"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7ABB8D80"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Beneficio definido, Contribución definida o Mixto</w:t>
            </w:r>
          </w:p>
        </w:tc>
        <w:tc>
          <w:tcPr>
            <w:tcW w:w="1221" w:type="dxa"/>
            <w:tcBorders>
              <w:top w:val="nil"/>
              <w:left w:val="single" w:sz="4" w:space="0" w:color="969696"/>
              <w:bottom w:val="nil"/>
              <w:right w:val="single" w:sz="4" w:space="0" w:color="969696"/>
            </w:tcBorders>
            <w:shd w:val="clear" w:color="auto" w:fill="auto"/>
            <w:vAlign w:val="bottom"/>
            <w:hideMark/>
          </w:tcPr>
          <w:p w14:paraId="08305F77"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Beneficio Definido</w:t>
            </w:r>
          </w:p>
        </w:tc>
        <w:tc>
          <w:tcPr>
            <w:tcW w:w="891" w:type="dxa"/>
            <w:tcBorders>
              <w:top w:val="nil"/>
              <w:left w:val="nil"/>
              <w:bottom w:val="nil"/>
              <w:right w:val="single" w:sz="4" w:space="0" w:color="969696"/>
            </w:tcBorders>
            <w:shd w:val="clear" w:color="auto" w:fill="auto"/>
            <w:noWrap/>
            <w:vAlign w:val="bottom"/>
            <w:hideMark/>
          </w:tcPr>
          <w:p w14:paraId="42CB045D"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vAlign w:val="bottom"/>
            <w:hideMark/>
          </w:tcPr>
          <w:p w14:paraId="01733D1B"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Beneficio Definido</w:t>
            </w:r>
          </w:p>
        </w:tc>
        <w:tc>
          <w:tcPr>
            <w:tcW w:w="1155" w:type="dxa"/>
            <w:tcBorders>
              <w:top w:val="nil"/>
              <w:left w:val="nil"/>
              <w:bottom w:val="nil"/>
              <w:right w:val="single" w:sz="4" w:space="0" w:color="969696"/>
            </w:tcBorders>
            <w:shd w:val="clear" w:color="auto" w:fill="auto"/>
            <w:vAlign w:val="bottom"/>
            <w:hideMark/>
          </w:tcPr>
          <w:p w14:paraId="3CFBD5B4"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Beneficio Definido</w:t>
            </w:r>
          </w:p>
        </w:tc>
        <w:tc>
          <w:tcPr>
            <w:tcW w:w="1275" w:type="dxa"/>
            <w:tcBorders>
              <w:top w:val="nil"/>
              <w:left w:val="nil"/>
              <w:bottom w:val="nil"/>
              <w:right w:val="single" w:sz="4" w:space="0" w:color="969696"/>
            </w:tcBorders>
            <w:shd w:val="clear" w:color="auto" w:fill="auto"/>
            <w:vAlign w:val="bottom"/>
            <w:hideMark/>
          </w:tcPr>
          <w:p w14:paraId="24422A44"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Beneficio Definido</w:t>
            </w:r>
          </w:p>
        </w:tc>
        <w:tc>
          <w:tcPr>
            <w:tcW w:w="1221" w:type="dxa"/>
            <w:tcBorders>
              <w:top w:val="nil"/>
              <w:left w:val="nil"/>
              <w:bottom w:val="nil"/>
              <w:right w:val="single" w:sz="4" w:space="0" w:color="auto"/>
            </w:tcBorders>
            <w:shd w:val="clear" w:color="auto" w:fill="auto"/>
            <w:vAlign w:val="bottom"/>
            <w:hideMark/>
          </w:tcPr>
          <w:p w14:paraId="195C49C6"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Beneficio Definido</w:t>
            </w:r>
          </w:p>
        </w:tc>
      </w:tr>
      <w:tr w:rsidR="0090360E" w:rsidRPr="0090360E" w14:paraId="5416AEF5"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4656F70E" w14:textId="77777777" w:rsidR="0090360E" w:rsidRPr="0090360E" w:rsidRDefault="0090360E" w:rsidP="0090360E">
            <w:pPr>
              <w:jc w:val="center"/>
              <w:rPr>
                <w:rFonts w:eastAsia="Times New Roman" w:cs="Arial"/>
                <w:color w:val="000000"/>
                <w:sz w:val="12"/>
                <w:szCs w:val="12"/>
              </w:rPr>
            </w:pPr>
          </w:p>
        </w:tc>
        <w:tc>
          <w:tcPr>
            <w:tcW w:w="1221" w:type="dxa"/>
            <w:tcBorders>
              <w:top w:val="nil"/>
              <w:left w:val="single" w:sz="4" w:space="0" w:color="969696"/>
              <w:bottom w:val="nil"/>
              <w:right w:val="single" w:sz="4" w:space="0" w:color="969696"/>
            </w:tcBorders>
            <w:shd w:val="clear" w:color="auto" w:fill="auto"/>
            <w:noWrap/>
            <w:vAlign w:val="bottom"/>
            <w:hideMark/>
          </w:tcPr>
          <w:p w14:paraId="1150BAD1"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891" w:type="dxa"/>
            <w:tcBorders>
              <w:top w:val="nil"/>
              <w:left w:val="nil"/>
              <w:bottom w:val="nil"/>
              <w:right w:val="single" w:sz="4" w:space="0" w:color="969696"/>
            </w:tcBorders>
            <w:shd w:val="clear" w:color="auto" w:fill="auto"/>
            <w:noWrap/>
            <w:vAlign w:val="bottom"/>
            <w:hideMark/>
          </w:tcPr>
          <w:p w14:paraId="611B9886"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7AB73A26"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623EAC1A"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195D5BA8"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2D91F953"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r>
      <w:tr w:rsidR="0090360E" w:rsidRPr="0090360E" w14:paraId="5966C82B"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0542C3A0"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Población afiliada</w:t>
            </w:r>
          </w:p>
        </w:tc>
        <w:tc>
          <w:tcPr>
            <w:tcW w:w="1221" w:type="dxa"/>
            <w:tcBorders>
              <w:top w:val="nil"/>
              <w:left w:val="single" w:sz="4" w:space="0" w:color="969696"/>
              <w:bottom w:val="nil"/>
              <w:right w:val="single" w:sz="4" w:space="0" w:color="969696"/>
            </w:tcBorders>
            <w:shd w:val="clear" w:color="auto" w:fill="auto"/>
            <w:noWrap/>
            <w:vAlign w:val="bottom"/>
            <w:hideMark/>
          </w:tcPr>
          <w:p w14:paraId="6D5783B3"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891" w:type="dxa"/>
            <w:tcBorders>
              <w:top w:val="nil"/>
              <w:left w:val="nil"/>
              <w:bottom w:val="nil"/>
              <w:right w:val="single" w:sz="4" w:space="0" w:color="969696"/>
            </w:tcBorders>
            <w:shd w:val="clear" w:color="auto" w:fill="auto"/>
            <w:noWrap/>
            <w:vAlign w:val="bottom"/>
            <w:hideMark/>
          </w:tcPr>
          <w:p w14:paraId="51645B2B"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120A6541"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33DB1FEB"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786441C6"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393C4D1B"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r>
      <w:tr w:rsidR="0090360E" w:rsidRPr="0090360E" w14:paraId="44FE6341"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5719FEC6"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Activos</w:t>
            </w:r>
          </w:p>
        </w:tc>
        <w:tc>
          <w:tcPr>
            <w:tcW w:w="1221" w:type="dxa"/>
            <w:tcBorders>
              <w:top w:val="nil"/>
              <w:left w:val="single" w:sz="4" w:space="0" w:color="969696"/>
              <w:bottom w:val="nil"/>
              <w:right w:val="single" w:sz="4" w:space="0" w:color="969696"/>
            </w:tcBorders>
            <w:shd w:val="clear" w:color="auto" w:fill="auto"/>
            <w:noWrap/>
            <w:vAlign w:val="bottom"/>
            <w:hideMark/>
          </w:tcPr>
          <w:p w14:paraId="1B4FD403"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7,563 </w:t>
            </w:r>
          </w:p>
        </w:tc>
        <w:tc>
          <w:tcPr>
            <w:tcW w:w="891" w:type="dxa"/>
            <w:tcBorders>
              <w:top w:val="nil"/>
              <w:left w:val="nil"/>
              <w:bottom w:val="nil"/>
              <w:right w:val="single" w:sz="4" w:space="0" w:color="969696"/>
            </w:tcBorders>
            <w:shd w:val="clear" w:color="auto" w:fill="auto"/>
            <w:noWrap/>
            <w:vAlign w:val="bottom"/>
            <w:hideMark/>
          </w:tcPr>
          <w:p w14:paraId="60854803"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74287B85"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7,563 </w:t>
            </w:r>
          </w:p>
        </w:tc>
        <w:tc>
          <w:tcPr>
            <w:tcW w:w="1155" w:type="dxa"/>
            <w:tcBorders>
              <w:top w:val="nil"/>
              <w:left w:val="nil"/>
              <w:bottom w:val="nil"/>
              <w:right w:val="single" w:sz="4" w:space="0" w:color="969696"/>
            </w:tcBorders>
            <w:shd w:val="clear" w:color="auto" w:fill="auto"/>
            <w:noWrap/>
            <w:vAlign w:val="bottom"/>
            <w:hideMark/>
          </w:tcPr>
          <w:p w14:paraId="501794C0"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7,563 </w:t>
            </w:r>
          </w:p>
        </w:tc>
        <w:tc>
          <w:tcPr>
            <w:tcW w:w="1275" w:type="dxa"/>
            <w:tcBorders>
              <w:top w:val="nil"/>
              <w:left w:val="nil"/>
              <w:bottom w:val="nil"/>
              <w:right w:val="single" w:sz="4" w:space="0" w:color="969696"/>
            </w:tcBorders>
            <w:shd w:val="clear" w:color="auto" w:fill="auto"/>
            <w:noWrap/>
            <w:vAlign w:val="bottom"/>
            <w:hideMark/>
          </w:tcPr>
          <w:p w14:paraId="33B27845"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7,563 </w:t>
            </w:r>
          </w:p>
        </w:tc>
        <w:tc>
          <w:tcPr>
            <w:tcW w:w="1221" w:type="dxa"/>
            <w:tcBorders>
              <w:top w:val="nil"/>
              <w:left w:val="nil"/>
              <w:bottom w:val="nil"/>
              <w:right w:val="single" w:sz="4" w:space="0" w:color="auto"/>
            </w:tcBorders>
            <w:shd w:val="clear" w:color="auto" w:fill="auto"/>
            <w:noWrap/>
            <w:vAlign w:val="bottom"/>
            <w:hideMark/>
          </w:tcPr>
          <w:p w14:paraId="60BCC5D5"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7,563 </w:t>
            </w:r>
          </w:p>
        </w:tc>
      </w:tr>
      <w:tr w:rsidR="0090360E" w:rsidRPr="0090360E" w14:paraId="7209FB21"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6E329D83"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Edad máxima</w:t>
            </w:r>
          </w:p>
        </w:tc>
        <w:tc>
          <w:tcPr>
            <w:tcW w:w="1221" w:type="dxa"/>
            <w:tcBorders>
              <w:top w:val="nil"/>
              <w:left w:val="single" w:sz="4" w:space="0" w:color="969696"/>
              <w:bottom w:val="nil"/>
              <w:right w:val="single" w:sz="4" w:space="0" w:color="969696"/>
            </w:tcBorders>
            <w:shd w:val="clear" w:color="auto" w:fill="auto"/>
            <w:noWrap/>
            <w:vAlign w:val="bottom"/>
            <w:hideMark/>
          </w:tcPr>
          <w:p w14:paraId="26D18FD2"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97 </w:t>
            </w:r>
          </w:p>
        </w:tc>
        <w:tc>
          <w:tcPr>
            <w:tcW w:w="891" w:type="dxa"/>
            <w:tcBorders>
              <w:top w:val="nil"/>
              <w:left w:val="nil"/>
              <w:bottom w:val="nil"/>
              <w:right w:val="single" w:sz="4" w:space="0" w:color="969696"/>
            </w:tcBorders>
            <w:shd w:val="clear" w:color="auto" w:fill="auto"/>
            <w:noWrap/>
            <w:vAlign w:val="bottom"/>
            <w:hideMark/>
          </w:tcPr>
          <w:p w14:paraId="50872E0D"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6CFE7C7D"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97 </w:t>
            </w:r>
          </w:p>
        </w:tc>
        <w:tc>
          <w:tcPr>
            <w:tcW w:w="1155" w:type="dxa"/>
            <w:tcBorders>
              <w:top w:val="nil"/>
              <w:left w:val="nil"/>
              <w:bottom w:val="nil"/>
              <w:right w:val="single" w:sz="4" w:space="0" w:color="969696"/>
            </w:tcBorders>
            <w:shd w:val="clear" w:color="auto" w:fill="auto"/>
            <w:noWrap/>
            <w:vAlign w:val="bottom"/>
            <w:hideMark/>
          </w:tcPr>
          <w:p w14:paraId="79FACA75"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97 </w:t>
            </w:r>
          </w:p>
        </w:tc>
        <w:tc>
          <w:tcPr>
            <w:tcW w:w="1275" w:type="dxa"/>
            <w:tcBorders>
              <w:top w:val="nil"/>
              <w:left w:val="nil"/>
              <w:bottom w:val="nil"/>
              <w:right w:val="single" w:sz="4" w:space="0" w:color="969696"/>
            </w:tcBorders>
            <w:shd w:val="clear" w:color="auto" w:fill="auto"/>
            <w:noWrap/>
            <w:vAlign w:val="bottom"/>
            <w:hideMark/>
          </w:tcPr>
          <w:p w14:paraId="2535DEDF"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97 </w:t>
            </w:r>
          </w:p>
        </w:tc>
        <w:tc>
          <w:tcPr>
            <w:tcW w:w="1221" w:type="dxa"/>
            <w:tcBorders>
              <w:top w:val="nil"/>
              <w:left w:val="nil"/>
              <w:bottom w:val="nil"/>
              <w:right w:val="single" w:sz="4" w:space="0" w:color="auto"/>
            </w:tcBorders>
            <w:shd w:val="clear" w:color="auto" w:fill="auto"/>
            <w:noWrap/>
            <w:vAlign w:val="bottom"/>
            <w:hideMark/>
          </w:tcPr>
          <w:p w14:paraId="1EB3C7F0"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97 </w:t>
            </w:r>
          </w:p>
        </w:tc>
      </w:tr>
      <w:tr w:rsidR="0090360E" w:rsidRPr="0090360E" w14:paraId="7941FBBB"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03F422FE"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Edad mínima</w:t>
            </w:r>
          </w:p>
        </w:tc>
        <w:tc>
          <w:tcPr>
            <w:tcW w:w="1221" w:type="dxa"/>
            <w:tcBorders>
              <w:top w:val="nil"/>
              <w:left w:val="single" w:sz="4" w:space="0" w:color="969696"/>
              <w:bottom w:val="nil"/>
              <w:right w:val="single" w:sz="4" w:space="0" w:color="969696"/>
            </w:tcBorders>
            <w:shd w:val="clear" w:color="auto" w:fill="auto"/>
            <w:noWrap/>
            <w:vAlign w:val="bottom"/>
            <w:hideMark/>
          </w:tcPr>
          <w:p w14:paraId="47EF2372"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17 </w:t>
            </w:r>
          </w:p>
        </w:tc>
        <w:tc>
          <w:tcPr>
            <w:tcW w:w="891" w:type="dxa"/>
            <w:tcBorders>
              <w:top w:val="nil"/>
              <w:left w:val="nil"/>
              <w:bottom w:val="nil"/>
              <w:right w:val="single" w:sz="4" w:space="0" w:color="969696"/>
            </w:tcBorders>
            <w:shd w:val="clear" w:color="auto" w:fill="auto"/>
            <w:noWrap/>
            <w:vAlign w:val="bottom"/>
            <w:hideMark/>
          </w:tcPr>
          <w:p w14:paraId="3C2F9698"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08B11851"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17 </w:t>
            </w:r>
          </w:p>
        </w:tc>
        <w:tc>
          <w:tcPr>
            <w:tcW w:w="1155" w:type="dxa"/>
            <w:tcBorders>
              <w:top w:val="nil"/>
              <w:left w:val="nil"/>
              <w:bottom w:val="nil"/>
              <w:right w:val="single" w:sz="4" w:space="0" w:color="969696"/>
            </w:tcBorders>
            <w:shd w:val="clear" w:color="auto" w:fill="auto"/>
            <w:noWrap/>
            <w:vAlign w:val="bottom"/>
            <w:hideMark/>
          </w:tcPr>
          <w:p w14:paraId="0CFE9FC4"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17 </w:t>
            </w:r>
          </w:p>
        </w:tc>
        <w:tc>
          <w:tcPr>
            <w:tcW w:w="1275" w:type="dxa"/>
            <w:tcBorders>
              <w:top w:val="nil"/>
              <w:left w:val="nil"/>
              <w:bottom w:val="nil"/>
              <w:right w:val="single" w:sz="4" w:space="0" w:color="969696"/>
            </w:tcBorders>
            <w:shd w:val="clear" w:color="auto" w:fill="auto"/>
            <w:noWrap/>
            <w:vAlign w:val="bottom"/>
            <w:hideMark/>
          </w:tcPr>
          <w:p w14:paraId="1F43C87E"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17 </w:t>
            </w:r>
          </w:p>
        </w:tc>
        <w:tc>
          <w:tcPr>
            <w:tcW w:w="1221" w:type="dxa"/>
            <w:tcBorders>
              <w:top w:val="nil"/>
              <w:left w:val="nil"/>
              <w:bottom w:val="nil"/>
              <w:right w:val="single" w:sz="4" w:space="0" w:color="auto"/>
            </w:tcBorders>
            <w:shd w:val="clear" w:color="auto" w:fill="auto"/>
            <w:noWrap/>
            <w:vAlign w:val="bottom"/>
            <w:hideMark/>
          </w:tcPr>
          <w:p w14:paraId="066F5CA6"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17 </w:t>
            </w:r>
          </w:p>
        </w:tc>
      </w:tr>
      <w:tr w:rsidR="0090360E" w:rsidRPr="0090360E" w14:paraId="29B32B1B"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7363344F"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Edad promedio</w:t>
            </w:r>
          </w:p>
        </w:tc>
        <w:tc>
          <w:tcPr>
            <w:tcW w:w="1221" w:type="dxa"/>
            <w:tcBorders>
              <w:top w:val="nil"/>
              <w:left w:val="single" w:sz="4" w:space="0" w:color="969696"/>
              <w:bottom w:val="nil"/>
              <w:right w:val="single" w:sz="4" w:space="0" w:color="969696"/>
            </w:tcBorders>
            <w:shd w:val="clear" w:color="auto" w:fill="auto"/>
            <w:noWrap/>
            <w:vAlign w:val="bottom"/>
            <w:hideMark/>
          </w:tcPr>
          <w:p w14:paraId="3FDAB2CF"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42 </w:t>
            </w:r>
          </w:p>
        </w:tc>
        <w:tc>
          <w:tcPr>
            <w:tcW w:w="891" w:type="dxa"/>
            <w:tcBorders>
              <w:top w:val="nil"/>
              <w:left w:val="nil"/>
              <w:bottom w:val="nil"/>
              <w:right w:val="single" w:sz="4" w:space="0" w:color="969696"/>
            </w:tcBorders>
            <w:shd w:val="clear" w:color="auto" w:fill="auto"/>
            <w:noWrap/>
            <w:vAlign w:val="bottom"/>
            <w:hideMark/>
          </w:tcPr>
          <w:p w14:paraId="440A8FA2"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64350AEC"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42 </w:t>
            </w:r>
          </w:p>
        </w:tc>
        <w:tc>
          <w:tcPr>
            <w:tcW w:w="1155" w:type="dxa"/>
            <w:tcBorders>
              <w:top w:val="nil"/>
              <w:left w:val="nil"/>
              <w:bottom w:val="nil"/>
              <w:right w:val="single" w:sz="4" w:space="0" w:color="969696"/>
            </w:tcBorders>
            <w:shd w:val="clear" w:color="auto" w:fill="auto"/>
            <w:noWrap/>
            <w:vAlign w:val="bottom"/>
            <w:hideMark/>
          </w:tcPr>
          <w:p w14:paraId="61F0EE1A"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42 </w:t>
            </w:r>
          </w:p>
        </w:tc>
        <w:tc>
          <w:tcPr>
            <w:tcW w:w="1275" w:type="dxa"/>
            <w:tcBorders>
              <w:top w:val="nil"/>
              <w:left w:val="nil"/>
              <w:bottom w:val="nil"/>
              <w:right w:val="single" w:sz="4" w:space="0" w:color="969696"/>
            </w:tcBorders>
            <w:shd w:val="clear" w:color="auto" w:fill="auto"/>
            <w:noWrap/>
            <w:vAlign w:val="bottom"/>
            <w:hideMark/>
          </w:tcPr>
          <w:p w14:paraId="72EB4AA3"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42 </w:t>
            </w:r>
          </w:p>
        </w:tc>
        <w:tc>
          <w:tcPr>
            <w:tcW w:w="1221" w:type="dxa"/>
            <w:tcBorders>
              <w:top w:val="nil"/>
              <w:left w:val="nil"/>
              <w:bottom w:val="nil"/>
              <w:right w:val="single" w:sz="4" w:space="0" w:color="auto"/>
            </w:tcBorders>
            <w:shd w:val="clear" w:color="auto" w:fill="auto"/>
            <w:noWrap/>
            <w:vAlign w:val="bottom"/>
            <w:hideMark/>
          </w:tcPr>
          <w:p w14:paraId="479B3E55"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42 </w:t>
            </w:r>
          </w:p>
        </w:tc>
      </w:tr>
      <w:tr w:rsidR="0090360E" w:rsidRPr="0090360E" w14:paraId="518F6D53"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598977AF"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Pensionados y Jubilados</w:t>
            </w:r>
          </w:p>
        </w:tc>
        <w:tc>
          <w:tcPr>
            <w:tcW w:w="1221" w:type="dxa"/>
            <w:tcBorders>
              <w:top w:val="nil"/>
              <w:left w:val="single" w:sz="4" w:space="0" w:color="969696"/>
              <w:bottom w:val="nil"/>
              <w:right w:val="single" w:sz="4" w:space="0" w:color="969696"/>
            </w:tcBorders>
            <w:shd w:val="clear" w:color="auto" w:fill="auto"/>
            <w:noWrap/>
            <w:vAlign w:val="bottom"/>
            <w:hideMark/>
          </w:tcPr>
          <w:p w14:paraId="09C15C5B"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603 </w:t>
            </w:r>
          </w:p>
        </w:tc>
        <w:tc>
          <w:tcPr>
            <w:tcW w:w="891" w:type="dxa"/>
            <w:tcBorders>
              <w:top w:val="nil"/>
              <w:left w:val="nil"/>
              <w:bottom w:val="nil"/>
              <w:right w:val="single" w:sz="4" w:space="0" w:color="969696"/>
            </w:tcBorders>
            <w:shd w:val="clear" w:color="auto" w:fill="auto"/>
            <w:noWrap/>
            <w:vAlign w:val="bottom"/>
            <w:hideMark/>
          </w:tcPr>
          <w:p w14:paraId="5A00B220"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67BE4FC3"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27 </w:t>
            </w:r>
          </w:p>
        </w:tc>
        <w:tc>
          <w:tcPr>
            <w:tcW w:w="1155" w:type="dxa"/>
            <w:tcBorders>
              <w:top w:val="nil"/>
              <w:left w:val="nil"/>
              <w:bottom w:val="nil"/>
              <w:right w:val="single" w:sz="4" w:space="0" w:color="969696"/>
            </w:tcBorders>
            <w:shd w:val="clear" w:color="auto" w:fill="auto"/>
            <w:noWrap/>
            <w:vAlign w:val="bottom"/>
            <w:hideMark/>
          </w:tcPr>
          <w:p w14:paraId="0B06D963"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242 </w:t>
            </w:r>
          </w:p>
        </w:tc>
        <w:tc>
          <w:tcPr>
            <w:tcW w:w="1275" w:type="dxa"/>
            <w:tcBorders>
              <w:top w:val="nil"/>
              <w:left w:val="nil"/>
              <w:bottom w:val="nil"/>
              <w:right w:val="single" w:sz="4" w:space="0" w:color="969696"/>
            </w:tcBorders>
            <w:shd w:val="clear" w:color="auto" w:fill="auto"/>
            <w:noWrap/>
            <w:vAlign w:val="bottom"/>
            <w:hideMark/>
          </w:tcPr>
          <w:p w14:paraId="20CE73DF"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0 </w:t>
            </w:r>
          </w:p>
        </w:tc>
        <w:tc>
          <w:tcPr>
            <w:tcW w:w="1221" w:type="dxa"/>
            <w:tcBorders>
              <w:top w:val="nil"/>
              <w:left w:val="nil"/>
              <w:bottom w:val="nil"/>
              <w:right w:val="single" w:sz="4" w:space="0" w:color="auto"/>
            </w:tcBorders>
            <w:shd w:val="clear" w:color="auto" w:fill="auto"/>
            <w:noWrap/>
            <w:vAlign w:val="bottom"/>
            <w:hideMark/>
          </w:tcPr>
          <w:p w14:paraId="2B4001BD"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872 </w:t>
            </w:r>
          </w:p>
        </w:tc>
      </w:tr>
      <w:tr w:rsidR="0090360E" w:rsidRPr="0090360E" w14:paraId="5A62B9F0"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0661F5CD"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Edad máxima</w:t>
            </w:r>
          </w:p>
        </w:tc>
        <w:tc>
          <w:tcPr>
            <w:tcW w:w="1221" w:type="dxa"/>
            <w:tcBorders>
              <w:top w:val="nil"/>
              <w:left w:val="single" w:sz="4" w:space="0" w:color="969696"/>
              <w:bottom w:val="nil"/>
              <w:right w:val="single" w:sz="4" w:space="0" w:color="969696"/>
            </w:tcBorders>
            <w:shd w:val="clear" w:color="auto" w:fill="auto"/>
            <w:noWrap/>
            <w:vAlign w:val="bottom"/>
            <w:hideMark/>
          </w:tcPr>
          <w:p w14:paraId="771F7B7B"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89 </w:t>
            </w:r>
          </w:p>
        </w:tc>
        <w:tc>
          <w:tcPr>
            <w:tcW w:w="891" w:type="dxa"/>
            <w:tcBorders>
              <w:top w:val="nil"/>
              <w:left w:val="nil"/>
              <w:bottom w:val="nil"/>
              <w:right w:val="single" w:sz="4" w:space="0" w:color="969696"/>
            </w:tcBorders>
            <w:shd w:val="clear" w:color="auto" w:fill="auto"/>
            <w:noWrap/>
            <w:vAlign w:val="bottom"/>
            <w:hideMark/>
          </w:tcPr>
          <w:p w14:paraId="0DD11EDD"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2A99BD75"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94 </w:t>
            </w:r>
          </w:p>
        </w:tc>
        <w:tc>
          <w:tcPr>
            <w:tcW w:w="1155" w:type="dxa"/>
            <w:tcBorders>
              <w:top w:val="nil"/>
              <w:left w:val="nil"/>
              <w:bottom w:val="nil"/>
              <w:right w:val="single" w:sz="4" w:space="0" w:color="969696"/>
            </w:tcBorders>
            <w:shd w:val="clear" w:color="auto" w:fill="auto"/>
            <w:noWrap/>
            <w:vAlign w:val="bottom"/>
            <w:hideMark/>
          </w:tcPr>
          <w:p w14:paraId="6705FBAE"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70 </w:t>
            </w:r>
          </w:p>
        </w:tc>
        <w:tc>
          <w:tcPr>
            <w:tcW w:w="1275" w:type="dxa"/>
            <w:tcBorders>
              <w:top w:val="nil"/>
              <w:left w:val="nil"/>
              <w:bottom w:val="nil"/>
              <w:right w:val="single" w:sz="4" w:space="0" w:color="969696"/>
            </w:tcBorders>
            <w:shd w:val="clear" w:color="auto" w:fill="auto"/>
            <w:noWrap/>
            <w:vAlign w:val="bottom"/>
            <w:hideMark/>
          </w:tcPr>
          <w:p w14:paraId="6B953BAB"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0 </w:t>
            </w:r>
          </w:p>
        </w:tc>
        <w:tc>
          <w:tcPr>
            <w:tcW w:w="1221" w:type="dxa"/>
            <w:tcBorders>
              <w:top w:val="nil"/>
              <w:left w:val="nil"/>
              <w:bottom w:val="nil"/>
              <w:right w:val="single" w:sz="4" w:space="0" w:color="auto"/>
            </w:tcBorders>
            <w:shd w:val="clear" w:color="auto" w:fill="auto"/>
            <w:noWrap/>
            <w:vAlign w:val="bottom"/>
            <w:hideMark/>
          </w:tcPr>
          <w:p w14:paraId="571EF9D1"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94 </w:t>
            </w:r>
          </w:p>
        </w:tc>
      </w:tr>
      <w:tr w:rsidR="0090360E" w:rsidRPr="0090360E" w14:paraId="17C8DBC3"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1884256D"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Edad mínima</w:t>
            </w:r>
          </w:p>
        </w:tc>
        <w:tc>
          <w:tcPr>
            <w:tcW w:w="1221" w:type="dxa"/>
            <w:tcBorders>
              <w:top w:val="nil"/>
              <w:left w:val="single" w:sz="4" w:space="0" w:color="969696"/>
              <w:bottom w:val="nil"/>
              <w:right w:val="single" w:sz="4" w:space="0" w:color="969696"/>
            </w:tcBorders>
            <w:shd w:val="clear" w:color="auto" w:fill="auto"/>
            <w:noWrap/>
            <w:vAlign w:val="bottom"/>
            <w:hideMark/>
          </w:tcPr>
          <w:p w14:paraId="209C7608"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4 </w:t>
            </w:r>
          </w:p>
        </w:tc>
        <w:tc>
          <w:tcPr>
            <w:tcW w:w="891" w:type="dxa"/>
            <w:tcBorders>
              <w:top w:val="nil"/>
              <w:left w:val="nil"/>
              <w:bottom w:val="nil"/>
              <w:right w:val="single" w:sz="4" w:space="0" w:color="969696"/>
            </w:tcBorders>
            <w:shd w:val="clear" w:color="auto" w:fill="auto"/>
            <w:noWrap/>
            <w:vAlign w:val="bottom"/>
            <w:hideMark/>
          </w:tcPr>
          <w:p w14:paraId="2D68C38F"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272316B3"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29 </w:t>
            </w:r>
          </w:p>
        </w:tc>
        <w:tc>
          <w:tcPr>
            <w:tcW w:w="1155" w:type="dxa"/>
            <w:tcBorders>
              <w:top w:val="nil"/>
              <w:left w:val="nil"/>
              <w:bottom w:val="nil"/>
              <w:right w:val="single" w:sz="4" w:space="0" w:color="969696"/>
            </w:tcBorders>
            <w:shd w:val="clear" w:color="auto" w:fill="auto"/>
            <w:noWrap/>
            <w:vAlign w:val="bottom"/>
            <w:hideMark/>
          </w:tcPr>
          <w:p w14:paraId="082A8B07"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23 </w:t>
            </w:r>
          </w:p>
        </w:tc>
        <w:tc>
          <w:tcPr>
            <w:tcW w:w="1275" w:type="dxa"/>
            <w:tcBorders>
              <w:top w:val="nil"/>
              <w:left w:val="nil"/>
              <w:bottom w:val="nil"/>
              <w:right w:val="single" w:sz="4" w:space="0" w:color="969696"/>
            </w:tcBorders>
            <w:shd w:val="clear" w:color="auto" w:fill="auto"/>
            <w:noWrap/>
            <w:vAlign w:val="bottom"/>
            <w:hideMark/>
          </w:tcPr>
          <w:p w14:paraId="63242F48"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0 </w:t>
            </w:r>
          </w:p>
        </w:tc>
        <w:tc>
          <w:tcPr>
            <w:tcW w:w="1221" w:type="dxa"/>
            <w:tcBorders>
              <w:top w:val="nil"/>
              <w:left w:val="nil"/>
              <w:bottom w:val="nil"/>
              <w:right w:val="single" w:sz="4" w:space="0" w:color="auto"/>
            </w:tcBorders>
            <w:shd w:val="clear" w:color="auto" w:fill="auto"/>
            <w:noWrap/>
            <w:vAlign w:val="bottom"/>
            <w:hideMark/>
          </w:tcPr>
          <w:p w14:paraId="7E36CFA5"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4 </w:t>
            </w:r>
          </w:p>
        </w:tc>
      </w:tr>
      <w:tr w:rsidR="0090360E" w:rsidRPr="0090360E" w14:paraId="0F414C44"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0FA39432"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Edad promedio</w:t>
            </w:r>
          </w:p>
        </w:tc>
        <w:tc>
          <w:tcPr>
            <w:tcW w:w="1221" w:type="dxa"/>
            <w:tcBorders>
              <w:top w:val="nil"/>
              <w:left w:val="single" w:sz="4" w:space="0" w:color="969696"/>
              <w:bottom w:val="nil"/>
              <w:right w:val="single" w:sz="4" w:space="0" w:color="969696"/>
            </w:tcBorders>
            <w:shd w:val="clear" w:color="auto" w:fill="auto"/>
            <w:noWrap/>
            <w:vAlign w:val="bottom"/>
            <w:hideMark/>
          </w:tcPr>
          <w:p w14:paraId="1178F92A"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54 </w:t>
            </w:r>
          </w:p>
        </w:tc>
        <w:tc>
          <w:tcPr>
            <w:tcW w:w="891" w:type="dxa"/>
            <w:tcBorders>
              <w:top w:val="nil"/>
              <w:left w:val="nil"/>
              <w:bottom w:val="nil"/>
              <w:right w:val="single" w:sz="4" w:space="0" w:color="969696"/>
            </w:tcBorders>
            <w:shd w:val="clear" w:color="auto" w:fill="auto"/>
            <w:noWrap/>
            <w:vAlign w:val="bottom"/>
            <w:hideMark/>
          </w:tcPr>
          <w:p w14:paraId="68FB802B"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1370EF81"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62 </w:t>
            </w:r>
          </w:p>
        </w:tc>
        <w:tc>
          <w:tcPr>
            <w:tcW w:w="1155" w:type="dxa"/>
            <w:tcBorders>
              <w:top w:val="nil"/>
              <w:left w:val="nil"/>
              <w:bottom w:val="nil"/>
              <w:right w:val="single" w:sz="4" w:space="0" w:color="969696"/>
            </w:tcBorders>
            <w:shd w:val="clear" w:color="auto" w:fill="auto"/>
            <w:noWrap/>
            <w:vAlign w:val="bottom"/>
            <w:hideMark/>
          </w:tcPr>
          <w:p w14:paraId="6EA0E155"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50 </w:t>
            </w:r>
          </w:p>
        </w:tc>
        <w:tc>
          <w:tcPr>
            <w:tcW w:w="1275" w:type="dxa"/>
            <w:tcBorders>
              <w:top w:val="nil"/>
              <w:left w:val="nil"/>
              <w:bottom w:val="nil"/>
              <w:right w:val="single" w:sz="4" w:space="0" w:color="969696"/>
            </w:tcBorders>
            <w:shd w:val="clear" w:color="auto" w:fill="auto"/>
            <w:noWrap/>
            <w:vAlign w:val="bottom"/>
            <w:hideMark/>
          </w:tcPr>
          <w:p w14:paraId="2CF15FEF"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0 </w:t>
            </w:r>
          </w:p>
        </w:tc>
        <w:tc>
          <w:tcPr>
            <w:tcW w:w="1221" w:type="dxa"/>
            <w:tcBorders>
              <w:top w:val="nil"/>
              <w:left w:val="nil"/>
              <w:bottom w:val="nil"/>
              <w:right w:val="single" w:sz="4" w:space="0" w:color="auto"/>
            </w:tcBorders>
            <w:shd w:val="clear" w:color="auto" w:fill="auto"/>
            <w:noWrap/>
            <w:vAlign w:val="bottom"/>
            <w:hideMark/>
          </w:tcPr>
          <w:p w14:paraId="42FA1696"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53 </w:t>
            </w:r>
          </w:p>
        </w:tc>
      </w:tr>
      <w:tr w:rsidR="0090360E" w:rsidRPr="0090360E" w14:paraId="5F582EA9"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57178306"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Beneficiarios</w:t>
            </w:r>
          </w:p>
        </w:tc>
        <w:tc>
          <w:tcPr>
            <w:tcW w:w="1221" w:type="dxa"/>
            <w:tcBorders>
              <w:top w:val="nil"/>
              <w:left w:val="single" w:sz="4" w:space="0" w:color="969696"/>
              <w:bottom w:val="nil"/>
              <w:right w:val="single" w:sz="4" w:space="0" w:color="969696"/>
            </w:tcBorders>
            <w:shd w:val="clear" w:color="auto" w:fill="auto"/>
            <w:noWrap/>
            <w:vAlign w:val="bottom"/>
            <w:hideMark/>
          </w:tcPr>
          <w:p w14:paraId="3C0A7178"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891" w:type="dxa"/>
            <w:tcBorders>
              <w:top w:val="nil"/>
              <w:left w:val="nil"/>
              <w:bottom w:val="nil"/>
              <w:right w:val="single" w:sz="4" w:space="0" w:color="969696"/>
            </w:tcBorders>
            <w:shd w:val="clear" w:color="auto" w:fill="auto"/>
            <w:noWrap/>
            <w:vAlign w:val="bottom"/>
            <w:hideMark/>
          </w:tcPr>
          <w:p w14:paraId="77AFDED5"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31049434"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17B66E6D"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4CB715C7"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26CB4664"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r>
      <w:tr w:rsidR="0090360E" w:rsidRPr="0090360E" w14:paraId="7C8022DB"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5502FC69"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Promedio de años de servicio (trabajadores activos)</w:t>
            </w:r>
          </w:p>
        </w:tc>
        <w:tc>
          <w:tcPr>
            <w:tcW w:w="1221" w:type="dxa"/>
            <w:tcBorders>
              <w:top w:val="nil"/>
              <w:left w:val="single" w:sz="4" w:space="0" w:color="969696"/>
              <w:bottom w:val="nil"/>
              <w:right w:val="single" w:sz="4" w:space="0" w:color="969696"/>
            </w:tcBorders>
            <w:shd w:val="clear" w:color="auto" w:fill="auto"/>
            <w:noWrap/>
            <w:vAlign w:val="bottom"/>
            <w:hideMark/>
          </w:tcPr>
          <w:p w14:paraId="6E9A1B03"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11.17 </w:t>
            </w:r>
          </w:p>
        </w:tc>
        <w:tc>
          <w:tcPr>
            <w:tcW w:w="891" w:type="dxa"/>
            <w:tcBorders>
              <w:top w:val="nil"/>
              <w:left w:val="nil"/>
              <w:bottom w:val="nil"/>
              <w:right w:val="single" w:sz="4" w:space="0" w:color="969696"/>
            </w:tcBorders>
            <w:shd w:val="clear" w:color="auto" w:fill="auto"/>
            <w:noWrap/>
            <w:vAlign w:val="bottom"/>
            <w:hideMark/>
          </w:tcPr>
          <w:p w14:paraId="290B3E3F"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2F5FCFFA"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11.17 </w:t>
            </w:r>
          </w:p>
        </w:tc>
        <w:tc>
          <w:tcPr>
            <w:tcW w:w="1155" w:type="dxa"/>
            <w:tcBorders>
              <w:top w:val="nil"/>
              <w:left w:val="nil"/>
              <w:bottom w:val="nil"/>
              <w:right w:val="single" w:sz="4" w:space="0" w:color="969696"/>
            </w:tcBorders>
            <w:shd w:val="clear" w:color="auto" w:fill="auto"/>
            <w:noWrap/>
            <w:vAlign w:val="bottom"/>
            <w:hideMark/>
          </w:tcPr>
          <w:p w14:paraId="09BA828A"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11.17 </w:t>
            </w:r>
          </w:p>
        </w:tc>
        <w:tc>
          <w:tcPr>
            <w:tcW w:w="1275" w:type="dxa"/>
            <w:tcBorders>
              <w:top w:val="nil"/>
              <w:left w:val="nil"/>
              <w:bottom w:val="nil"/>
              <w:right w:val="single" w:sz="4" w:space="0" w:color="969696"/>
            </w:tcBorders>
            <w:shd w:val="clear" w:color="auto" w:fill="auto"/>
            <w:noWrap/>
            <w:vAlign w:val="bottom"/>
            <w:hideMark/>
          </w:tcPr>
          <w:p w14:paraId="532E9E01"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11.17 </w:t>
            </w:r>
          </w:p>
        </w:tc>
        <w:tc>
          <w:tcPr>
            <w:tcW w:w="1221" w:type="dxa"/>
            <w:tcBorders>
              <w:top w:val="nil"/>
              <w:left w:val="nil"/>
              <w:bottom w:val="nil"/>
              <w:right w:val="single" w:sz="4" w:space="0" w:color="auto"/>
            </w:tcBorders>
            <w:shd w:val="clear" w:color="auto" w:fill="auto"/>
            <w:noWrap/>
            <w:vAlign w:val="bottom"/>
            <w:hideMark/>
          </w:tcPr>
          <w:p w14:paraId="3E707D35"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11.17 </w:t>
            </w:r>
          </w:p>
        </w:tc>
      </w:tr>
      <w:tr w:rsidR="0090360E" w:rsidRPr="0090360E" w14:paraId="14C300C2"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5AC62C22"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Aportación individual al plan de pensión como % del salario</w:t>
            </w:r>
          </w:p>
        </w:tc>
        <w:tc>
          <w:tcPr>
            <w:tcW w:w="1221" w:type="dxa"/>
            <w:tcBorders>
              <w:top w:val="nil"/>
              <w:left w:val="single" w:sz="4" w:space="0" w:color="969696"/>
              <w:bottom w:val="nil"/>
              <w:right w:val="single" w:sz="4" w:space="0" w:color="969696"/>
            </w:tcBorders>
            <w:shd w:val="clear" w:color="auto" w:fill="auto"/>
            <w:vAlign w:val="bottom"/>
            <w:hideMark/>
          </w:tcPr>
          <w:p w14:paraId="7F9808DD"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0.00%</w:t>
            </w:r>
          </w:p>
        </w:tc>
        <w:tc>
          <w:tcPr>
            <w:tcW w:w="891" w:type="dxa"/>
            <w:tcBorders>
              <w:top w:val="nil"/>
              <w:left w:val="nil"/>
              <w:bottom w:val="nil"/>
              <w:right w:val="single" w:sz="4" w:space="0" w:color="969696"/>
            </w:tcBorders>
            <w:shd w:val="clear" w:color="auto" w:fill="auto"/>
            <w:noWrap/>
            <w:vAlign w:val="bottom"/>
            <w:hideMark/>
          </w:tcPr>
          <w:p w14:paraId="0698F170"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vAlign w:val="bottom"/>
            <w:hideMark/>
          </w:tcPr>
          <w:p w14:paraId="3472FF93"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0.00%</w:t>
            </w:r>
          </w:p>
        </w:tc>
        <w:tc>
          <w:tcPr>
            <w:tcW w:w="1155" w:type="dxa"/>
            <w:tcBorders>
              <w:top w:val="nil"/>
              <w:left w:val="nil"/>
              <w:bottom w:val="nil"/>
              <w:right w:val="single" w:sz="4" w:space="0" w:color="969696"/>
            </w:tcBorders>
            <w:shd w:val="clear" w:color="auto" w:fill="auto"/>
            <w:vAlign w:val="bottom"/>
            <w:hideMark/>
          </w:tcPr>
          <w:p w14:paraId="3AC3727C"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0.00%</w:t>
            </w:r>
          </w:p>
        </w:tc>
        <w:tc>
          <w:tcPr>
            <w:tcW w:w="1275" w:type="dxa"/>
            <w:tcBorders>
              <w:top w:val="nil"/>
              <w:left w:val="nil"/>
              <w:bottom w:val="nil"/>
              <w:right w:val="single" w:sz="4" w:space="0" w:color="969696"/>
            </w:tcBorders>
            <w:shd w:val="clear" w:color="auto" w:fill="auto"/>
            <w:vAlign w:val="bottom"/>
            <w:hideMark/>
          </w:tcPr>
          <w:p w14:paraId="770BCED8"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0.00%</w:t>
            </w:r>
          </w:p>
        </w:tc>
        <w:tc>
          <w:tcPr>
            <w:tcW w:w="1221" w:type="dxa"/>
            <w:tcBorders>
              <w:top w:val="nil"/>
              <w:left w:val="nil"/>
              <w:bottom w:val="nil"/>
              <w:right w:val="single" w:sz="4" w:space="0" w:color="auto"/>
            </w:tcBorders>
            <w:shd w:val="clear" w:color="auto" w:fill="auto"/>
            <w:vAlign w:val="center"/>
            <w:hideMark/>
          </w:tcPr>
          <w:p w14:paraId="1B0B1F78" w14:textId="77777777" w:rsidR="0090360E" w:rsidRPr="0090360E" w:rsidRDefault="0090360E" w:rsidP="0090360E">
            <w:pPr>
              <w:jc w:val="right"/>
              <w:rPr>
                <w:rFonts w:eastAsia="Times New Roman" w:cs="Arial"/>
                <w:sz w:val="12"/>
                <w:szCs w:val="12"/>
              </w:rPr>
            </w:pPr>
            <w:r w:rsidRPr="0090360E">
              <w:rPr>
                <w:rFonts w:eastAsia="Times New Roman" w:cs="Arial"/>
                <w:sz w:val="12"/>
                <w:szCs w:val="12"/>
              </w:rPr>
              <w:t> </w:t>
            </w:r>
          </w:p>
        </w:tc>
      </w:tr>
      <w:tr w:rsidR="0090360E" w:rsidRPr="0090360E" w14:paraId="79927265"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1800D4DE"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Aportación del ente público al plan de pensión como % del salario</w:t>
            </w:r>
          </w:p>
        </w:tc>
        <w:tc>
          <w:tcPr>
            <w:tcW w:w="1221" w:type="dxa"/>
            <w:tcBorders>
              <w:top w:val="nil"/>
              <w:left w:val="single" w:sz="4" w:space="0" w:color="969696"/>
              <w:bottom w:val="nil"/>
              <w:right w:val="single" w:sz="4" w:space="0" w:color="969696"/>
            </w:tcBorders>
            <w:shd w:val="clear" w:color="auto" w:fill="auto"/>
            <w:vAlign w:val="bottom"/>
            <w:hideMark/>
          </w:tcPr>
          <w:p w14:paraId="72F2F993"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0.00%</w:t>
            </w:r>
          </w:p>
        </w:tc>
        <w:tc>
          <w:tcPr>
            <w:tcW w:w="891" w:type="dxa"/>
            <w:tcBorders>
              <w:top w:val="nil"/>
              <w:left w:val="nil"/>
              <w:bottom w:val="nil"/>
              <w:right w:val="single" w:sz="4" w:space="0" w:color="969696"/>
            </w:tcBorders>
            <w:shd w:val="clear" w:color="auto" w:fill="auto"/>
            <w:noWrap/>
            <w:vAlign w:val="bottom"/>
            <w:hideMark/>
          </w:tcPr>
          <w:p w14:paraId="6E5D6DB1"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vAlign w:val="bottom"/>
            <w:hideMark/>
          </w:tcPr>
          <w:p w14:paraId="114611B8"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0.00%</w:t>
            </w:r>
          </w:p>
        </w:tc>
        <w:tc>
          <w:tcPr>
            <w:tcW w:w="1155" w:type="dxa"/>
            <w:tcBorders>
              <w:top w:val="nil"/>
              <w:left w:val="nil"/>
              <w:bottom w:val="nil"/>
              <w:right w:val="single" w:sz="4" w:space="0" w:color="969696"/>
            </w:tcBorders>
            <w:shd w:val="clear" w:color="auto" w:fill="auto"/>
            <w:vAlign w:val="bottom"/>
            <w:hideMark/>
          </w:tcPr>
          <w:p w14:paraId="48228168"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0.00%</w:t>
            </w:r>
          </w:p>
        </w:tc>
        <w:tc>
          <w:tcPr>
            <w:tcW w:w="1275" w:type="dxa"/>
            <w:tcBorders>
              <w:top w:val="nil"/>
              <w:left w:val="nil"/>
              <w:bottom w:val="nil"/>
              <w:right w:val="single" w:sz="4" w:space="0" w:color="969696"/>
            </w:tcBorders>
            <w:shd w:val="clear" w:color="auto" w:fill="auto"/>
            <w:vAlign w:val="bottom"/>
            <w:hideMark/>
          </w:tcPr>
          <w:p w14:paraId="6ECB4A25"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0.00%</w:t>
            </w:r>
          </w:p>
        </w:tc>
        <w:tc>
          <w:tcPr>
            <w:tcW w:w="1221" w:type="dxa"/>
            <w:tcBorders>
              <w:top w:val="nil"/>
              <w:left w:val="nil"/>
              <w:bottom w:val="nil"/>
              <w:right w:val="single" w:sz="4" w:space="0" w:color="auto"/>
            </w:tcBorders>
            <w:shd w:val="clear" w:color="auto" w:fill="auto"/>
            <w:vAlign w:val="center"/>
            <w:hideMark/>
          </w:tcPr>
          <w:p w14:paraId="07E865B4" w14:textId="77777777" w:rsidR="0090360E" w:rsidRPr="0090360E" w:rsidRDefault="0090360E" w:rsidP="0090360E">
            <w:pPr>
              <w:jc w:val="right"/>
              <w:rPr>
                <w:rFonts w:eastAsia="Times New Roman" w:cs="Arial"/>
                <w:sz w:val="12"/>
                <w:szCs w:val="12"/>
              </w:rPr>
            </w:pPr>
            <w:r w:rsidRPr="0090360E">
              <w:rPr>
                <w:rFonts w:eastAsia="Times New Roman" w:cs="Arial"/>
                <w:sz w:val="12"/>
                <w:szCs w:val="12"/>
              </w:rPr>
              <w:t> </w:t>
            </w:r>
          </w:p>
        </w:tc>
      </w:tr>
      <w:tr w:rsidR="0090360E" w:rsidRPr="0090360E" w14:paraId="6CC957ED"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023B7BE4"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Crecimiento esperado de los pensionados y jubilados (como %)</w:t>
            </w:r>
          </w:p>
        </w:tc>
        <w:tc>
          <w:tcPr>
            <w:tcW w:w="1221" w:type="dxa"/>
            <w:tcBorders>
              <w:top w:val="nil"/>
              <w:left w:val="single" w:sz="4" w:space="0" w:color="969696"/>
              <w:bottom w:val="nil"/>
              <w:right w:val="single" w:sz="4" w:space="0" w:color="969696"/>
            </w:tcBorders>
            <w:shd w:val="clear" w:color="auto" w:fill="auto"/>
            <w:noWrap/>
            <w:vAlign w:val="bottom"/>
            <w:hideMark/>
          </w:tcPr>
          <w:p w14:paraId="3F0C7C38"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20.17%</w:t>
            </w:r>
          </w:p>
        </w:tc>
        <w:tc>
          <w:tcPr>
            <w:tcW w:w="891" w:type="dxa"/>
            <w:tcBorders>
              <w:top w:val="nil"/>
              <w:left w:val="nil"/>
              <w:bottom w:val="nil"/>
              <w:right w:val="single" w:sz="4" w:space="0" w:color="969696"/>
            </w:tcBorders>
            <w:shd w:val="clear" w:color="auto" w:fill="auto"/>
            <w:noWrap/>
            <w:vAlign w:val="bottom"/>
            <w:hideMark/>
          </w:tcPr>
          <w:p w14:paraId="5D06587F"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577DDD0C"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30.89%</w:t>
            </w:r>
          </w:p>
        </w:tc>
        <w:tc>
          <w:tcPr>
            <w:tcW w:w="1155" w:type="dxa"/>
            <w:tcBorders>
              <w:top w:val="nil"/>
              <w:left w:val="nil"/>
              <w:bottom w:val="nil"/>
              <w:right w:val="single" w:sz="4" w:space="0" w:color="969696"/>
            </w:tcBorders>
            <w:shd w:val="clear" w:color="auto" w:fill="auto"/>
            <w:noWrap/>
            <w:vAlign w:val="bottom"/>
            <w:hideMark/>
          </w:tcPr>
          <w:p w14:paraId="1295F831"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9.24%</w:t>
            </w:r>
          </w:p>
        </w:tc>
        <w:tc>
          <w:tcPr>
            <w:tcW w:w="1275" w:type="dxa"/>
            <w:tcBorders>
              <w:top w:val="nil"/>
              <w:left w:val="nil"/>
              <w:bottom w:val="nil"/>
              <w:right w:val="single" w:sz="4" w:space="0" w:color="969696"/>
            </w:tcBorders>
            <w:shd w:val="clear" w:color="auto" w:fill="auto"/>
            <w:noWrap/>
            <w:vAlign w:val="bottom"/>
            <w:hideMark/>
          </w:tcPr>
          <w:p w14:paraId="1E5F39AF"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NA</w:t>
            </w:r>
          </w:p>
        </w:tc>
        <w:tc>
          <w:tcPr>
            <w:tcW w:w="1221" w:type="dxa"/>
            <w:tcBorders>
              <w:top w:val="nil"/>
              <w:left w:val="nil"/>
              <w:bottom w:val="nil"/>
              <w:right w:val="single" w:sz="4" w:space="0" w:color="auto"/>
            </w:tcBorders>
            <w:shd w:val="clear" w:color="auto" w:fill="auto"/>
            <w:noWrap/>
            <w:vAlign w:val="bottom"/>
            <w:hideMark/>
          </w:tcPr>
          <w:p w14:paraId="4634A5CC"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16.91%</w:t>
            </w:r>
          </w:p>
        </w:tc>
      </w:tr>
      <w:tr w:rsidR="0090360E" w:rsidRPr="0090360E" w14:paraId="0A3D233C"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033F109E"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Crecimiento esperado de los activos (como %)</w:t>
            </w:r>
          </w:p>
        </w:tc>
        <w:tc>
          <w:tcPr>
            <w:tcW w:w="1221" w:type="dxa"/>
            <w:tcBorders>
              <w:top w:val="nil"/>
              <w:left w:val="single" w:sz="4" w:space="0" w:color="969696"/>
              <w:bottom w:val="nil"/>
              <w:right w:val="single" w:sz="4" w:space="0" w:color="969696"/>
            </w:tcBorders>
            <w:shd w:val="clear" w:color="auto" w:fill="auto"/>
            <w:noWrap/>
            <w:vAlign w:val="bottom"/>
            <w:hideMark/>
          </w:tcPr>
          <w:p w14:paraId="256D3812"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1.0061%</w:t>
            </w:r>
          </w:p>
        </w:tc>
        <w:tc>
          <w:tcPr>
            <w:tcW w:w="891" w:type="dxa"/>
            <w:tcBorders>
              <w:top w:val="nil"/>
              <w:left w:val="nil"/>
              <w:bottom w:val="nil"/>
              <w:right w:val="single" w:sz="4" w:space="0" w:color="969696"/>
            </w:tcBorders>
            <w:shd w:val="clear" w:color="auto" w:fill="auto"/>
            <w:noWrap/>
            <w:vAlign w:val="bottom"/>
            <w:hideMark/>
          </w:tcPr>
          <w:p w14:paraId="6A0CC6A2"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072D1942"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1.0061%</w:t>
            </w:r>
          </w:p>
        </w:tc>
        <w:tc>
          <w:tcPr>
            <w:tcW w:w="1155" w:type="dxa"/>
            <w:tcBorders>
              <w:top w:val="nil"/>
              <w:left w:val="nil"/>
              <w:bottom w:val="nil"/>
              <w:right w:val="single" w:sz="4" w:space="0" w:color="969696"/>
            </w:tcBorders>
            <w:shd w:val="clear" w:color="auto" w:fill="auto"/>
            <w:noWrap/>
            <w:vAlign w:val="bottom"/>
            <w:hideMark/>
          </w:tcPr>
          <w:p w14:paraId="682EBBBC"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1.0061%</w:t>
            </w:r>
          </w:p>
        </w:tc>
        <w:tc>
          <w:tcPr>
            <w:tcW w:w="1275" w:type="dxa"/>
            <w:tcBorders>
              <w:top w:val="nil"/>
              <w:left w:val="nil"/>
              <w:bottom w:val="nil"/>
              <w:right w:val="single" w:sz="4" w:space="0" w:color="969696"/>
            </w:tcBorders>
            <w:shd w:val="clear" w:color="auto" w:fill="auto"/>
            <w:noWrap/>
            <w:vAlign w:val="bottom"/>
            <w:hideMark/>
          </w:tcPr>
          <w:p w14:paraId="63E5156E"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1.0061%</w:t>
            </w:r>
          </w:p>
        </w:tc>
        <w:tc>
          <w:tcPr>
            <w:tcW w:w="1221" w:type="dxa"/>
            <w:tcBorders>
              <w:top w:val="nil"/>
              <w:left w:val="nil"/>
              <w:bottom w:val="nil"/>
              <w:right w:val="single" w:sz="4" w:space="0" w:color="auto"/>
            </w:tcBorders>
            <w:shd w:val="clear" w:color="auto" w:fill="auto"/>
            <w:noWrap/>
            <w:vAlign w:val="bottom"/>
            <w:hideMark/>
          </w:tcPr>
          <w:p w14:paraId="6673F9A5"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1.0061%</w:t>
            </w:r>
          </w:p>
        </w:tc>
      </w:tr>
      <w:tr w:rsidR="0090360E" w:rsidRPr="0090360E" w14:paraId="4217C035"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667D64AD"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Edad de Jubilación o Pensión</w:t>
            </w:r>
          </w:p>
        </w:tc>
        <w:tc>
          <w:tcPr>
            <w:tcW w:w="1221" w:type="dxa"/>
            <w:tcBorders>
              <w:top w:val="nil"/>
              <w:left w:val="single" w:sz="4" w:space="0" w:color="969696"/>
              <w:bottom w:val="nil"/>
              <w:right w:val="single" w:sz="4" w:space="0" w:color="969696"/>
            </w:tcBorders>
            <w:shd w:val="clear" w:color="auto" w:fill="auto"/>
            <w:noWrap/>
            <w:vAlign w:val="bottom"/>
            <w:hideMark/>
          </w:tcPr>
          <w:p w14:paraId="738C1D4E"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15.11 </w:t>
            </w:r>
          </w:p>
        </w:tc>
        <w:tc>
          <w:tcPr>
            <w:tcW w:w="891" w:type="dxa"/>
            <w:tcBorders>
              <w:top w:val="nil"/>
              <w:left w:val="nil"/>
              <w:bottom w:val="nil"/>
              <w:right w:val="single" w:sz="4" w:space="0" w:color="969696"/>
            </w:tcBorders>
            <w:shd w:val="clear" w:color="auto" w:fill="auto"/>
            <w:noWrap/>
            <w:vAlign w:val="bottom"/>
            <w:hideMark/>
          </w:tcPr>
          <w:p w14:paraId="614D3F15"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6B79EB4F"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15.00 </w:t>
            </w:r>
          </w:p>
        </w:tc>
        <w:tc>
          <w:tcPr>
            <w:tcW w:w="1155" w:type="dxa"/>
            <w:tcBorders>
              <w:top w:val="nil"/>
              <w:left w:val="nil"/>
              <w:bottom w:val="nil"/>
              <w:right w:val="single" w:sz="4" w:space="0" w:color="969696"/>
            </w:tcBorders>
            <w:shd w:val="clear" w:color="auto" w:fill="auto"/>
            <w:noWrap/>
            <w:vAlign w:val="bottom"/>
            <w:hideMark/>
          </w:tcPr>
          <w:p w14:paraId="3F451801"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15.27 </w:t>
            </w:r>
          </w:p>
        </w:tc>
        <w:tc>
          <w:tcPr>
            <w:tcW w:w="1275" w:type="dxa"/>
            <w:tcBorders>
              <w:top w:val="nil"/>
              <w:left w:val="nil"/>
              <w:bottom w:val="nil"/>
              <w:right w:val="single" w:sz="4" w:space="0" w:color="969696"/>
            </w:tcBorders>
            <w:shd w:val="clear" w:color="auto" w:fill="auto"/>
            <w:noWrap/>
            <w:vAlign w:val="bottom"/>
            <w:hideMark/>
          </w:tcPr>
          <w:p w14:paraId="58B6C431"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0.00 </w:t>
            </w:r>
          </w:p>
        </w:tc>
        <w:tc>
          <w:tcPr>
            <w:tcW w:w="1221" w:type="dxa"/>
            <w:tcBorders>
              <w:top w:val="nil"/>
              <w:left w:val="nil"/>
              <w:bottom w:val="nil"/>
              <w:right w:val="single" w:sz="4" w:space="0" w:color="auto"/>
            </w:tcBorders>
            <w:shd w:val="clear" w:color="auto" w:fill="auto"/>
            <w:noWrap/>
            <w:vAlign w:val="bottom"/>
            <w:hideMark/>
          </w:tcPr>
          <w:p w14:paraId="76915FDE"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15.15 </w:t>
            </w:r>
          </w:p>
        </w:tc>
      </w:tr>
      <w:tr w:rsidR="0090360E" w:rsidRPr="0090360E" w14:paraId="06758213"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24359523"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Esperanza de vida</w:t>
            </w:r>
          </w:p>
        </w:tc>
        <w:tc>
          <w:tcPr>
            <w:tcW w:w="1221" w:type="dxa"/>
            <w:tcBorders>
              <w:top w:val="nil"/>
              <w:left w:val="single" w:sz="4" w:space="0" w:color="969696"/>
              <w:bottom w:val="nil"/>
              <w:right w:val="single" w:sz="4" w:space="0" w:color="969696"/>
            </w:tcBorders>
            <w:shd w:val="clear" w:color="auto" w:fill="auto"/>
            <w:noWrap/>
            <w:vAlign w:val="bottom"/>
            <w:hideMark/>
          </w:tcPr>
          <w:p w14:paraId="36A71810"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63.00 </w:t>
            </w:r>
          </w:p>
        </w:tc>
        <w:tc>
          <w:tcPr>
            <w:tcW w:w="891" w:type="dxa"/>
            <w:tcBorders>
              <w:top w:val="nil"/>
              <w:left w:val="nil"/>
              <w:bottom w:val="nil"/>
              <w:right w:val="single" w:sz="4" w:space="0" w:color="969696"/>
            </w:tcBorders>
            <w:shd w:val="clear" w:color="auto" w:fill="auto"/>
            <w:noWrap/>
            <w:vAlign w:val="bottom"/>
            <w:hideMark/>
          </w:tcPr>
          <w:p w14:paraId="4352E811"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5E9DAE3D"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63.10 </w:t>
            </w:r>
          </w:p>
        </w:tc>
        <w:tc>
          <w:tcPr>
            <w:tcW w:w="1155" w:type="dxa"/>
            <w:tcBorders>
              <w:top w:val="nil"/>
              <w:left w:val="nil"/>
              <w:bottom w:val="nil"/>
              <w:right w:val="single" w:sz="4" w:space="0" w:color="969696"/>
            </w:tcBorders>
            <w:shd w:val="clear" w:color="auto" w:fill="auto"/>
            <w:noWrap/>
            <w:vAlign w:val="bottom"/>
            <w:hideMark/>
          </w:tcPr>
          <w:p w14:paraId="623240BC"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62.84 </w:t>
            </w:r>
          </w:p>
        </w:tc>
        <w:tc>
          <w:tcPr>
            <w:tcW w:w="1275" w:type="dxa"/>
            <w:tcBorders>
              <w:top w:val="nil"/>
              <w:left w:val="nil"/>
              <w:bottom w:val="nil"/>
              <w:right w:val="single" w:sz="4" w:space="0" w:color="969696"/>
            </w:tcBorders>
            <w:shd w:val="clear" w:color="auto" w:fill="auto"/>
            <w:noWrap/>
            <w:vAlign w:val="bottom"/>
            <w:hideMark/>
          </w:tcPr>
          <w:p w14:paraId="3CEA5FB0"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0.00 </w:t>
            </w:r>
          </w:p>
        </w:tc>
        <w:tc>
          <w:tcPr>
            <w:tcW w:w="1221" w:type="dxa"/>
            <w:tcBorders>
              <w:top w:val="nil"/>
              <w:left w:val="nil"/>
              <w:bottom w:val="nil"/>
              <w:right w:val="single" w:sz="4" w:space="0" w:color="auto"/>
            </w:tcBorders>
            <w:shd w:val="clear" w:color="auto" w:fill="auto"/>
            <w:noWrap/>
            <w:vAlign w:val="bottom"/>
            <w:hideMark/>
          </w:tcPr>
          <w:p w14:paraId="0665B24A"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62.96 </w:t>
            </w:r>
          </w:p>
        </w:tc>
      </w:tr>
      <w:tr w:rsidR="0090360E" w:rsidRPr="0090360E" w14:paraId="1A7AD75D"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650BC76D" w14:textId="77777777" w:rsidR="0090360E" w:rsidRPr="0090360E" w:rsidRDefault="0090360E" w:rsidP="0090360E">
            <w:pPr>
              <w:jc w:val="right"/>
              <w:rPr>
                <w:rFonts w:eastAsia="Times New Roman" w:cs="Arial"/>
                <w:color w:val="000000"/>
                <w:sz w:val="12"/>
                <w:szCs w:val="12"/>
              </w:rPr>
            </w:pPr>
          </w:p>
        </w:tc>
        <w:tc>
          <w:tcPr>
            <w:tcW w:w="1221" w:type="dxa"/>
            <w:tcBorders>
              <w:top w:val="nil"/>
              <w:left w:val="single" w:sz="4" w:space="0" w:color="969696"/>
              <w:bottom w:val="nil"/>
              <w:right w:val="single" w:sz="4" w:space="0" w:color="969696"/>
            </w:tcBorders>
            <w:shd w:val="clear" w:color="auto" w:fill="auto"/>
            <w:noWrap/>
            <w:vAlign w:val="bottom"/>
            <w:hideMark/>
          </w:tcPr>
          <w:p w14:paraId="0FEE871A"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891" w:type="dxa"/>
            <w:tcBorders>
              <w:top w:val="nil"/>
              <w:left w:val="nil"/>
              <w:bottom w:val="nil"/>
              <w:right w:val="single" w:sz="4" w:space="0" w:color="969696"/>
            </w:tcBorders>
            <w:shd w:val="clear" w:color="auto" w:fill="auto"/>
            <w:noWrap/>
            <w:vAlign w:val="bottom"/>
            <w:hideMark/>
          </w:tcPr>
          <w:p w14:paraId="4CC1B681"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3E834655"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4D2E120E"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7B77817E"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32AFB9E2"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r>
      <w:tr w:rsidR="0090360E" w:rsidRPr="0090360E" w14:paraId="2A384704"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75A4D077" w14:textId="77777777" w:rsidR="0090360E" w:rsidRPr="0090360E" w:rsidRDefault="0090360E" w:rsidP="0090360E">
            <w:pPr>
              <w:jc w:val="left"/>
              <w:rPr>
                <w:rFonts w:eastAsia="Times New Roman" w:cs="Arial"/>
                <w:b/>
                <w:bCs/>
                <w:sz w:val="12"/>
                <w:szCs w:val="12"/>
              </w:rPr>
            </w:pPr>
            <w:r w:rsidRPr="0090360E">
              <w:rPr>
                <w:rFonts w:eastAsia="Times New Roman" w:cs="Arial"/>
                <w:b/>
                <w:bCs/>
                <w:sz w:val="12"/>
                <w:szCs w:val="12"/>
              </w:rPr>
              <w:t>Ingresos del Fondo</w:t>
            </w:r>
          </w:p>
        </w:tc>
        <w:tc>
          <w:tcPr>
            <w:tcW w:w="1221" w:type="dxa"/>
            <w:tcBorders>
              <w:top w:val="nil"/>
              <w:left w:val="single" w:sz="4" w:space="0" w:color="969696"/>
              <w:bottom w:val="nil"/>
              <w:right w:val="single" w:sz="4" w:space="0" w:color="969696"/>
            </w:tcBorders>
            <w:shd w:val="clear" w:color="auto" w:fill="auto"/>
            <w:noWrap/>
            <w:vAlign w:val="bottom"/>
            <w:hideMark/>
          </w:tcPr>
          <w:p w14:paraId="4EDE6296"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891" w:type="dxa"/>
            <w:tcBorders>
              <w:top w:val="nil"/>
              <w:left w:val="nil"/>
              <w:bottom w:val="nil"/>
              <w:right w:val="single" w:sz="4" w:space="0" w:color="969696"/>
            </w:tcBorders>
            <w:shd w:val="clear" w:color="auto" w:fill="auto"/>
            <w:noWrap/>
            <w:vAlign w:val="bottom"/>
            <w:hideMark/>
          </w:tcPr>
          <w:p w14:paraId="4478E9FC"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6DB54C0D"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5F3370F4"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53811F93"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1BA52990"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r>
      <w:tr w:rsidR="0090360E" w:rsidRPr="0090360E" w14:paraId="3BB1DCFB"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4C0925CA"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Ingresos Anuales al Fondo de Pensiones</w:t>
            </w:r>
          </w:p>
        </w:tc>
        <w:tc>
          <w:tcPr>
            <w:tcW w:w="1221" w:type="dxa"/>
            <w:tcBorders>
              <w:top w:val="nil"/>
              <w:left w:val="single" w:sz="4" w:space="0" w:color="969696"/>
              <w:bottom w:val="nil"/>
              <w:right w:val="single" w:sz="4" w:space="0" w:color="969696"/>
            </w:tcBorders>
            <w:shd w:val="clear" w:color="auto" w:fill="auto"/>
            <w:noWrap/>
            <w:vAlign w:val="bottom"/>
            <w:hideMark/>
          </w:tcPr>
          <w:p w14:paraId="15FB9F36"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566,778,147.69 </w:t>
            </w:r>
          </w:p>
        </w:tc>
        <w:tc>
          <w:tcPr>
            <w:tcW w:w="891" w:type="dxa"/>
            <w:tcBorders>
              <w:top w:val="nil"/>
              <w:left w:val="nil"/>
              <w:bottom w:val="nil"/>
              <w:right w:val="single" w:sz="4" w:space="0" w:color="969696"/>
            </w:tcBorders>
            <w:shd w:val="clear" w:color="auto" w:fill="auto"/>
            <w:noWrap/>
            <w:vAlign w:val="bottom"/>
            <w:hideMark/>
          </w:tcPr>
          <w:p w14:paraId="71179283"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305C98C3"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566,778,147.69 </w:t>
            </w:r>
          </w:p>
        </w:tc>
        <w:tc>
          <w:tcPr>
            <w:tcW w:w="1155" w:type="dxa"/>
            <w:tcBorders>
              <w:top w:val="nil"/>
              <w:left w:val="nil"/>
              <w:bottom w:val="nil"/>
              <w:right w:val="single" w:sz="4" w:space="0" w:color="969696"/>
            </w:tcBorders>
            <w:shd w:val="clear" w:color="auto" w:fill="auto"/>
            <w:noWrap/>
            <w:vAlign w:val="bottom"/>
            <w:hideMark/>
          </w:tcPr>
          <w:p w14:paraId="6B5D3D57"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566,778,147.69 </w:t>
            </w:r>
          </w:p>
        </w:tc>
        <w:tc>
          <w:tcPr>
            <w:tcW w:w="1275" w:type="dxa"/>
            <w:tcBorders>
              <w:top w:val="nil"/>
              <w:left w:val="nil"/>
              <w:bottom w:val="nil"/>
              <w:right w:val="single" w:sz="4" w:space="0" w:color="969696"/>
            </w:tcBorders>
            <w:shd w:val="clear" w:color="auto" w:fill="auto"/>
            <w:noWrap/>
            <w:vAlign w:val="bottom"/>
            <w:hideMark/>
          </w:tcPr>
          <w:p w14:paraId="73071DE6"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566,778,147.69 </w:t>
            </w:r>
          </w:p>
        </w:tc>
        <w:tc>
          <w:tcPr>
            <w:tcW w:w="1221" w:type="dxa"/>
            <w:tcBorders>
              <w:top w:val="nil"/>
              <w:left w:val="nil"/>
              <w:bottom w:val="nil"/>
              <w:right w:val="single" w:sz="4" w:space="0" w:color="auto"/>
            </w:tcBorders>
            <w:shd w:val="clear" w:color="auto" w:fill="auto"/>
            <w:noWrap/>
            <w:vAlign w:val="bottom"/>
            <w:hideMark/>
          </w:tcPr>
          <w:p w14:paraId="731304F3"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566,778,147.69 </w:t>
            </w:r>
          </w:p>
        </w:tc>
      </w:tr>
      <w:tr w:rsidR="0090360E" w:rsidRPr="0090360E" w14:paraId="2FE96CEF"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31776905" w14:textId="77777777" w:rsidR="0090360E" w:rsidRPr="0090360E" w:rsidRDefault="0090360E" w:rsidP="0090360E">
            <w:pPr>
              <w:jc w:val="right"/>
              <w:rPr>
                <w:rFonts w:eastAsia="Times New Roman" w:cs="Arial"/>
                <w:color w:val="000000"/>
                <w:sz w:val="12"/>
                <w:szCs w:val="12"/>
              </w:rPr>
            </w:pPr>
          </w:p>
        </w:tc>
        <w:tc>
          <w:tcPr>
            <w:tcW w:w="1221" w:type="dxa"/>
            <w:tcBorders>
              <w:top w:val="nil"/>
              <w:left w:val="single" w:sz="4" w:space="0" w:color="969696"/>
              <w:bottom w:val="nil"/>
              <w:right w:val="single" w:sz="4" w:space="0" w:color="969696"/>
            </w:tcBorders>
            <w:shd w:val="clear" w:color="auto" w:fill="auto"/>
            <w:noWrap/>
            <w:vAlign w:val="bottom"/>
            <w:hideMark/>
          </w:tcPr>
          <w:p w14:paraId="4D04A481"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891" w:type="dxa"/>
            <w:tcBorders>
              <w:top w:val="nil"/>
              <w:left w:val="nil"/>
              <w:bottom w:val="nil"/>
              <w:right w:val="single" w:sz="4" w:space="0" w:color="969696"/>
            </w:tcBorders>
            <w:shd w:val="clear" w:color="auto" w:fill="auto"/>
            <w:noWrap/>
            <w:vAlign w:val="bottom"/>
            <w:hideMark/>
          </w:tcPr>
          <w:p w14:paraId="4627D1D6"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00A9EAF1"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11A6DE1E"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49A3F213"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318AABB1"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r>
      <w:tr w:rsidR="0090360E" w:rsidRPr="0090360E" w14:paraId="027FF946"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2904D92E" w14:textId="77777777" w:rsidR="0090360E" w:rsidRPr="0090360E" w:rsidRDefault="0090360E" w:rsidP="0090360E">
            <w:pPr>
              <w:jc w:val="left"/>
              <w:rPr>
                <w:rFonts w:eastAsia="Times New Roman" w:cs="Arial"/>
                <w:b/>
                <w:bCs/>
                <w:sz w:val="12"/>
                <w:szCs w:val="12"/>
              </w:rPr>
            </w:pPr>
            <w:r w:rsidRPr="0090360E">
              <w:rPr>
                <w:rFonts w:eastAsia="Times New Roman" w:cs="Arial"/>
                <w:b/>
                <w:bCs/>
                <w:sz w:val="12"/>
                <w:szCs w:val="12"/>
              </w:rPr>
              <w:t>Nómina anual</w:t>
            </w:r>
          </w:p>
        </w:tc>
        <w:tc>
          <w:tcPr>
            <w:tcW w:w="1221" w:type="dxa"/>
            <w:tcBorders>
              <w:top w:val="nil"/>
              <w:left w:val="single" w:sz="4" w:space="0" w:color="969696"/>
              <w:bottom w:val="nil"/>
              <w:right w:val="single" w:sz="4" w:space="0" w:color="969696"/>
            </w:tcBorders>
            <w:shd w:val="clear" w:color="auto" w:fill="auto"/>
            <w:noWrap/>
            <w:vAlign w:val="bottom"/>
            <w:hideMark/>
          </w:tcPr>
          <w:p w14:paraId="3A0C70B6"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891" w:type="dxa"/>
            <w:tcBorders>
              <w:top w:val="nil"/>
              <w:left w:val="nil"/>
              <w:bottom w:val="nil"/>
              <w:right w:val="single" w:sz="4" w:space="0" w:color="969696"/>
            </w:tcBorders>
            <w:shd w:val="clear" w:color="auto" w:fill="auto"/>
            <w:noWrap/>
            <w:vAlign w:val="bottom"/>
            <w:hideMark/>
          </w:tcPr>
          <w:p w14:paraId="0A4CB609"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3BF0286C"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074B9712"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79EF4D3A"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6C72930B"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r>
      <w:tr w:rsidR="0090360E" w:rsidRPr="0090360E" w14:paraId="57ACD1C7"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028A91AE"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Activos</w:t>
            </w:r>
          </w:p>
        </w:tc>
        <w:tc>
          <w:tcPr>
            <w:tcW w:w="1221" w:type="dxa"/>
            <w:tcBorders>
              <w:top w:val="nil"/>
              <w:left w:val="single" w:sz="4" w:space="0" w:color="969696"/>
              <w:bottom w:val="nil"/>
              <w:right w:val="single" w:sz="4" w:space="0" w:color="969696"/>
            </w:tcBorders>
            <w:shd w:val="clear" w:color="auto" w:fill="auto"/>
            <w:noWrap/>
            <w:vAlign w:val="bottom"/>
            <w:hideMark/>
          </w:tcPr>
          <w:p w14:paraId="190369E0"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2,358,204,372.24 </w:t>
            </w:r>
          </w:p>
        </w:tc>
        <w:tc>
          <w:tcPr>
            <w:tcW w:w="891" w:type="dxa"/>
            <w:tcBorders>
              <w:top w:val="nil"/>
              <w:left w:val="nil"/>
              <w:bottom w:val="nil"/>
              <w:right w:val="single" w:sz="4" w:space="0" w:color="969696"/>
            </w:tcBorders>
            <w:shd w:val="clear" w:color="auto" w:fill="auto"/>
            <w:noWrap/>
            <w:vAlign w:val="bottom"/>
            <w:hideMark/>
          </w:tcPr>
          <w:p w14:paraId="3301808D"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5BAD6CB1"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2,358,204,372.24 </w:t>
            </w:r>
          </w:p>
        </w:tc>
        <w:tc>
          <w:tcPr>
            <w:tcW w:w="1155" w:type="dxa"/>
            <w:tcBorders>
              <w:top w:val="nil"/>
              <w:left w:val="nil"/>
              <w:bottom w:val="nil"/>
              <w:right w:val="single" w:sz="4" w:space="0" w:color="969696"/>
            </w:tcBorders>
            <w:shd w:val="clear" w:color="auto" w:fill="auto"/>
            <w:noWrap/>
            <w:vAlign w:val="bottom"/>
            <w:hideMark/>
          </w:tcPr>
          <w:p w14:paraId="272FB744"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2,358,204,372.24 </w:t>
            </w:r>
          </w:p>
        </w:tc>
        <w:tc>
          <w:tcPr>
            <w:tcW w:w="1275" w:type="dxa"/>
            <w:tcBorders>
              <w:top w:val="nil"/>
              <w:left w:val="nil"/>
              <w:bottom w:val="nil"/>
              <w:right w:val="single" w:sz="4" w:space="0" w:color="969696"/>
            </w:tcBorders>
            <w:shd w:val="clear" w:color="auto" w:fill="auto"/>
            <w:noWrap/>
            <w:vAlign w:val="bottom"/>
            <w:hideMark/>
          </w:tcPr>
          <w:p w14:paraId="6C9673EE"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2,358,204,372.24 </w:t>
            </w:r>
          </w:p>
        </w:tc>
        <w:tc>
          <w:tcPr>
            <w:tcW w:w="1221" w:type="dxa"/>
            <w:tcBorders>
              <w:top w:val="nil"/>
              <w:left w:val="nil"/>
              <w:bottom w:val="nil"/>
              <w:right w:val="single" w:sz="4" w:space="0" w:color="auto"/>
            </w:tcBorders>
            <w:shd w:val="clear" w:color="auto" w:fill="auto"/>
            <w:noWrap/>
            <w:vAlign w:val="bottom"/>
            <w:hideMark/>
          </w:tcPr>
          <w:p w14:paraId="62EA758F"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2,358,204,372.24 </w:t>
            </w:r>
          </w:p>
        </w:tc>
      </w:tr>
      <w:tr w:rsidR="0090360E" w:rsidRPr="0090360E" w14:paraId="0AE53335"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1BF8AF8A"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Pensionados y Jubilados</w:t>
            </w:r>
          </w:p>
        </w:tc>
        <w:tc>
          <w:tcPr>
            <w:tcW w:w="1221" w:type="dxa"/>
            <w:tcBorders>
              <w:top w:val="nil"/>
              <w:left w:val="single" w:sz="4" w:space="0" w:color="969696"/>
              <w:bottom w:val="nil"/>
              <w:right w:val="single" w:sz="4" w:space="0" w:color="969696"/>
            </w:tcBorders>
            <w:shd w:val="clear" w:color="auto" w:fill="auto"/>
            <w:noWrap/>
            <w:vAlign w:val="bottom"/>
            <w:hideMark/>
          </w:tcPr>
          <w:p w14:paraId="2E72F85B"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191,629,288.32 </w:t>
            </w:r>
          </w:p>
        </w:tc>
        <w:tc>
          <w:tcPr>
            <w:tcW w:w="891" w:type="dxa"/>
            <w:tcBorders>
              <w:top w:val="nil"/>
              <w:left w:val="nil"/>
              <w:bottom w:val="nil"/>
              <w:right w:val="single" w:sz="4" w:space="0" w:color="969696"/>
            </w:tcBorders>
            <w:shd w:val="clear" w:color="auto" w:fill="auto"/>
            <w:noWrap/>
            <w:vAlign w:val="bottom"/>
            <w:hideMark/>
          </w:tcPr>
          <w:p w14:paraId="0BAE8FE2"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42D275E4"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3,783,611.52 </w:t>
            </w:r>
          </w:p>
        </w:tc>
        <w:tc>
          <w:tcPr>
            <w:tcW w:w="1155" w:type="dxa"/>
            <w:tcBorders>
              <w:top w:val="nil"/>
              <w:left w:val="nil"/>
              <w:bottom w:val="nil"/>
              <w:right w:val="single" w:sz="4" w:space="0" w:color="969696"/>
            </w:tcBorders>
            <w:shd w:val="clear" w:color="auto" w:fill="auto"/>
            <w:noWrap/>
            <w:vAlign w:val="bottom"/>
            <w:hideMark/>
          </w:tcPr>
          <w:p w14:paraId="1F018CCA"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32,292,186.96 </w:t>
            </w:r>
          </w:p>
        </w:tc>
        <w:tc>
          <w:tcPr>
            <w:tcW w:w="1275" w:type="dxa"/>
            <w:tcBorders>
              <w:top w:val="nil"/>
              <w:left w:val="nil"/>
              <w:bottom w:val="nil"/>
              <w:right w:val="single" w:sz="4" w:space="0" w:color="969696"/>
            </w:tcBorders>
            <w:shd w:val="clear" w:color="auto" w:fill="auto"/>
            <w:noWrap/>
            <w:vAlign w:val="bottom"/>
            <w:hideMark/>
          </w:tcPr>
          <w:p w14:paraId="1982D682"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0.00 </w:t>
            </w:r>
          </w:p>
        </w:tc>
        <w:tc>
          <w:tcPr>
            <w:tcW w:w="1221" w:type="dxa"/>
            <w:tcBorders>
              <w:top w:val="nil"/>
              <w:left w:val="nil"/>
              <w:bottom w:val="nil"/>
              <w:right w:val="single" w:sz="4" w:space="0" w:color="auto"/>
            </w:tcBorders>
            <w:shd w:val="clear" w:color="auto" w:fill="auto"/>
            <w:noWrap/>
            <w:vAlign w:val="bottom"/>
            <w:hideMark/>
          </w:tcPr>
          <w:p w14:paraId="4B6C0AC0"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227,705,086.80 </w:t>
            </w:r>
          </w:p>
        </w:tc>
      </w:tr>
      <w:tr w:rsidR="0090360E" w:rsidRPr="0090360E" w14:paraId="64F2C6DB"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15EA285C"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Beneficiarios de Pensionados y Jubilados</w:t>
            </w:r>
          </w:p>
        </w:tc>
        <w:tc>
          <w:tcPr>
            <w:tcW w:w="1221" w:type="dxa"/>
            <w:tcBorders>
              <w:top w:val="nil"/>
              <w:left w:val="single" w:sz="4" w:space="0" w:color="969696"/>
              <w:bottom w:val="nil"/>
              <w:right w:val="single" w:sz="4" w:space="0" w:color="969696"/>
            </w:tcBorders>
            <w:shd w:val="clear" w:color="auto" w:fill="auto"/>
            <w:noWrap/>
            <w:vAlign w:val="bottom"/>
            <w:hideMark/>
          </w:tcPr>
          <w:p w14:paraId="531B1C6D"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0.00 </w:t>
            </w:r>
          </w:p>
        </w:tc>
        <w:tc>
          <w:tcPr>
            <w:tcW w:w="891" w:type="dxa"/>
            <w:tcBorders>
              <w:top w:val="nil"/>
              <w:left w:val="nil"/>
              <w:bottom w:val="nil"/>
              <w:right w:val="single" w:sz="4" w:space="0" w:color="969696"/>
            </w:tcBorders>
            <w:shd w:val="clear" w:color="auto" w:fill="auto"/>
            <w:noWrap/>
            <w:vAlign w:val="bottom"/>
            <w:hideMark/>
          </w:tcPr>
          <w:p w14:paraId="521E549E"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70A11520"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0.00 </w:t>
            </w:r>
          </w:p>
        </w:tc>
        <w:tc>
          <w:tcPr>
            <w:tcW w:w="1155" w:type="dxa"/>
            <w:tcBorders>
              <w:top w:val="nil"/>
              <w:left w:val="nil"/>
              <w:bottom w:val="nil"/>
              <w:right w:val="single" w:sz="4" w:space="0" w:color="969696"/>
            </w:tcBorders>
            <w:shd w:val="clear" w:color="auto" w:fill="auto"/>
            <w:noWrap/>
            <w:vAlign w:val="bottom"/>
            <w:hideMark/>
          </w:tcPr>
          <w:p w14:paraId="6EB463C2"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4,607,708.64 </w:t>
            </w:r>
          </w:p>
        </w:tc>
        <w:tc>
          <w:tcPr>
            <w:tcW w:w="1275" w:type="dxa"/>
            <w:tcBorders>
              <w:top w:val="nil"/>
              <w:left w:val="nil"/>
              <w:bottom w:val="nil"/>
              <w:right w:val="single" w:sz="4" w:space="0" w:color="969696"/>
            </w:tcBorders>
            <w:shd w:val="clear" w:color="auto" w:fill="auto"/>
            <w:noWrap/>
            <w:vAlign w:val="bottom"/>
            <w:hideMark/>
          </w:tcPr>
          <w:p w14:paraId="1964027D"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0.00 </w:t>
            </w:r>
          </w:p>
        </w:tc>
        <w:tc>
          <w:tcPr>
            <w:tcW w:w="1221" w:type="dxa"/>
            <w:tcBorders>
              <w:top w:val="nil"/>
              <w:left w:val="nil"/>
              <w:bottom w:val="nil"/>
              <w:right w:val="single" w:sz="4" w:space="0" w:color="auto"/>
            </w:tcBorders>
            <w:shd w:val="clear" w:color="auto" w:fill="auto"/>
            <w:noWrap/>
            <w:vAlign w:val="bottom"/>
            <w:hideMark/>
          </w:tcPr>
          <w:p w14:paraId="2CC03660"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4,607,708.64 </w:t>
            </w:r>
          </w:p>
        </w:tc>
      </w:tr>
      <w:tr w:rsidR="0090360E" w:rsidRPr="0090360E" w14:paraId="57B300A9"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50C3B26C" w14:textId="77777777" w:rsidR="0090360E" w:rsidRPr="0090360E" w:rsidRDefault="0090360E" w:rsidP="0090360E">
            <w:pPr>
              <w:jc w:val="right"/>
              <w:rPr>
                <w:rFonts w:eastAsia="Times New Roman" w:cs="Arial"/>
                <w:color w:val="000000"/>
                <w:sz w:val="12"/>
                <w:szCs w:val="12"/>
              </w:rPr>
            </w:pPr>
          </w:p>
        </w:tc>
        <w:tc>
          <w:tcPr>
            <w:tcW w:w="1221" w:type="dxa"/>
            <w:tcBorders>
              <w:top w:val="nil"/>
              <w:left w:val="single" w:sz="4" w:space="0" w:color="969696"/>
              <w:bottom w:val="nil"/>
              <w:right w:val="single" w:sz="4" w:space="0" w:color="969696"/>
            </w:tcBorders>
            <w:shd w:val="clear" w:color="auto" w:fill="auto"/>
            <w:noWrap/>
            <w:vAlign w:val="bottom"/>
            <w:hideMark/>
          </w:tcPr>
          <w:p w14:paraId="7EA0C487"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891" w:type="dxa"/>
            <w:tcBorders>
              <w:top w:val="nil"/>
              <w:left w:val="nil"/>
              <w:bottom w:val="nil"/>
              <w:right w:val="single" w:sz="4" w:space="0" w:color="969696"/>
            </w:tcBorders>
            <w:shd w:val="clear" w:color="auto" w:fill="auto"/>
            <w:noWrap/>
            <w:vAlign w:val="bottom"/>
            <w:hideMark/>
          </w:tcPr>
          <w:p w14:paraId="78A07370"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3E798E64"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58587229"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542074F2"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7C3350E3"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r>
      <w:tr w:rsidR="0090360E" w:rsidRPr="0090360E" w14:paraId="2AAA5FF3"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092D3854" w14:textId="77777777" w:rsidR="0090360E" w:rsidRPr="0090360E" w:rsidRDefault="0090360E" w:rsidP="0090360E">
            <w:pPr>
              <w:jc w:val="left"/>
              <w:rPr>
                <w:rFonts w:eastAsia="Times New Roman" w:cs="Arial"/>
                <w:b/>
                <w:bCs/>
                <w:sz w:val="12"/>
                <w:szCs w:val="12"/>
              </w:rPr>
            </w:pPr>
            <w:r w:rsidRPr="0090360E">
              <w:rPr>
                <w:rFonts w:eastAsia="Times New Roman" w:cs="Arial"/>
                <w:b/>
                <w:bCs/>
                <w:sz w:val="12"/>
                <w:szCs w:val="12"/>
              </w:rPr>
              <w:t>Monto mensual por pensión</w:t>
            </w:r>
          </w:p>
        </w:tc>
        <w:tc>
          <w:tcPr>
            <w:tcW w:w="1221" w:type="dxa"/>
            <w:tcBorders>
              <w:top w:val="nil"/>
              <w:left w:val="single" w:sz="4" w:space="0" w:color="969696"/>
              <w:bottom w:val="nil"/>
              <w:right w:val="single" w:sz="4" w:space="0" w:color="969696"/>
            </w:tcBorders>
            <w:shd w:val="clear" w:color="auto" w:fill="auto"/>
            <w:noWrap/>
            <w:vAlign w:val="bottom"/>
            <w:hideMark/>
          </w:tcPr>
          <w:p w14:paraId="26D69555"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891" w:type="dxa"/>
            <w:tcBorders>
              <w:top w:val="nil"/>
              <w:left w:val="nil"/>
              <w:bottom w:val="nil"/>
              <w:right w:val="single" w:sz="4" w:space="0" w:color="969696"/>
            </w:tcBorders>
            <w:shd w:val="clear" w:color="auto" w:fill="auto"/>
            <w:noWrap/>
            <w:vAlign w:val="bottom"/>
            <w:hideMark/>
          </w:tcPr>
          <w:p w14:paraId="112B94CE"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4FF85BC8"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05E5E34C"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5F4D93B4"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3E2849F7"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r>
      <w:tr w:rsidR="0090360E" w:rsidRPr="0090360E" w14:paraId="2E59AEF8"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652FB13C"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Máximo</w:t>
            </w:r>
          </w:p>
        </w:tc>
        <w:tc>
          <w:tcPr>
            <w:tcW w:w="1221" w:type="dxa"/>
            <w:tcBorders>
              <w:top w:val="nil"/>
              <w:left w:val="single" w:sz="4" w:space="0" w:color="969696"/>
              <w:bottom w:val="nil"/>
              <w:right w:val="single" w:sz="4" w:space="0" w:color="969696"/>
            </w:tcBorders>
            <w:shd w:val="clear" w:color="auto" w:fill="auto"/>
            <w:noWrap/>
            <w:vAlign w:val="bottom"/>
            <w:hideMark/>
          </w:tcPr>
          <w:p w14:paraId="71AF4155"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52,298.22 </w:t>
            </w:r>
          </w:p>
        </w:tc>
        <w:tc>
          <w:tcPr>
            <w:tcW w:w="891" w:type="dxa"/>
            <w:tcBorders>
              <w:top w:val="nil"/>
              <w:left w:val="nil"/>
              <w:bottom w:val="nil"/>
              <w:right w:val="single" w:sz="4" w:space="0" w:color="969696"/>
            </w:tcBorders>
            <w:shd w:val="clear" w:color="auto" w:fill="auto"/>
            <w:noWrap/>
            <w:vAlign w:val="bottom"/>
            <w:hideMark/>
          </w:tcPr>
          <w:p w14:paraId="6B6A415A"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665A140D"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39,026.86 </w:t>
            </w:r>
          </w:p>
        </w:tc>
        <w:tc>
          <w:tcPr>
            <w:tcW w:w="1155" w:type="dxa"/>
            <w:tcBorders>
              <w:top w:val="nil"/>
              <w:left w:val="nil"/>
              <w:bottom w:val="nil"/>
              <w:right w:val="single" w:sz="4" w:space="0" w:color="969696"/>
            </w:tcBorders>
            <w:shd w:val="clear" w:color="auto" w:fill="auto"/>
            <w:noWrap/>
            <w:vAlign w:val="bottom"/>
            <w:hideMark/>
          </w:tcPr>
          <w:p w14:paraId="28C02864"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45,734.64 </w:t>
            </w:r>
          </w:p>
        </w:tc>
        <w:tc>
          <w:tcPr>
            <w:tcW w:w="1275" w:type="dxa"/>
            <w:tcBorders>
              <w:top w:val="nil"/>
              <w:left w:val="nil"/>
              <w:bottom w:val="nil"/>
              <w:right w:val="single" w:sz="4" w:space="0" w:color="969696"/>
            </w:tcBorders>
            <w:shd w:val="clear" w:color="auto" w:fill="auto"/>
            <w:noWrap/>
            <w:vAlign w:val="bottom"/>
            <w:hideMark/>
          </w:tcPr>
          <w:p w14:paraId="6EDA4CDB"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0.00 </w:t>
            </w:r>
          </w:p>
        </w:tc>
        <w:tc>
          <w:tcPr>
            <w:tcW w:w="1221" w:type="dxa"/>
            <w:tcBorders>
              <w:top w:val="nil"/>
              <w:left w:val="nil"/>
              <w:bottom w:val="nil"/>
              <w:right w:val="single" w:sz="4" w:space="0" w:color="auto"/>
            </w:tcBorders>
            <w:shd w:val="clear" w:color="auto" w:fill="auto"/>
            <w:noWrap/>
            <w:vAlign w:val="bottom"/>
            <w:hideMark/>
          </w:tcPr>
          <w:p w14:paraId="47C3672B"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52,298.22 </w:t>
            </w:r>
          </w:p>
        </w:tc>
      </w:tr>
      <w:tr w:rsidR="0090360E" w:rsidRPr="0090360E" w14:paraId="7E72A10D"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419A2B79"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Mínimo</w:t>
            </w:r>
          </w:p>
        </w:tc>
        <w:tc>
          <w:tcPr>
            <w:tcW w:w="1221" w:type="dxa"/>
            <w:tcBorders>
              <w:top w:val="nil"/>
              <w:left w:val="single" w:sz="4" w:space="0" w:color="969696"/>
              <w:bottom w:val="nil"/>
              <w:right w:val="single" w:sz="4" w:space="0" w:color="969696"/>
            </w:tcBorders>
            <w:shd w:val="clear" w:color="auto" w:fill="auto"/>
            <w:noWrap/>
            <w:vAlign w:val="bottom"/>
            <w:hideMark/>
          </w:tcPr>
          <w:p w14:paraId="52829075"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6,334.40 </w:t>
            </w:r>
          </w:p>
        </w:tc>
        <w:tc>
          <w:tcPr>
            <w:tcW w:w="891" w:type="dxa"/>
            <w:tcBorders>
              <w:top w:val="nil"/>
              <w:left w:val="nil"/>
              <w:bottom w:val="nil"/>
              <w:right w:val="single" w:sz="4" w:space="0" w:color="969696"/>
            </w:tcBorders>
            <w:shd w:val="clear" w:color="auto" w:fill="auto"/>
            <w:noWrap/>
            <w:vAlign w:val="bottom"/>
            <w:hideMark/>
          </w:tcPr>
          <w:p w14:paraId="75ECA7A0"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12E79E23"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7,009.58 </w:t>
            </w:r>
          </w:p>
        </w:tc>
        <w:tc>
          <w:tcPr>
            <w:tcW w:w="1155" w:type="dxa"/>
            <w:tcBorders>
              <w:top w:val="nil"/>
              <w:left w:val="nil"/>
              <w:bottom w:val="nil"/>
              <w:right w:val="single" w:sz="4" w:space="0" w:color="969696"/>
            </w:tcBorders>
            <w:shd w:val="clear" w:color="auto" w:fill="auto"/>
            <w:noWrap/>
            <w:vAlign w:val="bottom"/>
            <w:hideMark/>
          </w:tcPr>
          <w:p w14:paraId="5AAA65AD"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6,368.72 </w:t>
            </w:r>
          </w:p>
        </w:tc>
        <w:tc>
          <w:tcPr>
            <w:tcW w:w="1275" w:type="dxa"/>
            <w:tcBorders>
              <w:top w:val="nil"/>
              <w:left w:val="nil"/>
              <w:bottom w:val="nil"/>
              <w:right w:val="single" w:sz="4" w:space="0" w:color="969696"/>
            </w:tcBorders>
            <w:shd w:val="clear" w:color="auto" w:fill="auto"/>
            <w:noWrap/>
            <w:vAlign w:val="bottom"/>
            <w:hideMark/>
          </w:tcPr>
          <w:p w14:paraId="560B8A31"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0.00 </w:t>
            </w:r>
          </w:p>
        </w:tc>
        <w:tc>
          <w:tcPr>
            <w:tcW w:w="1221" w:type="dxa"/>
            <w:tcBorders>
              <w:top w:val="nil"/>
              <w:left w:val="nil"/>
              <w:bottom w:val="nil"/>
              <w:right w:val="single" w:sz="4" w:space="0" w:color="auto"/>
            </w:tcBorders>
            <w:shd w:val="clear" w:color="auto" w:fill="auto"/>
            <w:noWrap/>
            <w:vAlign w:val="bottom"/>
            <w:hideMark/>
          </w:tcPr>
          <w:p w14:paraId="13C16CAB"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6,334.40 </w:t>
            </w:r>
          </w:p>
        </w:tc>
      </w:tr>
      <w:tr w:rsidR="0090360E" w:rsidRPr="0090360E" w14:paraId="3B858AFE"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0E997420"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Promedio</w:t>
            </w:r>
          </w:p>
        </w:tc>
        <w:tc>
          <w:tcPr>
            <w:tcW w:w="1221" w:type="dxa"/>
            <w:tcBorders>
              <w:top w:val="nil"/>
              <w:left w:val="single" w:sz="4" w:space="0" w:color="969696"/>
              <w:bottom w:val="nil"/>
              <w:right w:val="single" w:sz="4" w:space="0" w:color="969696"/>
            </w:tcBorders>
            <w:shd w:val="clear" w:color="auto" w:fill="auto"/>
            <w:noWrap/>
            <w:vAlign w:val="bottom"/>
            <w:hideMark/>
          </w:tcPr>
          <w:p w14:paraId="3008A19A"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26,482.77 </w:t>
            </w:r>
          </w:p>
        </w:tc>
        <w:tc>
          <w:tcPr>
            <w:tcW w:w="891" w:type="dxa"/>
            <w:tcBorders>
              <w:top w:val="nil"/>
              <w:left w:val="nil"/>
              <w:bottom w:val="nil"/>
              <w:right w:val="single" w:sz="4" w:space="0" w:color="969696"/>
            </w:tcBorders>
            <w:shd w:val="clear" w:color="auto" w:fill="auto"/>
            <w:noWrap/>
            <w:vAlign w:val="bottom"/>
            <w:hideMark/>
          </w:tcPr>
          <w:p w14:paraId="562C70B4"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01EC887B"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11,677.81 </w:t>
            </w:r>
          </w:p>
        </w:tc>
        <w:tc>
          <w:tcPr>
            <w:tcW w:w="1155" w:type="dxa"/>
            <w:tcBorders>
              <w:top w:val="nil"/>
              <w:left w:val="nil"/>
              <w:bottom w:val="nil"/>
              <w:right w:val="single" w:sz="4" w:space="0" w:color="969696"/>
            </w:tcBorders>
            <w:shd w:val="clear" w:color="auto" w:fill="auto"/>
            <w:noWrap/>
            <w:vAlign w:val="bottom"/>
            <w:hideMark/>
          </w:tcPr>
          <w:p w14:paraId="6A3C770D"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12,706.58 </w:t>
            </w:r>
          </w:p>
        </w:tc>
        <w:tc>
          <w:tcPr>
            <w:tcW w:w="1275" w:type="dxa"/>
            <w:tcBorders>
              <w:top w:val="nil"/>
              <w:left w:val="nil"/>
              <w:bottom w:val="nil"/>
              <w:right w:val="single" w:sz="4" w:space="0" w:color="969696"/>
            </w:tcBorders>
            <w:shd w:val="clear" w:color="auto" w:fill="auto"/>
            <w:noWrap/>
            <w:vAlign w:val="bottom"/>
            <w:hideMark/>
          </w:tcPr>
          <w:p w14:paraId="2CB0198C"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0.00 </w:t>
            </w:r>
          </w:p>
        </w:tc>
        <w:tc>
          <w:tcPr>
            <w:tcW w:w="1221" w:type="dxa"/>
            <w:tcBorders>
              <w:top w:val="nil"/>
              <w:left w:val="nil"/>
              <w:bottom w:val="nil"/>
              <w:right w:val="single" w:sz="4" w:space="0" w:color="auto"/>
            </w:tcBorders>
            <w:shd w:val="clear" w:color="auto" w:fill="auto"/>
            <w:noWrap/>
            <w:vAlign w:val="bottom"/>
            <w:hideMark/>
          </w:tcPr>
          <w:p w14:paraId="7AD0E8F2"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22,201.15 </w:t>
            </w:r>
          </w:p>
        </w:tc>
      </w:tr>
      <w:tr w:rsidR="0090360E" w:rsidRPr="0090360E" w14:paraId="6484265D"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0D320E83" w14:textId="77777777" w:rsidR="0090360E" w:rsidRPr="0090360E" w:rsidRDefault="0090360E" w:rsidP="0090360E">
            <w:pPr>
              <w:jc w:val="right"/>
              <w:rPr>
                <w:rFonts w:eastAsia="Times New Roman" w:cs="Arial"/>
                <w:color w:val="000000"/>
                <w:sz w:val="12"/>
                <w:szCs w:val="12"/>
              </w:rPr>
            </w:pPr>
          </w:p>
        </w:tc>
        <w:tc>
          <w:tcPr>
            <w:tcW w:w="1221" w:type="dxa"/>
            <w:tcBorders>
              <w:top w:val="nil"/>
              <w:left w:val="single" w:sz="4" w:space="0" w:color="969696"/>
              <w:bottom w:val="nil"/>
              <w:right w:val="single" w:sz="4" w:space="0" w:color="969696"/>
            </w:tcBorders>
            <w:shd w:val="clear" w:color="auto" w:fill="auto"/>
            <w:noWrap/>
            <w:vAlign w:val="bottom"/>
            <w:hideMark/>
          </w:tcPr>
          <w:p w14:paraId="54638211"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891" w:type="dxa"/>
            <w:tcBorders>
              <w:top w:val="nil"/>
              <w:left w:val="nil"/>
              <w:bottom w:val="nil"/>
              <w:right w:val="single" w:sz="4" w:space="0" w:color="969696"/>
            </w:tcBorders>
            <w:shd w:val="clear" w:color="auto" w:fill="auto"/>
            <w:noWrap/>
            <w:vAlign w:val="bottom"/>
            <w:hideMark/>
          </w:tcPr>
          <w:p w14:paraId="0881B526"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730F26A7"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274AC92F"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7B14D4EE"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6939ABE4"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r>
      <w:tr w:rsidR="0090360E" w:rsidRPr="0090360E" w14:paraId="2BC0CBB1"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3CC0A423"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Monto de la reserva</w:t>
            </w:r>
          </w:p>
        </w:tc>
        <w:tc>
          <w:tcPr>
            <w:tcW w:w="1221" w:type="dxa"/>
            <w:tcBorders>
              <w:top w:val="nil"/>
              <w:left w:val="single" w:sz="4" w:space="0" w:color="969696"/>
              <w:bottom w:val="nil"/>
              <w:right w:val="single" w:sz="4" w:space="0" w:color="969696"/>
            </w:tcBorders>
            <w:shd w:val="clear" w:color="auto" w:fill="auto"/>
            <w:noWrap/>
            <w:vAlign w:val="bottom"/>
            <w:hideMark/>
          </w:tcPr>
          <w:p w14:paraId="4565B133"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1,886,544,909.80 </w:t>
            </w:r>
          </w:p>
        </w:tc>
        <w:tc>
          <w:tcPr>
            <w:tcW w:w="891" w:type="dxa"/>
            <w:tcBorders>
              <w:top w:val="nil"/>
              <w:left w:val="nil"/>
              <w:bottom w:val="nil"/>
              <w:right w:val="single" w:sz="4" w:space="0" w:color="969696"/>
            </w:tcBorders>
            <w:shd w:val="clear" w:color="auto" w:fill="auto"/>
            <w:noWrap/>
            <w:vAlign w:val="bottom"/>
            <w:hideMark/>
          </w:tcPr>
          <w:p w14:paraId="694BCD3D"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1C0D8397"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4D7DF6F2"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74777981"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267D30AB"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1,886,544,909.80 </w:t>
            </w:r>
          </w:p>
        </w:tc>
      </w:tr>
      <w:tr w:rsidR="0090360E" w:rsidRPr="0090360E" w14:paraId="65B0D1CF"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1E53084A" w14:textId="77777777" w:rsidR="0090360E" w:rsidRPr="0090360E" w:rsidRDefault="0090360E" w:rsidP="0090360E">
            <w:pPr>
              <w:jc w:val="right"/>
              <w:rPr>
                <w:rFonts w:eastAsia="Times New Roman" w:cs="Arial"/>
                <w:color w:val="000000"/>
                <w:sz w:val="12"/>
                <w:szCs w:val="12"/>
              </w:rPr>
            </w:pPr>
          </w:p>
        </w:tc>
        <w:tc>
          <w:tcPr>
            <w:tcW w:w="1221" w:type="dxa"/>
            <w:tcBorders>
              <w:top w:val="nil"/>
              <w:left w:val="single" w:sz="4" w:space="0" w:color="969696"/>
              <w:bottom w:val="nil"/>
              <w:right w:val="single" w:sz="4" w:space="0" w:color="969696"/>
            </w:tcBorders>
            <w:shd w:val="clear" w:color="auto" w:fill="auto"/>
            <w:noWrap/>
            <w:vAlign w:val="bottom"/>
            <w:hideMark/>
          </w:tcPr>
          <w:p w14:paraId="7271C131"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891" w:type="dxa"/>
            <w:tcBorders>
              <w:top w:val="nil"/>
              <w:left w:val="nil"/>
              <w:bottom w:val="nil"/>
              <w:right w:val="single" w:sz="4" w:space="0" w:color="969696"/>
            </w:tcBorders>
            <w:shd w:val="clear" w:color="auto" w:fill="auto"/>
            <w:noWrap/>
            <w:vAlign w:val="bottom"/>
            <w:hideMark/>
          </w:tcPr>
          <w:p w14:paraId="110D6B7E"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4AE16976"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44979F8B"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07D082DF"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653963A6"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r>
      <w:tr w:rsidR="0090360E" w:rsidRPr="0090360E" w14:paraId="06B5C48D"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4B6DF1BA"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Valor presente de las obligaciones</w:t>
            </w:r>
          </w:p>
        </w:tc>
        <w:tc>
          <w:tcPr>
            <w:tcW w:w="1221" w:type="dxa"/>
            <w:tcBorders>
              <w:top w:val="nil"/>
              <w:left w:val="single" w:sz="4" w:space="0" w:color="969696"/>
              <w:bottom w:val="nil"/>
              <w:right w:val="single" w:sz="4" w:space="0" w:color="969696"/>
            </w:tcBorders>
            <w:shd w:val="clear" w:color="auto" w:fill="auto"/>
            <w:noWrap/>
            <w:vAlign w:val="bottom"/>
            <w:hideMark/>
          </w:tcPr>
          <w:p w14:paraId="53DF4C41"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891" w:type="dxa"/>
            <w:tcBorders>
              <w:top w:val="nil"/>
              <w:left w:val="nil"/>
              <w:bottom w:val="nil"/>
              <w:right w:val="single" w:sz="4" w:space="0" w:color="969696"/>
            </w:tcBorders>
            <w:shd w:val="clear" w:color="auto" w:fill="auto"/>
            <w:noWrap/>
            <w:vAlign w:val="bottom"/>
            <w:hideMark/>
          </w:tcPr>
          <w:p w14:paraId="387D31BB"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35E99DCA"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5E571377"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4D92A834"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0E4BA2EB"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r>
      <w:tr w:rsidR="0090360E" w:rsidRPr="0090360E" w14:paraId="5CE28A00"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06420B06"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Pensiones y Jubilaciones en curso de pago</w:t>
            </w:r>
          </w:p>
        </w:tc>
        <w:tc>
          <w:tcPr>
            <w:tcW w:w="1221" w:type="dxa"/>
            <w:tcBorders>
              <w:top w:val="nil"/>
              <w:left w:val="single" w:sz="4" w:space="0" w:color="969696"/>
              <w:bottom w:val="nil"/>
              <w:right w:val="single" w:sz="4" w:space="0" w:color="969696"/>
            </w:tcBorders>
            <w:shd w:val="clear" w:color="auto" w:fill="auto"/>
            <w:noWrap/>
            <w:vAlign w:val="bottom"/>
            <w:hideMark/>
          </w:tcPr>
          <w:p w14:paraId="2EADA8B1"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5,123,263,645.82 </w:t>
            </w:r>
          </w:p>
        </w:tc>
        <w:tc>
          <w:tcPr>
            <w:tcW w:w="891" w:type="dxa"/>
            <w:tcBorders>
              <w:top w:val="nil"/>
              <w:left w:val="nil"/>
              <w:bottom w:val="nil"/>
              <w:right w:val="single" w:sz="4" w:space="0" w:color="969696"/>
            </w:tcBorders>
            <w:shd w:val="clear" w:color="auto" w:fill="auto"/>
            <w:noWrap/>
            <w:vAlign w:val="bottom"/>
            <w:hideMark/>
          </w:tcPr>
          <w:p w14:paraId="572D5B07"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0209F563"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63,069,908.65 </w:t>
            </w:r>
          </w:p>
        </w:tc>
        <w:tc>
          <w:tcPr>
            <w:tcW w:w="1155" w:type="dxa"/>
            <w:tcBorders>
              <w:top w:val="nil"/>
              <w:left w:val="nil"/>
              <w:bottom w:val="nil"/>
              <w:right w:val="single" w:sz="4" w:space="0" w:color="969696"/>
            </w:tcBorders>
            <w:shd w:val="clear" w:color="auto" w:fill="auto"/>
            <w:noWrap/>
            <w:vAlign w:val="bottom"/>
            <w:hideMark/>
          </w:tcPr>
          <w:p w14:paraId="53178246"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575,732,142.79 </w:t>
            </w:r>
          </w:p>
        </w:tc>
        <w:tc>
          <w:tcPr>
            <w:tcW w:w="1275" w:type="dxa"/>
            <w:tcBorders>
              <w:top w:val="nil"/>
              <w:left w:val="nil"/>
              <w:bottom w:val="nil"/>
              <w:right w:val="single" w:sz="4" w:space="0" w:color="969696"/>
            </w:tcBorders>
            <w:shd w:val="clear" w:color="auto" w:fill="auto"/>
            <w:noWrap/>
            <w:vAlign w:val="bottom"/>
            <w:hideMark/>
          </w:tcPr>
          <w:p w14:paraId="47ED90D2"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160,677,763.61 </w:t>
            </w:r>
          </w:p>
        </w:tc>
        <w:tc>
          <w:tcPr>
            <w:tcW w:w="1221" w:type="dxa"/>
            <w:tcBorders>
              <w:top w:val="nil"/>
              <w:left w:val="nil"/>
              <w:bottom w:val="nil"/>
              <w:right w:val="single" w:sz="4" w:space="0" w:color="auto"/>
            </w:tcBorders>
            <w:shd w:val="clear" w:color="auto" w:fill="auto"/>
            <w:noWrap/>
            <w:vAlign w:val="bottom"/>
            <w:hideMark/>
          </w:tcPr>
          <w:p w14:paraId="7FD9AD83"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5,922,743,460.87 </w:t>
            </w:r>
          </w:p>
        </w:tc>
      </w:tr>
      <w:tr w:rsidR="0090360E" w:rsidRPr="0090360E" w14:paraId="34DF419F"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79D51550"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Generación actual</w:t>
            </w:r>
          </w:p>
        </w:tc>
        <w:tc>
          <w:tcPr>
            <w:tcW w:w="1221" w:type="dxa"/>
            <w:tcBorders>
              <w:top w:val="nil"/>
              <w:left w:val="single" w:sz="4" w:space="0" w:color="969696"/>
              <w:bottom w:val="nil"/>
              <w:right w:val="single" w:sz="4" w:space="0" w:color="969696"/>
            </w:tcBorders>
            <w:shd w:val="clear" w:color="auto" w:fill="auto"/>
            <w:noWrap/>
            <w:vAlign w:val="bottom"/>
            <w:hideMark/>
          </w:tcPr>
          <w:p w14:paraId="7E9F8CCE"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20,775,916,926.22 </w:t>
            </w:r>
          </w:p>
        </w:tc>
        <w:tc>
          <w:tcPr>
            <w:tcW w:w="891" w:type="dxa"/>
            <w:tcBorders>
              <w:top w:val="nil"/>
              <w:left w:val="nil"/>
              <w:bottom w:val="nil"/>
              <w:right w:val="single" w:sz="4" w:space="0" w:color="969696"/>
            </w:tcBorders>
            <w:shd w:val="clear" w:color="auto" w:fill="auto"/>
            <w:noWrap/>
            <w:vAlign w:val="bottom"/>
            <w:hideMark/>
          </w:tcPr>
          <w:p w14:paraId="49E9A6A8"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23AB638F"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650,555,464.09 </w:t>
            </w:r>
          </w:p>
        </w:tc>
        <w:tc>
          <w:tcPr>
            <w:tcW w:w="1155" w:type="dxa"/>
            <w:tcBorders>
              <w:top w:val="nil"/>
              <w:left w:val="nil"/>
              <w:bottom w:val="nil"/>
              <w:right w:val="single" w:sz="4" w:space="0" w:color="969696"/>
            </w:tcBorders>
            <w:shd w:val="clear" w:color="auto" w:fill="auto"/>
            <w:noWrap/>
            <w:vAlign w:val="bottom"/>
            <w:hideMark/>
          </w:tcPr>
          <w:p w14:paraId="01172757"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1,593,105,203.96 </w:t>
            </w:r>
          </w:p>
        </w:tc>
        <w:tc>
          <w:tcPr>
            <w:tcW w:w="1275" w:type="dxa"/>
            <w:tcBorders>
              <w:top w:val="nil"/>
              <w:left w:val="nil"/>
              <w:bottom w:val="nil"/>
              <w:right w:val="single" w:sz="4" w:space="0" w:color="969696"/>
            </w:tcBorders>
            <w:shd w:val="clear" w:color="auto" w:fill="auto"/>
            <w:noWrap/>
            <w:vAlign w:val="bottom"/>
            <w:hideMark/>
          </w:tcPr>
          <w:p w14:paraId="704CE588"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1,556,378,755.31 </w:t>
            </w:r>
          </w:p>
        </w:tc>
        <w:tc>
          <w:tcPr>
            <w:tcW w:w="1221" w:type="dxa"/>
            <w:tcBorders>
              <w:top w:val="nil"/>
              <w:left w:val="nil"/>
              <w:bottom w:val="nil"/>
              <w:right w:val="single" w:sz="4" w:space="0" w:color="auto"/>
            </w:tcBorders>
            <w:shd w:val="clear" w:color="auto" w:fill="auto"/>
            <w:noWrap/>
            <w:vAlign w:val="bottom"/>
            <w:hideMark/>
          </w:tcPr>
          <w:p w14:paraId="510E83B3"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24,575,956,349.57 </w:t>
            </w:r>
          </w:p>
        </w:tc>
      </w:tr>
      <w:tr w:rsidR="0090360E" w:rsidRPr="0090360E" w14:paraId="77691816"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73E53132"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Generaciones futuras</w:t>
            </w:r>
          </w:p>
        </w:tc>
        <w:tc>
          <w:tcPr>
            <w:tcW w:w="1221" w:type="dxa"/>
            <w:tcBorders>
              <w:top w:val="nil"/>
              <w:left w:val="single" w:sz="4" w:space="0" w:color="969696"/>
              <w:bottom w:val="nil"/>
              <w:right w:val="single" w:sz="4" w:space="0" w:color="969696"/>
            </w:tcBorders>
            <w:shd w:val="clear" w:color="auto" w:fill="auto"/>
            <w:noWrap/>
            <w:vAlign w:val="bottom"/>
            <w:hideMark/>
          </w:tcPr>
          <w:p w14:paraId="3A9D5376"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11,250,506,205.69 </w:t>
            </w:r>
          </w:p>
        </w:tc>
        <w:tc>
          <w:tcPr>
            <w:tcW w:w="891" w:type="dxa"/>
            <w:tcBorders>
              <w:top w:val="nil"/>
              <w:left w:val="nil"/>
              <w:bottom w:val="nil"/>
              <w:right w:val="single" w:sz="4" w:space="0" w:color="969696"/>
            </w:tcBorders>
            <w:shd w:val="clear" w:color="auto" w:fill="auto"/>
            <w:noWrap/>
            <w:vAlign w:val="bottom"/>
            <w:hideMark/>
          </w:tcPr>
          <w:p w14:paraId="409798EE"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12D2ABBE"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2,579,721,392.32 </w:t>
            </w:r>
          </w:p>
        </w:tc>
        <w:tc>
          <w:tcPr>
            <w:tcW w:w="1155" w:type="dxa"/>
            <w:tcBorders>
              <w:top w:val="nil"/>
              <w:left w:val="nil"/>
              <w:bottom w:val="nil"/>
              <w:right w:val="single" w:sz="4" w:space="0" w:color="969696"/>
            </w:tcBorders>
            <w:shd w:val="clear" w:color="auto" w:fill="auto"/>
            <w:noWrap/>
            <w:vAlign w:val="bottom"/>
            <w:hideMark/>
          </w:tcPr>
          <w:p w14:paraId="3713643A"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3,521,319,236.33 </w:t>
            </w:r>
          </w:p>
        </w:tc>
        <w:tc>
          <w:tcPr>
            <w:tcW w:w="1275" w:type="dxa"/>
            <w:tcBorders>
              <w:top w:val="nil"/>
              <w:left w:val="nil"/>
              <w:bottom w:val="nil"/>
              <w:right w:val="single" w:sz="4" w:space="0" w:color="969696"/>
            </w:tcBorders>
            <w:shd w:val="clear" w:color="auto" w:fill="auto"/>
            <w:noWrap/>
            <w:vAlign w:val="bottom"/>
            <w:hideMark/>
          </w:tcPr>
          <w:p w14:paraId="7DF8D47E"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4,806,483,392.67 </w:t>
            </w:r>
          </w:p>
        </w:tc>
        <w:tc>
          <w:tcPr>
            <w:tcW w:w="1221" w:type="dxa"/>
            <w:tcBorders>
              <w:top w:val="nil"/>
              <w:left w:val="nil"/>
              <w:bottom w:val="nil"/>
              <w:right w:val="single" w:sz="4" w:space="0" w:color="auto"/>
            </w:tcBorders>
            <w:shd w:val="clear" w:color="auto" w:fill="auto"/>
            <w:noWrap/>
            <w:vAlign w:val="bottom"/>
            <w:hideMark/>
          </w:tcPr>
          <w:p w14:paraId="4DFCD44B"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22,158,030,227.02 </w:t>
            </w:r>
          </w:p>
        </w:tc>
      </w:tr>
      <w:tr w:rsidR="0090360E" w:rsidRPr="0090360E" w14:paraId="724AF5A7"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15CDF1D7" w14:textId="77777777" w:rsidR="0090360E" w:rsidRPr="0090360E" w:rsidRDefault="0090360E" w:rsidP="0090360E">
            <w:pPr>
              <w:jc w:val="right"/>
              <w:rPr>
                <w:rFonts w:eastAsia="Times New Roman" w:cs="Arial"/>
                <w:color w:val="000000"/>
                <w:sz w:val="12"/>
                <w:szCs w:val="12"/>
              </w:rPr>
            </w:pPr>
          </w:p>
        </w:tc>
        <w:tc>
          <w:tcPr>
            <w:tcW w:w="1221" w:type="dxa"/>
            <w:tcBorders>
              <w:top w:val="nil"/>
              <w:left w:val="single" w:sz="4" w:space="0" w:color="969696"/>
              <w:bottom w:val="nil"/>
              <w:right w:val="single" w:sz="4" w:space="0" w:color="969696"/>
            </w:tcBorders>
            <w:shd w:val="clear" w:color="auto" w:fill="auto"/>
            <w:noWrap/>
            <w:vAlign w:val="bottom"/>
            <w:hideMark/>
          </w:tcPr>
          <w:p w14:paraId="18C383AC"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891" w:type="dxa"/>
            <w:tcBorders>
              <w:top w:val="nil"/>
              <w:left w:val="nil"/>
              <w:bottom w:val="nil"/>
              <w:right w:val="single" w:sz="4" w:space="0" w:color="969696"/>
            </w:tcBorders>
            <w:shd w:val="clear" w:color="auto" w:fill="auto"/>
            <w:noWrap/>
            <w:vAlign w:val="bottom"/>
            <w:hideMark/>
          </w:tcPr>
          <w:p w14:paraId="1F9F2AAA"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383472AE"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4F205C85"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278A35F5"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7C44B119"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r>
      <w:tr w:rsidR="0090360E" w:rsidRPr="0090360E" w14:paraId="46896C78"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40BF0553"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Valor presente de las contribuciones asociadas a los sueldos futuros de cotización 2.00%</w:t>
            </w:r>
          </w:p>
        </w:tc>
        <w:tc>
          <w:tcPr>
            <w:tcW w:w="1221" w:type="dxa"/>
            <w:tcBorders>
              <w:top w:val="nil"/>
              <w:left w:val="single" w:sz="4" w:space="0" w:color="969696"/>
              <w:bottom w:val="nil"/>
              <w:right w:val="single" w:sz="4" w:space="0" w:color="969696"/>
            </w:tcBorders>
            <w:shd w:val="clear" w:color="auto" w:fill="auto"/>
            <w:noWrap/>
            <w:vAlign w:val="bottom"/>
            <w:hideMark/>
          </w:tcPr>
          <w:p w14:paraId="7B3C0C27"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891" w:type="dxa"/>
            <w:tcBorders>
              <w:top w:val="nil"/>
              <w:left w:val="nil"/>
              <w:bottom w:val="nil"/>
              <w:right w:val="single" w:sz="4" w:space="0" w:color="969696"/>
            </w:tcBorders>
            <w:shd w:val="clear" w:color="auto" w:fill="auto"/>
            <w:noWrap/>
            <w:vAlign w:val="bottom"/>
            <w:hideMark/>
          </w:tcPr>
          <w:p w14:paraId="49AB2D8D"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46FF5DF4"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4DC42A6A"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799BF700"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6F5FBAAD"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r>
      <w:tr w:rsidR="0090360E" w:rsidRPr="0090360E" w14:paraId="43ED8A08"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2113078B"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Generación actual</w:t>
            </w:r>
          </w:p>
        </w:tc>
        <w:tc>
          <w:tcPr>
            <w:tcW w:w="1221" w:type="dxa"/>
            <w:tcBorders>
              <w:top w:val="nil"/>
              <w:left w:val="single" w:sz="4" w:space="0" w:color="969696"/>
              <w:bottom w:val="nil"/>
              <w:right w:val="single" w:sz="4" w:space="0" w:color="969696"/>
            </w:tcBorders>
            <w:shd w:val="clear" w:color="auto" w:fill="auto"/>
            <w:noWrap/>
            <w:vAlign w:val="bottom"/>
            <w:hideMark/>
          </w:tcPr>
          <w:p w14:paraId="72153210"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1,593,255,407.91 </w:t>
            </w:r>
          </w:p>
        </w:tc>
        <w:tc>
          <w:tcPr>
            <w:tcW w:w="891" w:type="dxa"/>
            <w:tcBorders>
              <w:top w:val="nil"/>
              <w:left w:val="nil"/>
              <w:bottom w:val="nil"/>
              <w:right w:val="single" w:sz="4" w:space="0" w:color="969696"/>
            </w:tcBorders>
            <w:shd w:val="clear" w:color="auto" w:fill="auto"/>
            <w:noWrap/>
            <w:vAlign w:val="bottom"/>
            <w:hideMark/>
          </w:tcPr>
          <w:p w14:paraId="322E9676"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404EF014"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43,900,519.60 </w:t>
            </w:r>
          </w:p>
        </w:tc>
        <w:tc>
          <w:tcPr>
            <w:tcW w:w="1155" w:type="dxa"/>
            <w:tcBorders>
              <w:top w:val="nil"/>
              <w:left w:val="nil"/>
              <w:bottom w:val="nil"/>
              <w:right w:val="single" w:sz="4" w:space="0" w:color="969696"/>
            </w:tcBorders>
            <w:shd w:val="clear" w:color="auto" w:fill="auto"/>
            <w:noWrap/>
            <w:vAlign w:val="bottom"/>
            <w:hideMark/>
          </w:tcPr>
          <w:p w14:paraId="2F5D067C"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133,421,666.45 </w:t>
            </w:r>
          </w:p>
        </w:tc>
        <w:tc>
          <w:tcPr>
            <w:tcW w:w="1275" w:type="dxa"/>
            <w:tcBorders>
              <w:top w:val="nil"/>
              <w:left w:val="nil"/>
              <w:bottom w:val="nil"/>
              <w:right w:val="single" w:sz="4" w:space="0" w:color="969696"/>
            </w:tcBorders>
            <w:shd w:val="clear" w:color="auto" w:fill="auto"/>
            <w:noWrap/>
            <w:vAlign w:val="bottom"/>
            <w:hideMark/>
          </w:tcPr>
          <w:p w14:paraId="1ECE8702"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105,629,194.59 </w:t>
            </w:r>
          </w:p>
        </w:tc>
        <w:tc>
          <w:tcPr>
            <w:tcW w:w="1221" w:type="dxa"/>
            <w:tcBorders>
              <w:top w:val="nil"/>
              <w:left w:val="nil"/>
              <w:bottom w:val="nil"/>
              <w:right w:val="single" w:sz="4" w:space="0" w:color="auto"/>
            </w:tcBorders>
            <w:shd w:val="clear" w:color="auto" w:fill="auto"/>
            <w:noWrap/>
            <w:vAlign w:val="bottom"/>
            <w:hideMark/>
          </w:tcPr>
          <w:p w14:paraId="741E27E6"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1,876,206,788.56 </w:t>
            </w:r>
          </w:p>
        </w:tc>
      </w:tr>
      <w:tr w:rsidR="0090360E" w:rsidRPr="0090360E" w14:paraId="1E934413"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0AD528E8"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Generaciones futuras</w:t>
            </w:r>
          </w:p>
        </w:tc>
        <w:tc>
          <w:tcPr>
            <w:tcW w:w="1221" w:type="dxa"/>
            <w:tcBorders>
              <w:top w:val="nil"/>
              <w:left w:val="single" w:sz="4" w:space="0" w:color="969696"/>
              <w:bottom w:val="nil"/>
              <w:right w:val="single" w:sz="4" w:space="0" w:color="969696"/>
            </w:tcBorders>
            <w:shd w:val="clear" w:color="auto" w:fill="auto"/>
            <w:noWrap/>
            <w:vAlign w:val="bottom"/>
            <w:hideMark/>
          </w:tcPr>
          <w:p w14:paraId="2E8EF126"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3,785,192,177.11 </w:t>
            </w:r>
          </w:p>
        </w:tc>
        <w:tc>
          <w:tcPr>
            <w:tcW w:w="891" w:type="dxa"/>
            <w:tcBorders>
              <w:top w:val="nil"/>
              <w:left w:val="nil"/>
              <w:bottom w:val="nil"/>
              <w:right w:val="single" w:sz="4" w:space="0" w:color="969696"/>
            </w:tcBorders>
            <w:shd w:val="clear" w:color="auto" w:fill="auto"/>
            <w:noWrap/>
            <w:vAlign w:val="bottom"/>
            <w:hideMark/>
          </w:tcPr>
          <w:p w14:paraId="3CC6005E"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1308ED85"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867,937,944.73 </w:t>
            </w:r>
          </w:p>
        </w:tc>
        <w:tc>
          <w:tcPr>
            <w:tcW w:w="1155" w:type="dxa"/>
            <w:tcBorders>
              <w:top w:val="nil"/>
              <w:left w:val="nil"/>
              <w:bottom w:val="nil"/>
              <w:right w:val="single" w:sz="4" w:space="0" w:color="969696"/>
            </w:tcBorders>
            <w:shd w:val="clear" w:color="auto" w:fill="auto"/>
            <w:noWrap/>
            <w:vAlign w:val="bottom"/>
            <w:hideMark/>
          </w:tcPr>
          <w:p w14:paraId="588CB2D9"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1,184,735,138.38 </w:t>
            </w:r>
          </w:p>
        </w:tc>
        <w:tc>
          <w:tcPr>
            <w:tcW w:w="1275" w:type="dxa"/>
            <w:tcBorders>
              <w:top w:val="nil"/>
              <w:left w:val="nil"/>
              <w:bottom w:val="nil"/>
              <w:right w:val="single" w:sz="4" w:space="0" w:color="969696"/>
            </w:tcBorders>
            <w:shd w:val="clear" w:color="auto" w:fill="auto"/>
            <w:noWrap/>
            <w:vAlign w:val="bottom"/>
            <w:hideMark/>
          </w:tcPr>
          <w:p w14:paraId="28B61D21"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1,617,123,976.89 </w:t>
            </w:r>
          </w:p>
        </w:tc>
        <w:tc>
          <w:tcPr>
            <w:tcW w:w="1221" w:type="dxa"/>
            <w:tcBorders>
              <w:top w:val="nil"/>
              <w:left w:val="nil"/>
              <w:bottom w:val="nil"/>
              <w:right w:val="single" w:sz="4" w:space="0" w:color="auto"/>
            </w:tcBorders>
            <w:shd w:val="clear" w:color="auto" w:fill="auto"/>
            <w:noWrap/>
            <w:vAlign w:val="bottom"/>
            <w:hideMark/>
          </w:tcPr>
          <w:p w14:paraId="6D883CD9"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7,454,989,237.11 </w:t>
            </w:r>
          </w:p>
        </w:tc>
      </w:tr>
      <w:tr w:rsidR="0090360E" w:rsidRPr="0090360E" w14:paraId="578961E8"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12A74E78" w14:textId="77777777" w:rsidR="0090360E" w:rsidRPr="0090360E" w:rsidRDefault="0090360E" w:rsidP="0090360E">
            <w:pPr>
              <w:jc w:val="right"/>
              <w:rPr>
                <w:rFonts w:eastAsia="Times New Roman" w:cs="Arial"/>
                <w:color w:val="000000"/>
                <w:sz w:val="12"/>
                <w:szCs w:val="12"/>
              </w:rPr>
            </w:pPr>
          </w:p>
        </w:tc>
        <w:tc>
          <w:tcPr>
            <w:tcW w:w="1221" w:type="dxa"/>
            <w:tcBorders>
              <w:top w:val="nil"/>
              <w:left w:val="single" w:sz="4" w:space="0" w:color="969696"/>
              <w:bottom w:val="nil"/>
              <w:right w:val="single" w:sz="4" w:space="0" w:color="969696"/>
            </w:tcBorders>
            <w:shd w:val="clear" w:color="auto" w:fill="auto"/>
            <w:noWrap/>
            <w:vAlign w:val="bottom"/>
            <w:hideMark/>
          </w:tcPr>
          <w:p w14:paraId="377A0299"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891" w:type="dxa"/>
            <w:tcBorders>
              <w:top w:val="nil"/>
              <w:left w:val="nil"/>
              <w:bottom w:val="nil"/>
              <w:right w:val="single" w:sz="4" w:space="0" w:color="969696"/>
            </w:tcBorders>
            <w:shd w:val="clear" w:color="auto" w:fill="auto"/>
            <w:noWrap/>
            <w:vAlign w:val="bottom"/>
            <w:hideMark/>
          </w:tcPr>
          <w:p w14:paraId="5EC2797A"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65BB2B9D"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58850E42"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0380ED38"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04193EC3"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r>
      <w:tr w:rsidR="0090360E" w:rsidRPr="0090360E" w14:paraId="29A06BA5"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4C7DDB6B"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Valor presente de aportaciones futuras</w:t>
            </w:r>
          </w:p>
        </w:tc>
        <w:tc>
          <w:tcPr>
            <w:tcW w:w="1221" w:type="dxa"/>
            <w:tcBorders>
              <w:top w:val="nil"/>
              <w:left w:val="single" w:sz="4" w:space="0" w:color="969696"/>
              <w:bottom w:val="nil"/>
              <w:right w:val="single" w:sz="4" w:space="0" w:color="969696"/>
            </w:tcBorders>
            <w:shd w:val="clear" w:color="auto" w:fill="auto"/>
            <w:noWrap/>
            <w:vAlign w:val="bottom"/>
            <w:hideMark/>
          </w:tcPr>
          <w:p w14:paraId="1357856B"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891" w:type="dxa"/>
            <w:tcBorders>
              <w:top w:val="nil"/>
              <w:left w:val="nil"/>
              <w:bottom w:val="nil"/>
              <w:right w:val="single" w:sz="4" w:space="0" w:color="969696"/>
            </w:tcBorders>
            <w:shd w:val="clear" w:color="auto" w:fill="auto"/>
            <w:noWrap/>
            <w:vAlign w:val="bottom"/>
            <w:hideMark/>
          </w:tcPr>
          <w:p w14:paraId="1FA622C7"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4390FC04"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2C21097C"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0A75A055"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5D949EE4"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r>
      <w:tr w:rsidR="0090360E" w:rsidRPr="0090360E" w14:paraId="03B9A4DD"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0A4E521E"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Generación actual</w:t>
            </w:r>
          </w:p>
        </w:tc>
        <w:tc>
          <w:tcPr>
            <w:tcW w:w="1221" w:type="dxa"/>
            <w:tcBorders>
              <w:top w:val="nil"/>
              <w:left w:val="single" w:sz="4" w:space="0" w:color="969696"/>
              <w:bottom w:val="nil"/>
              <w:right w:val="single" w:sz="4" w:space="0" w:color="969696"/>
            </w:tcBorders>
            <w:shd w:val="clear" w:color="auto" w:fill="auto"/>
            <w:noWrap/>
            <w:vAlign w:val="bottom"/>
            <w:hideMark/>
          </w:tcPr>
          <w:p w14:paraId="79B0ECB6"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6,414,585,297.42 </w:t>
            </w:r>
          </w:p>
        </w:tc>
        <w:tc>
          <w:tcPr>
            <w:tcW w:w="891" w:type="dxa"/>
            <w:tcBorders>
              <w:top w:val="nil"/>
              <w:left w:val="nil"/>
              <w:bottom w:val="nil"/>
              <w:right w:val="single" w:sz="4" w:space="0" w:color="969696"/>
            </w:tcBorders>
            <w:shd w:val="clear" w:color="auto" w:fill="auto"/>
            <w:noWrap/>
            <w:vAlign w:val="bottom"/>
            <w:hideMark/>
          </w:tcPr>
          <w:p w14:paraId="1375FB94"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3041212D"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176,747,322.61 </w:t>
            </w:r>
          </w:p>
        </w:tc>
        <w:tc>
          <w:tcPr>
            <w:tcW w:w="1155" w:type="dxa"/>
            <w:tcBorders>
              <w:top w:val="nil"/>
              <w:left w:val="nil"/>
              <w:bottom w:val="nil"/>
              <w:right w:val="single" w:sz="4" w:space="0" w:color="969696"/>
            </w:tcBorders>
            <w:shd w:val="clear" w:color="auto" w:fill="auto"/>
            <w:noWrap/>
            <w:vAlign w:val="bottom"/>
            <w:hideMark/>
          </w:tcPr>
          <w:p w14:paraId="4DA28EF8"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537,167,271.31 </w:t>
            </w:r>
          </w:p>
        </w:tc>
        <w:tc>
          <w:tcPr>
            <w:tcW w:w="1275" w:type="dxa"/>
            <w:tcBorders>
              <w:top w:val="nil"/>
              <w:left w:val="nil"/>
              <w:bottom w:val="nil"/>
              <w:right w:val="single" w:sz="4" w:space="0" w:color="969696"/>
            </w:tcBorders>
            <w:shd w:val="clear" w:color="auto" w:fill="auto"/>
            <w:noWrap/>
            <w:vAlign w:val="bottom"/>
            <w:hideMark/>
          </w:tcPr>
          <w:p w14:paraId="70538ED7"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425,272,354.49 </w:t>
            </w:r>
          </w:p>
        </w:tc>
        <w:tc>
          <w:tcPr>
            <w:tcW w:w="1221" w:type="dxa"/>
            <w:tcBorders>
              <w:top w:val="nil"/>
              <w:left w:val="nil"/>
              <w:bottom w:val="nil"/>
              <w:right w:val="single" w:sz="4" w:space="0" w:color="auto"/>
            </w:tcBorders>
            <w:shd w:val="clear" w:color="auto" w:fill="auto"/>
            <w:noWrap/>
            <w:vAlign w:val="bottom"/>
            <w:hideMark/>
          </w:tcPr>
          <w:p w14:paraId="509BCAA3"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7,553,772,245.82 </w:t>
            </w:r>
          </w:p>
        </w:tc>
      </w:tr>
      <w:tr w:rsidR="0090360E" w:rsidRPr="0090360E" w14:paraId="0FFDA18E"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03F65701"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Generaciones futuras</w:t>
            </w:r>
          </w:p>
        </w:tc>
        <w:tc>
          <w:tcPr>
            <w:tcW w:w="1221" w:type="dxa"/>
            <w:tcBorders>
              <w:top w:val="nil"/>
              <w:left w:val="single" w:sz="4" w:space="0" w:color="969696"/>
              <w:bottom w:val="nil"/>
              <w:right w:val="single" w:sz="4" w:space="0" w:color="969696"/>
            </w:tcBorders>
            <w:shd w:val="clear" w:color="auto" w:fill="auto"/>
            <w:noWrap/>
            <w:vAlign w:val="bottom"/>
            <w:hideMark/>
          </w:tcPr>
          <w:p w14:paraId="1C7474FE"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15,505,122,910.22 </w:t>
            </w:r>
          </w:p>
        </w:tc>
        <w:tc>
          <w:tcPr>
            <w:tcW w:w="891" w:type="dxa"/>
            <w:tcBorders>
              <w:top w:val="nil"/>
              <w:left w:val="nil"/>
              <w:bottom w:val="nil"/>
              <w:right w:val="single" w:sz="4" w:space="0" w:color="969696"/>
            </w:tcBorders>
            <w:shd w:val="clear" w:color="auto" w:fill="auto"/>
            <w:noWrap/>
            <w:vAlign w:val="bottom"/>
            <w:hideMark/>
          </w:tcPr>
          <w:p w14:paraId="3AB8ED85"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637CD876"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3,555,297,560.02 </w:t>
            </w:r>
          </w:p>
        </w:tc>
        <w:tc>
          <w:tcPr>
            <w:tcW w:w="1155" w:type="dxa"/>
            <w:tcBorders>
              <w:top w:val="nil"/>
              <w:left w:val="nil"/>
              <w:bottom w:val="nil"/>
              <w:right w:val="single" w:sz="4" w:space="0" w:color="969696"/>
            </w:tcBorders>
            <w:shd w:val="clear" w:color="auto" w:fill="auto"/>
            <w:noWrap/>
            <w:vAlign w:val="bottom"/>
            <w:hideMark/>
          </w:tcPr>
          <w:p w14:paraId="47891C34"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4,852,980,529.70 </w:t>
            </w:r>
          </w:p>
        </w:tc>
        <w:tc>
          <w:tcPr>
            <w:tcW w:w="1275" w:type="dxa"/>
            <w:tcBorders>
              <w:top w:val="nil"/>
              <w:left w:val="nil"/>
              <w:bottom w:val="nil"/>
              <w:right w:val="single" w:sz="4" w:space="0" w:color="969696"/>
            </w:tcBorders>
            <w:shd w:val="clear" w:color="auto" w:fill="auto"/>
            <w:noWrap/>
            <w:vAlign w:val="bottom"/>
            <w:hideMark/>
          </w:tcPr>
          <w:p w14:paraId="720BE1F6"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6,624,156,674.10 </w:t>
            </w:r>
          </w:p>
        </w:tc>
        <w:tc>
          <w:tcPr>
            <w:tcW w:w="1221" w:type="dxa"/>
            <w:tcBorders>
              <w:top w:val="nil"/>
              <w:left w:val="nil"/>
              <w:bottom w:val="nil"/>
              <w:right w:val="single" w:sz="4" w:space="0" w:color="auto"/>
            </w:tcBorders>
            <w:shd w:val="clear" w:color="auto" w:fill="auto"/>
            <w:noWrap/>
            <w:vAlign w:val="bottom"/>
            <w:hideMark/>
          </w:tcPr>
          <w:p w14:paraId="4CE889DC"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30,537,557,674.04 </w:t>
            </w:r>
          </w:p>
        </w:tc>
      </w:tr>
      <w:tr w:rsidR="0090360E" w:rsidRPr="0090360E" w14:paraId="0B5433BC"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102B75E4"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Otros Ingresos</w:t>
            </w:r>
          </w:p>
        </w:tc>
        <w:tc>
          <w:tcPr>
            <w:tcW w:w="1221" w:type="dxa"/>
            <w:tcBorders>
              <w:top w:val="nil"/>
              <w:left w:val="single" w:sz="4" w:space="0" w:color="969696"/>
              <w:bottom w:val="nil"/>
              <w:right w:val="single" w:sz="4" w:space="0" w:color="969696"/>
            </w:tcBorders>
            <w:shd w:val="clear" w:color="auto" w:fill="auto"/>
            <w:noWrap/>
            <w:vAlign w:val="bottom"/>
            <w:hideMark/>
          </w:tcPr>
          <w:p w14:paraId="6E56733B"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0.00 </w:t>
            </w:r>
          </w:p>
        </w:tc>
        <w:tc>
          <w:tcPr>
            <w:tcW w:w="891" w:type="dxa"/>
            <w:tcBorders>
              <w:top w:val="nil"/>
              <w:left w:val="nil"/>
              <w:bottom w:val="nil"/>
              <w:right w:val="single" w:sz="4" w:space="0" w:color="969696"/>
            </w:tcBorders>
            <w:shd w:val="clear" w:color="auto" w:fill="auto"/>
            <w:noWrap/>
            <w:vAlign w:val="bottom"/>
            <w:hideMark/>
          </w:tcPr>
          <w:p w14:paraId="058FA29C"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725DFE08"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0.00 </w:t>
            </w:r>
          </w:p>
        </w:tc>
        <w:tc>
          <w:tcPr>
            <w:tcW w:w="1155" w:type="dxa"/>
            <w:tcBorders>
              <w:top w:val="nil"/>
              <w:left w:val="nil"/>
              <w:bottom w:val="nil"/>
              <w:right w:val="single" w:sz="4" w:space="0" w:color="969696"/>
            </w:tcBorders>
            <w:shd w:val="clear" w:color="auto" w:fill="auto"/>
            <w:noWrap/>
            <w:vAlign w:val="bottom"/>
            <w:hideMark/>
          </w:tcPr>
          <w:p w14:paraId="1AE75E10"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0.00 </w:t>
            </w:r>
          </w:p>
        </w:tc>
        <w:tc>
          <w:tcPr>
            <w:tcW w:w="1275" w:type="dxa"/>
            <w:tcBorders>
              <w:top w:val="nil"/>
              <w:left w:val="nil"/>
              <w:bottom w:val="nil"/>
              <w:right w:val="single" w:sz="4" w:space="0" w:color="969696"/>
            </w:tcBorders>
            <w:shd w:val="clear" w:color="auto" w:fill="auto"/>
            <w:noWrap/>
            <w:vAlign w:val="bottom"/>
            <w:hideMark/>
          </w:tcPr>
          <w:p w14:paraId="391047AE"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0.00 </w:t>
            </w:r>
          </w:p>
        </w:tc>
        <w:tc>
          <w:tcPr>
            <w:tcW w:w="1221" w:type="dxa"/>
            <w:tcBorders>
              <w:top w:val="nil"/>
              <w:left w:val="nil"/>
              <w:bottom w:val="nil"/>
              <w:right w:val="single" w:sz="4" w:space="0" w:color="auto"/>
            </w:tcBorders>
            <w:shd w:val="clear" w:color="auto" w:fill="auto"/>
            <w:noWrap/>
            <w:vAlign w:val="bottom"/>
            <w:hideMark/>
          </w:tcPr>
          <w:p w14:paraId="409ABD12"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0.00 </w:t>
            </w:r>
          </w:p>
        </w:tc>
      </w:tr>
      <w:tr w:rsidR="0090360E" w:rsidRPr="0090360E" w14:paraId="50C76EE0"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38515EC2" w14:textId="77777777" w:rsidR="0090360E" w:rsidRPr="0090360E" w:rsidRDefault="0090360E" w:rsidP="0090360E">
            <w:pPr>
              <w:jc w:val="right"/>
              <w:rPr>
                <w:rFonts w:eastAsia="Times New Roman" w:cs="Arial"/>
                <w:color w:val="000000"/>
                <w:sz w:val="12"/>
                <w:szCs w:val="12"/>
              </w:rPr>
            </w:pPr>
          </w:p>
        </w:tc>
        <w:tc>
          <w:tcPr>
            <w:tcW w:w="1221" w:type="dxa"/>
            <w:tcBorders>
              <w:top w:val="nil"/>
              <w:left w:val="single" w:sz="4" w:space="0" w:color="969696"/>
              <w:bottom w:val="nil"/>
              <w:right w:val="single" w:sz="4" w:space="0" w:color="969696"/>
            </w:tcBorders>
            <w:shd w:val="clear" w:color="auto" w:fill="auto"/>
            <w:noWrap/>
            <w:vAlign w:val="bottom"/>
            <w:hideMark/>
          </w:tcPr>
          <w:p w14:paraId="24ACF971"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891" w:type="dxa"/>
            <w:tcBorders>
              <w:top w:val="nil"/>
              <w:left w:val="nil"/>
              <w:bottom w:val="nil"/>
              <w:right w:val="single" w:sz="4" w:space="0" w:color="969696"/>
            </w:tcBorders>
            <w:shd w:val="clear" w:color="auto" w:fill="auto"/>
            <w:noWrap/>
            <w:vAlign w:val="bottom"/>
            <w:hideMark/>
          </w:tcPr>
          <w:p w14:paraId="1AEA2A09"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245B67C6"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61A8DBDD"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26078B52"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0A78A10F"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r>
      <w:tr w:rsidR="0090360E" w:rsidRPr="0090360E" w14:paraId="49388F4E"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0DF56A95"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Déficit/superávit actuarial</w:t>
            </w:r>
          </w:p>
        </w:tc>
        <w:tc>
          <w:tcPr>
            <w:tcW w:w="1221" w:type="dxa"/>
            <w:tcBorders>
              <w:top w:val="nil"/>
              <w:left w:val="single" w:sz="4" w:space="0" w:color="969696"/>
              <w:bottom w:val="nil"/>
              <w:right w:val="single" w:sz="4" w:space="0" w:color="969696"/>
            </w:tcBorders>
            <w:shd w:val="clear" w:color="auto" w:fill="auto"/>
            <w:noWrap/>
            <w:vAlign w:val="bottom"/>
            <w:hideMark/>
          </w:tcPr>
          <w:p w14:paraId="1B069C7D"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891" w:type="dxa"/>
            <w:tcBorders>
              <w:top w:val="nil"/>
              <w:left w:val="nil"/>
              <w:bottom w:val="nil"/>
              <w:right w:val="single" w:sz="4" w:space="0" w:color="969696"/>
            </w:tcBorders>
            <w:shd w:val="clear" w:color="auto" w:fill="auto"/>
            <w:noWrap/>
            <w:vAlign w:val="bottom"/>
            <w:hideMark/>
          </w:tcPr>
          <w:p w14:paraId="67AE3063"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20834306"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66AEF6B9"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613C043A"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567B09EC"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r>
      <w:tr w:rsidR="0090360E" w:rsidRPr="0090360E" w14:paraId="0A808E56"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19DE84BF"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Generación actual</w:t>
            </w:r>
          </w:p>
        </w:tc>
        <w:tc>
          <w:tcPr>
            <w:tcW w:w="1221" w:type="dxa"/>
            <w:tcBorders>
              <w:top w:val="nil"/>
              <w:left w:val="single" w:sz="4" w:space="0" w:color="969696"/>
              <w:bottom w:val="nil"/>
              <w:right w:val="single" w:sz="4" w:space="0" w:color="969696"/>
            </w:tcBorders>
            <w:shd w:val="clear" w:color="auto" w:fill="auto"/>
            <w:noWrap/>
            <w:vAlign w:val="bottom"/>
            <w:hideMark/>
          </w:tcPr>
          <w:p w14:paraId="08974BF6"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FF0000"/>
                <w:sz w:val="12"/>
                <w:szCs w:val="12"/>
              </w:rPr>
              <w:t>(16,004,794,956.90)</w:t>
            </w:r>
          </w:p>
        </w:tc>
        <w:tc>
          <w:tcPr>
            <w:tcW w:w="891" w:type="dxa"/>
            <w:tcBorders>
              <w:top w:val="nil"/>
              <w:left w:val="nil"/>
              <w:bottom w:val="nil"/>
              <w:right w:val="single" w:sz="4" w:space="0" w:color="969696"/>
            </w:tcBorders>
            <w:shd w:val="clear" w:color="auto" w:fill="auto"/>
            <w:noWrap/>
            <w:vAlign w:val="bottom"/>
            <w:hideMark/>
          </w:tcPr>
          <w:p w14:paraId="2F49D52A"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3E8379F5"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FF0000"/>
                <w:sz w:val="12"/>
                <w:szCs w:val="12"/>
              </w:rPr>
              <w:t>(492,977,530.53)</w:t>
            </w:r>
          </w:p>
        </w:tc>
        <w:tc>
          <w:tcPr>
            <w:tcW w:w="1155" w:type="dxa"/>
            <w:tcBorders>
              <w:top w:val="nil"/>
              <w:left w:val="nil"/>
              <w:bottom w:val="nil"/>
              <w:right w:val="single" w:sz="4" w:space="0" w:color="969696"/>
            </w:tcBorders>
            <w:shd w:val="clear" w:color="auto" w:fill="auto"/>
            <w:noWrap/>
            <w:vAlign w:val="bottom"/>
            <w:hideMark/>
          </w:tcPr>
          <w:p w14:paraId="54EA93B4"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FF0000"/>
                <w:sz w:val="12"/>
                <w:szCs w:val="12"/>
              </w:rPr>
              <w:t>(1,498,248,408.99)</w:t>
            </w:r>
          </w:p>
        </w:tc>
        <w:tc>
          <w:tcPr>
            <w:tcW w:w="1275" w:type="dxa"/>
            <w:tcBorders>
              <w:top w:val="nil"/>
              <w:left w:val="nil"/>
              <w:bottom w:val="nil"/>
              <w:right w:val="single" w:sz="4" w:space="0" w:color="969696"/>
            </w:tcBorders>
            <w:shd w:val="clear" w:color="auto" w:fill="auto"/>
            <w:noWrap/>
            <w:vAlign w:val="bottom"/>
            <w:hideMark/>
          </w:tcPr>
          <w:p w14:paraId="46314937"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FF0000"/>
                <w:sz w:val="12"/>
                <w:szCs w:val="12"/>
              </w:rPr>
              <w:t>(1,186,154,969.84)</w:t>
            </w:r>
          </w:p>
        </w:tc>
        <w:tc>
          <w:tcPr>
            <w:tcW w:w="1221" w:type="dxa"/>
            <w:tcBorders>
              <w:top w:val="nil"/>
              <w:left w:val="nil"/>
              <w:bottom w:val="nil"/>
              <w:right w:val="single" w:sz="4" w:space="0" w:color="auto"/>
            </w:tcBorders>
            <w:shd w:val="clear" w:color="auto" w:fill="auto"/>
            <w:noWrap/>
            <w:vAlign w:val="bottom"/>
            <w:hideMark/>
          </w:tcPr>
          <w:p w14:paraId="6BD2A13D"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FF0000"/>
                <w:sz w:val="12"/>
                <w:szCs w:val="12"/>
              </w:rPr>
              <w:t>(19,182,175,866.26)</w:t>
            </w:r>
          </w:p>
        </w:tc>
      </w:tr>
      <w:tr w:rsidR="0090360E" w:rsidRPr="0090360E" w14:paraId="5EFCEF6C"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00E11F63"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Generaciones futuras</w:t>
            </w:r>
          </w:p>
        </w:tc>
        <w:tc>
          <w:tcPr>
            <w:tcW w:w="1221" w:type="dxa"/>
            <w:tcBorders>
              <w:top w:val="nil"/>
              <w:left w:val="single" w:sz="4" w:space="0" w:color="969696"/>
              <w:bottom w:val="nil"/>
              <w:right w:val="single" w:sz="4" w:space="0" w:color="969696"/>
            </w:tcBorders>
            <w:shd w:val="clear" w:color="auto" w:fill="auto"/>
            <w:noWrap/>
            <w:vAlign w:val="bottom"/>
            <w:hideMark/>
          </w:tcPr>
          <w:p w14:paraId="577DB789"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8,039,808,881.65 </w:t>
            </w:r>
          </w:p>
        </w:tc>
        <w:tc>
          <w:tcPr>
            <w:tcW w:w="891" w:type="dxa"/>
            <w:tcBorders>
              <w:top w:val="nil"/>
              <w:left w:val="nil"/>
              <w:bottom w:val="nil"/>
              <w:right w:val="single" w:sz="4" w:space="0" w:color="969696"/>
            </w:tcBorders>
            <w:shd w:val="clear" w:color="auto" w:fill="auto"/>
            <w:noWrap/>
            <w:vAlign w:val="bottom"/>
            <w:hideMark/>
          </w:tcPr>
          <w:p w14:paraId="0CF6E0CF"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761B2290"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1,843,514,112.43 </w:t>
            </w:r>
          </w:p>
        </w:tc>
        <w:tc>
          <w:tcPr>
            <w:tcW w:w="1155" w:type="dxa"/>
            <w:tcBorders>
              <w:top w:val="nil"/>
              <w:left w:val="nil"/>
              <w:bottom w:val="nil"/>
              <w:right w:val="single" w:sz="4" w:space="0" w:color="969696"/>
            </w:tcBorders>
            <w:shd w:val="clear" w:color="auto" w:fill="auto"/>
            <w:noWrap/>
            <w:vAlign w:val="bottom"/>
            <w:hideMark/>
          </w:tcPr>
          <w:p w14:paraId="0A09E574"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2,516,396,431.75 </w:t>
            </w:r>
          </w:p>
        </w:tc>
        <w:tc>
          <w:tcPr>
            <w:tcW w:w="1275" w:type="dxa"/>
            <w:tcBorders>
              <w:top w:val="nil"/>
              <w:left w:val="nil"/>
              <w:bottom w:val="nil"/>
              <w:right w:val="single" w:sz="4" w:space="0" w:color="969696"/>
            </w:tcBorders>
            <w:shd w:val="clear" w:color="auto" w:fill="auto"/>
            <w:noWrap/>
            <w:vAlign w:val="bottom"/>
            <w:hideMark/>
          </w:tcPr>
          <w:p w14:paraId="38B43F6D"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3,434,797,258.31 </w:t>
            </w:r>
          </w:p>
        </w:tc>
        <w:tc>
          <w:tcPr>
            <w:tcW w:w="1221" w:type="dxa"/>
            <w:tcBorders>
              <w:top w:val="nil"/>
              <w:left w:val="nil"/>
              <w:bottom w:val="nil"/>
              <w:right w:val="single" w:sz="4" w:space="0" w:color="auto"/>
            </w:tcBorders>
            <w:shd w:val="clear" w:color="auto" w:fill="auto"/>
            <w:noWrap/>
            <w:vAlign w:val="bottom"/>
            <w:hideMark/>
          </w:tcPr>
          <w:p w14:paraId="75F1F97C" w14:textId="77777777" w:rsidR="0090360E" w:rsidRPr="0090360E" w:rsidRDefault="0090360E" w:rsidP="0090360E">
            <w:pPr>
              <w:jc w:val="right"/>
              <w:rPr>
                <w:rFonts w:eastAsia="Times New Roman" w:cs="Arial"/>
                <w:color w:val="000000"/>
                <w:sz w:val="12"/>
                <w:szCs w:val="12"/>
              </w:rPr>
            </w:pPr>
            <w:r w:rsidRPr="0090360E">
              <w:rPr>
                <w:rFonts w:eastAsia="Times New Roman" w:cs="Arial"/>
                <w:color w:val="000000"/>
                <w:sz w:val="12"/>
                <w:szCs w:val="12"/>
              </w:rPr>
              <w:t xml:space="preserve">15,834,516,684.14 </w:t>
            </w:r>
          </w:p>
        </w:tc>
      </w:tr>
      <w:tr w:rsidR="0090360E" w:rsidRPr="0090360E" w14:paraId="353A87FA"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2879F94C" w14:textId="77777777" w:rsidR="0090360E" w:rsidRPr="0090360E" w:rsidRDefault="0090360E" w:rsidP="0090360E">
            <w:pPr>
              <w:jc w:val="right"/>
              <w:rPr>
                <w:rFonts w:eastAsia="Times New Roman" w:cs="Arial"/>
                <w:color w:val="000000"/>
                <w:sz w:val="12"/>
                <w:szCs w:val="12"/>
              </w:rPr>
            </w:pPr>
          </w:p>
        </w:tc>
        <w:tc>
          <w:tcPr>
            <w:tcW w:w="1221" w:type="dxa"/>
            <w:tcBorders>
              <w:top w:val="nil"/>
              <w:left w:val="single" w:sz="4" w:space="0" w:color="969696"/>
              <w:bottom w:val="nil"/>
              <w:right w:val="single" w:sz="4" w:space="0" w:color="969696"/>
            </w:tcBorders>
            <w:shd w:val="clear" w:color="auto" w:fill="auto"/>
            <w:noWrap/>
            <w:vAlign w:val="bottom"/>
            <w:hideMark/>
          </w:tcPr>
          <w:p w14:paraId="6A5DA423"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891" w:type="dxa"/>
            <w:tcBorders>
              <w:top w:val="nil"/>
              <w:left w:val="nil"/>
              <w:bottom w:val="nil"/>
              <w:right w:val="single" w:sz="4" w:space="0" w:color="969696"/>
            </w:tcBorders>
            <w:shd w:val="clear" w:color="auto" w:fill="auto"/>
            <w:noWrap/>
            <w:vAlign w:val="bottom"/>
            <w:hideMark/>
          </w:tcPr>
          <w:p w14:paraId="256EB027"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22688F0D"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2044B91F"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077E941C"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1E04B257"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r>
      <w:tr w:rsidR="0090360E" w:rsidRPr="0090360E" w14:paraId="575A61E1"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217F4987"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Periodo de suficiencia</w:t>
            </w:r>
          </w:p>
        </w:tc>
        <w:tc>
          <w:tcPr>
            <w:tcW w:w="1221" w:type="dxa"/>
            <w:tcBorders>
              <w:top w:val="nil"/>
              <w:left w:val="single" w:sz="4" w:space="0" w:color="969696"/>
              <w:bottom w:val="nil"/>
              <w:right w:val="single" w:sz="4" w:space="0" w:color="969696"/>
            </w:tcBorders>
            <w:shd w:val="clear" w:color="auto" w:fill="auto"/>
            <w:noWrap/>
            <w:vAlign w:val="bottom"/>
            <w:hideMark/>
          </w:tcPr>
          <w:p w14:paraId="2B34935D"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891" w:type="dxa"/>
            <w:tcBorders>
              <w:top w:val="nil"/>
              <w:left w:val="nil"/>
              <w:bottom w:val="nil"/>
              <w:right w:val="single" w:sz="4" w:space="0" w:color="969696"/>
            </w:tcBorders>
            <w:shd w:val="clear" w:color="auto" w:fill="auto"/>
            <w:noWrap/>
            <w:vAlign w:val="bottom"/>
            <w:hideMark/>
          </w:tcPr>
          <w:p w14:paraId="1B063007"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576D3CD5"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14C38B60"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2CC6AD1B"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5CEBA65F"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r>
      <w:tr w:rsidR="0090360E" w:rsidRPr="0090360E" w14:paraId="47E031B3"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4169C6A3"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Año de descapitalización</w:t>
            </w:r>
          </w:p>
        </w:tc>
        <w:tc>
          <w:tcPr>
            <w:tcW w:w="1221" w:type="dxa"/>
            <w:tcBorders>
              <w:top w:val="nil"/>
              <w:left w:val="single" w:sz="4" w:space="0" w:color="969696"/>
              <w:bottom w:val="nil"/>
              <w:right w:val="single" w:sz="4" w:space="0" w:color="969696"/>
            </w:tcBorders>
            <w:shd w:val="clear" w:color="auto" w:fill="auto"/>
            <w:noWrap/>
            <w:vAlign w:val="bottom"/>
            <w:hideMark/>
          </w:tcPr>
          <w:p w14:paraId="11F62326"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2069</w:t>
            </w:r>
          </w:p>
        </w:tc>
        <w:tc>
          <w:tcPr>
            <w:tcW w:w="891" w:type="dxa"/>
            <w:tcBorders>
              <w:top w:val="nil"/>
              <w:left w:val="nil"/>
              <w:bottom w:val="nil"/>
              <w:right w:val="single" w:sz="4" w:space="0" w:color="969696"/>
            </w:tcBorders>
            <w:shd w:val="clear" w:color="auto" w:fill="auto"/>
            <w:noWrap/>
            <w:vAlign w:val="bottom"/>
            <w:hideMark/>
          </w:tcPr>
          <w:p w14:paraId="2AAF2AAB"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1D04AF00"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2069</w:t>
            </w:r>
          </w:p>
        </w:tc>
        <w:tc>
          <w:tcPr>
            <w:tcW w:w="1155" w:type="dxa"/>
            <w:tcBorders>
              <w:top w:val="nil"/>
              <w:left w:val="nil"/>
              <w:bottom w:val="nil"/>
              <w:right w:val="single" w:sz="4" w:space="0" w:color="969696"/>
            </w:tcBorders>
            <w:shd w:val="clear" w:color="auto" w:fill="auto"/>
            <w:noWrap/>
            <w:vAlign w:val="bottom"/>
            <w:hideMark/>
          </w:tcPr>
          <w:p w14:paraId="57BA5469"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2069</w:t>
            </w:r>
          </w:p>
        </w:tc>
        <w:tc>
          <w:tcPr>
            <w:tcW w:w="1275" w:type="dxa"/>
            <w:tcBorders>
              <w:top w:val="nil"/>
              <w:left w:val="nil"/>
              <w:bottom w:val="nil"/>
              <w:right w:val="single" w:sz="4" w:space="0" w:color="969696"/>
            </w:tcBorders>
            <w:shd w:val="clear" w:color="auto" w:fill="auto"/>
            <w:noWrap/>
            <w:vAlign w:val="bottom"/>
            <w:hideMark/>
          </w:tcPr>
          <w:p w14:paraId="22452FF1"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2069</w:t>
            </w:r>
          </w:p>
        </w:tc>
        <w:tc>
          <w:tcPr>
            <w:tcW w:w="1221" w:type="dxa"/>
            <w:tcBorders>
              <w:top w:val="nil"/>
              <w:left w:val="nil"/>
              <w:bottom w:val="nil"/>
              <w:right w:val="single" w:sz="4" w:space="0" w:color="auto"/>
            </w:tcBorders>
            <w:shd w:val="clear" w:color="auto" w:fill="auto"/>
            <w:noWrap/>
            <w:vAlign w:val="bottom"/>
            <w:hideMark/>
          </w:tcPr>
          <w:p w14:paraId="534CE453"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2069</w:t>
            </w:r>
          </w:p>
        </w:tc>
      </w:tr>
      <w:tr w:rsidR="0090360E" w:rsidRPr="0090360E" w14:paraId="720A05FE"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7EDF68EE"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Tasa de rendimiento</w:t>
            </w:r>
          </w:p>
        </w:tc>
        <w:tc>
          <w:tcPr>
            <w:tcW w:w="1221" w:type="dxa"/>
            <w:tcBorders>
              <w:top w:val="nil"/>
              <w:left w:val="single" w:sz="4" w:space="0" w:color="969696"/>
              <w:bottom w:val="nil"/>
              <w:right w:val="single" w:sz="4" w:space="0" w:color="969696"/>
            </w:tcBorders>
            <w:shd w:val="clear" w:color="auto" w:fill="auto"/>
            <w:noWrap/>
            <w:vAlign w:val="bottom"/>
            <w:hideMark/>
          </w:tcPr>
          <w:p w14:paraId="5BC9688C"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2.00%</w:t>
            </w:r>
          </w:p>
        </w:tc>
        <w:tc>
          <w:tcPr>
            <w:tcW w:w="891" w:type="dxa"/>
            <w:tcBorders>
              <w:top w:val="nil"/>
              <w:left w:val="nil"/>
              <w:bottom w:val="nil"/>
              <w:right w:val="single" w:sz="4" w:space="0" w:color="969696"/>
            </w:tcBorders>
            <w:shd w:val="clear" w:color="auto" w:fill="auto"/>
            <w:noWrap/>
            <w:vAlign w:val="bottom"/>
            <w:hideMark/>
          </w:tcPr>
          <w:p w14:paraId="58BCA6E3"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585B3F1C"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2.00%</w:t>
            </w:r>
          </w:p>
        </w:tc>
        <w:tc>
          <w:tcPr>
            <w:tcW w:w="1155" w:type="dxa"/>
            <w:tcBorders>
              <w:top w:val="nil"/>
              <w:left w:val="nil"/>
              <w:bottom w:val="nil"/>
              <w:right w:val="single" w:sz="4" w:space="0" w:color="969696"/>
            </w:tcBorders>
            <w:shd w:val="clear" w:color="auto" w:fill="auto"/>
            <w:noWrap/>
            <w:vAlign w:val="bottom"/>
            <w:hideMark/>
          </w:tcPr>
          <w:p w14:paraId="3F90FD8C"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2.00%</w:t>
            </w:r>
          </w:p>
        </w:tc>
        <w:tc>
          <w:tcPr>
            <w:tcW w:w="1275" w:type="dxa"/>
            <w:tcBorders>
              <w:top w:val="nil"/>
              <w:left w:val="nil"/>
              <w:bottom w:val="nil"/>
              <w:right w:val="single" w:sz="4" w:space="0" w:color="969696"/>
            </w:tcBorders>
            <w:shd w:val="clear" w:color="auto" w:fill="auto"/>
            <w:noWrap/>
            <w:vAlign w:val="bottom"/>
            <w:hideMark/>
          </w:tcPr>
          <w:p w14:paraId="385BBEAC"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2.00%</w:t>
            </w:r>
          </w:p>
        </w:tc>
        <w:tc>
          <w:tcPr>
            <w:tcW w:w="1221" w:type="dxa"/>
            <w:tcBorders>
              <w:top w:val="nil"/>
              <w:left w:val="nil"/>
              <w:bottom w:val="nil"/>
              <w:right w:val="single" w:sz="4" w:space="0" w:color="auto"/>
            </w:tcBorders>
            <w:shd w:val="clear" w:color="auto" w:fill="auto"/>
            <w:noWrap/>
            <w:vAlign w:val="bottom"/>
            <w:hideMark/>
          </w:tcPr>
          <w:p w14:paraId="32AEAC05"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2.00%</w:t>
            </w:r>
          </w:p>
        </w:tc>
      </w:tr>
      <w:tr w:rsidR="0090360E" w:rsidRPr="0090360E" w14:paraId="229997B2"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0594DABC" w14:textId="77777777" w:rsidR="0090360E" w:rsidRPr="0090360E" w:rsidRDefault="0090360E" w:rsidP="0090360E">
            <w:pPr>
              <w:jc w:val="center"/>
              <w:rPr>
                <w:rFonts w:eastAsia="Times New Roman" w:cs="Arial"/>
                <w:color w:val="000000"/>
                <w:sz w:val="12"/>
                <w:szCs w:val="12"/>
              </w:rPr>
            </w:pPr>
          </w:p>
        </w:tc>
        <w:tc>
          <w:tcPr>
            <w:tcW w:w="1221" w:type="dxa"/>
            <w:tcBorders>
              <w:top w:val="nil"/>
              <w:left w:val="single" w:sz="4" w:space="0" w:color="969696"/>
              <w:bottom w:val="nil"/>
              <w:right w:val="single" w:sz="4" w:space="0" w:color="969696"/>
            </w:tcBorders>
            <w:shd w:val="clear" w:color="auto" w:fill="auto"/>
            <w:noWrap/>
            <w:vAlign w:val="bottom"/>
            <w:hideMark/>
          </w:tcPr>
          <w:p w14:paraId="3A9822B5"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891" w:type="dxa"/>
            <w:tcBorders>
              <w:top w:val="nil"/>
              <w:left w:val="nil"/>
              <w:bottom w:val="nil"/>
              <w:right w:val="single" w:sz="4" w:space="0" w:color="969696"/>
            </w:tcBorders>
            <w:shd w:val="clear" w:color="auto" w:fill="auto"/>
            <w:noWrap/>
            <w:vAlign w:val="bottom"/>
            <w:hideMark/>
          </w:tcPr>
          <w:p w14:paraId="79784D5F"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173D2AA1"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2099125F"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2B627C9D"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7C534C0D" w14:textId="77777777" w:rsidR="0090360E" w:rsidRPr="0090360E" w:rsidRDefault="0090360E" w:rsidP="0090360E">
            <w:pPr>
              <w:jc w:val="center"/>
              <w:rPr>
                <w:rFonts w:eastAsia="Times New Roman" w:cs="Arial"/>
                <w:b/>
                <w:bCs/>
                <w:color w:val="000000"/>
                <w:sz w:val="12"/>
                <w:szCs w:val="12"/>
              </w:rPr>
            </w:pPr>
            <w:r w:rsidRPr="0090360E">
              <w:rPr>
                <w:rFonts w:eastAsia="Times New Roman" w:cs="Arial"/>
                <w:b/>
                <w:bCs/>
                <w:color w:val="000000"/>
                <w:sz w:val="12"/>
                <w:szCs w:val="12"/>
              </w:rPr>
              <w:t> </w:t>
            </w:r>
          </w:p>
        </w:tc>
      </w:tr>
      <w:tr w:rsidR="0090360E" w:rsidRPr="0090360E" w14:paraId="57DC2BA2"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795D3CA3" w14:textId="77777777" w:rsidR="0090360E" w:rsidRPr="0090360E" w:rsidRDefault="0090360E" w:rsidP="0090360E">
            <w:pPr>
              <w:jc w:val="left"/>
              <w:rPr>
                <w:rFonts w:eastAsia="Times New Roman" w:cs="Arial"/>
                <w:b/>
                <w:bCs/>
                <w:color w:val="000000"/>
                <w:sz w:val="12"/>
                <w:szCs w:val="12"/>
              </w:rPr>
            </w:pPr>
            <w:r w:rsidRPr="0090360E">
              <w:rPr>
                <w:rFonts w:eastAsia="Times New Roman" w:cs="Arial"/>
                <w:b/>
                <w:bCs/>
                <w:color w:val="000000"/>
                <w:sz w:val="12"/>
                <w:szCs w:val="12"/>
              </w:rPr>
              <w:t>Estudio actuarial</w:t>
            </w:r>
          </w:p>
        </w:tc>
        <w:tc>
          <w:tcPr>
            <w:tcW w:w="1221" w:type="dxa"/>
            <w:tcBorders>
              <w:top w:val="nil"/>
              <w:left w:val="single" w:sz="4" w:space="0" w:color="969696"/>
              <w:bottom w:val="nil"/>
              <w:right w:val="single" w:sz="4" w:space="0" w:color="969696"/>
            </w:tcBorders>
            <w:shd w:val="clear" w:color="auto" w:fill="auto"/>
            <w:noWrap/>
            <w:vAlign w:val="bottom"/>
            <w:hideMark/>
          </w:tcPr>
          <w:p w14:paraId="08EC232B"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891" w:type="dxa"/>
            <w:tcBorders>
              <w:top w:val="nil"/>
              <w:left w:val="nil"/>
              <w:bottom w:val="nil"/>
              <w:right w:val="single" w:sz="4" w:space="0" w:color="969696"/>
            </w:tcBorders>
            <w:shd w:val="clear" w:color="auto" w:fill="auto"/>
            <w:noWrap/>
            <w:vAlign w:val="bottom"/>
            <w:hideMark/>
          </w:tcPr>
          <w:p w14:paraId="660DD61A"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3BDB871A"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155" w:type="dxa"/>
            <w:tcBorders>
              <w:top w:val="nil"/>
              <w:left w:val="nil"/>
              <w:bottom w:val="nil"/>
              <w:right w:val="single" w:sz="4" w:space="0" w:color="969696"/>
            </w:tcBorders>
            <w:shd w:val="clear" w:color="auto" w:fill="auto"/>
            <w:noWrap/>
            <w:vAlign w:val="bottom"/>
            <w:hideMark/>
          </w:tcPr>
          <w:p w14:paraId="6FDABA3F"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75" w:type="dxa"/>
            <w:tcBorders>
              <w:top w:val="nil"/>
              <w:left w:val="nil"/>
              <w:bottom w:val="nil"/>
              <w:right w:val="single" w:sz="4" w:space="0" w:color="969696"/>
            </w:tcBorders>
            <w:shd w:val="clear" w:color="auto" w:fill="auto"/>
            <w:noWrap/>
            <w:vAlign w:val="bottom"/>
            <w:hideMark/>
          </w:tcPr>
          <w:p w14:paraId="3527FFDE"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221" w:type="dxa"/>
            <w:tcBorders>
              <w:top w:val="nil"/>
              <w:left w:val="nil"/>
              <w:bottom w:val="nil"/>
              <w:right w:val="single" w:sz="4" w:space="0" w:color="auto"/>
            </w:tcBorders>
            <w:shd w:val="clear" w:color="auto" w:fill="auto"/>
            <w:noWrap/>
            <w:vAlign w:val="bottom"/>
            <w:hideMark/>
          </w:tcPr>
          <w:p w14:paraId="5A8FC096"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 </w:t>
            </w:r>
          </w:p>
        </w:tc>
      </w:tr>
      <w:tr w:rsidR="0090360E" w:rsidRPr="0090360E" w14:paraId="56037101"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3482CA55"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Año de elaboración del estudio actuarial</w:t>
            </w:r>
          </w:p>
        </w:tc>
        <w:tc>
          <w:tcPr>
            <w:tcW w:w="1221" w:type="dxa"/>
            <w:tcBorders>
              <w:top w:val="nil"/>
              <w:left w:val="single" w:sz="4" w:space="0" w:color="969696"/>
              <w:bottom w:val="nil"/>
              <w:right w:val="single" w:sz="4" w:space="0" w:color="969696"/>
            </w:tcBorders>
            <w:shd w:val="clear" w:color="auto" w:fill="auto"/>
            <w:noWrap/>
            <w:vAlign w:val="bottom"/>
            <w:hideMark/>
          </w:tcPr>
          <w:p w14:paraId="1898E89C"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2024</w:t>
            </w:r>
          </w:p>
        </w:tc>
        <w:tc>
          <w:tcPr>
            <w:tcW w:w="891" w:type="dxa"/>
            <w:tcBorders>
              <w:top w:val="nil"/>
              <w:left w:val="nil"/>
              <w:bottom w:val="nil"/>
              <w:right w:val="single" w:sz="4" w:space="0" w:color="969696"/>
            </w:tcBorders>
            <w:shd w:val="clear" w:color="auto" w:fill="auto"/>
            <w:noWrap/>
            <w:vAlign w:val="bottom"/>
            <w:hideMark/>
          </w:tcPr>
          <w:p w14:paraId="3D207852" w14:textId="77777777" w:rsidR="0090360E" w:rsidRPr="0090360E" w:rsidRDefault="0090360E" w:rsidP="0090360E">
            <w:pPr>
              <w:jc w:val="left"/>
              <w:rPr>
                <w:rFonts w:eastAsia="Times New Roman" w:cs="Arial"/>
                <w:color w:val="000000"/>
                <w:sz w:val="12"/>
                <w:szCs w:val="12"/>
              </w:rPr>
            </w:pPr>
            <w:r w:rsidRPr="0090360E">
              <w:rPr>
                <w:rFonts w:eastAsia="Times New Roman" w:cs="Arial"/>
                <w:color w:val="000000"/>
                <w:sz w:val="12"/>
                <w:szCs w:val="12"/>
              </w:rPr>
              <w:t> </w:t>
            </w:r>
          </w:p>
        </w:tc>
        <w:tc>
          <w:tcPr>
            <w:tcW w:w="1075" w:type="dxa"/>
            <w:tcBorders>
              <w:top w:val="nil"/>
              <w:left w:val="nil"/>
              <w:bottom w:val="nil"/>
              <w:right w:val="single" w:sz="4" w:space="0" w:color="969696"/>
            </w:tcBorders>
            <w:shd w:val="clear" w:color="auto" w:fill="auto"/>
            <w:noWrap/>
            <w:vAlign w:val="bottom"/>
            <w:hideMark/>
          </w:tcPr>
          <w:p w14:paraId="21B4BEDA"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2024</w:t>
            </w:r>
          </w:p>
        </w:tc>
        <w:tc>
          <w:tcPr>
            <w:tcW w:w="1155" w:type="dxa"/>
            <w:tcBorders>
              <w:top w:val="nil"/>
              <w:left w:val="nil"/>
              <w:bottom w:val="nil"/>
              <w:right w:val="single" w:sz="4" w:space="0" w:color="969696"/>
            </w:tcBorders>
            <w:shd w:val="clear" w:color="auto" w:fill="auto"/>
            <w:noWrap/>
            <w:vAlign w:val="bottom"/>
            <w:hideMark/>
          </w:tcPr>
          <w:p w14:paraId="2E0A7B9A"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2024</w:t>
            </w:r>
          </w:p>
        </w:tc>
        <w:tc>
          <w:tcPr>
            <w:tcW w:w="1275" w:type="dxa"/>
            <w:tcBorders>
              <w:top w:val="nil"/>
              <w:left w:val="nil"/>
              <w:bottom w:val="nil"/>
              <w:right w:val="single" w:sz="4" w:space="0" w:color="969696"/>
            </w:tcBorders>
            <w:shd w:val="clear" w:color="auto" w:fill="auto"/>
            <w:noWrap/>
            <w:vAlign w:val="bottom"/>
            <w:hideMark/>
          </w:tcPr>
          <w:p w14:paraId="63348495"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2024</w:t>
            </w:r>
          </w:p>
        </w:tc>
        <w:tc>
          <w:tcPr>
            <w:tcW w:w="1221" w:type="dxa"/>
            <w:tcBorders>
              <w:top w:val="nil"/>
              <w:left w:val="nil"/>
              <w:bottom w:val="nil"/>
              <w:right w:val="single" w:sz="4" w:space="0" w:color="auto"/>
            </w:tcBorders>
            <w:shd w:val="clear" w:color="auto" w:fill="auto"/>
            <w:noWrap/>
            <w:vAlign w:val="bottom"/>
            <w:hideMark/>
          </w:tcPr>
          <w:p w14:paraId="70CF2676" w14:textId="77777777" w:rsidR="0090360E" w:rsidRPr="0090360E" w:rsidRDefault="0090360E" w:rsidP="0090360E">
            <w:pPr>
              <w:jc w:val="center"/>
              <w:rPr>
                <w:rFonts w:eastAsia="Times New Roman" w:cs="Arial"/>
                <w:color w:val="000000"/>
                <w:sz w:val="12"/>
                <w:szCs w:val="12"/>
              </w:rPr>
            </w:pPr>
            <w:r w:rsidRPr="0090360E">
              <w:rPr>
                <w:rFonts w:eastAsia="Times New Roman" w:cs="Arial"/>
                <w:color w:val="000000"/>
                <w:sz w:val="12"/>
                <w:szCs w:val="12"/>
              </w:rPr>
              <w:t>2024</w:t>
            </w:r>
          </w:p>
        </w:tc>
      </w:tr>
      <w:tr w:rsidR="0090360E" w:rsidRPr="0090360E" w14:paraId="52FEDB08" w14:textId="77777777" w:rsidTr="00527954">
        <w:trPr>
          <w:gridAfter w:val="1"/>
          <w:wAfter w:w="7" w:type="dxa"/>
          <w:trHeight w:val="20"/>
        </w:trPr>
        <w:tc>
          <w:tcPr>
            <w:tcW w:w="2724" w:type="dxa"/>
            <w:tcBorders>
              <w:top w:val="nil"/>
              <w:left w:val="single" w:sz="4" w:space="0" w:color="auto"/>
              <w:bottom w:val="nil"/>
              <w:right w:val="nil"/>
            </w:tcBorders>
            <w:shd w:val="clear" w:color="auto" w:fill="auto"/>
            <w:vAlign w:val="center"/>
            <w:hideMark/>
          </w:tcPr>
          <w:p w14:paraId="5D13222E" w14:textId="77777777" w:rsidR="0090360E" w:rsidRPr="0090360E" w:rsidRDefault="0090360E" w:rsidP="0090360E">
            <w:pPr>
              <w:jc w:val="left"/>
              <w:rPr>
                <w:rFonts w:eastAsia="Times New Roman" w:cs="Arial"/>
                <w:sz w:val="12"/>
                <w:szCs w:val="12"/>
              </w:rPr>
            </w:pPr>
            <w:r w:rsidRPr="0090360E">
              <w:rPr>
                <w:rFonts w:eastAsia="Times New Roman" w:cs="Arial"/>
                <w:sz w:val="12"/>
                <w:szCs w:val="12"/>
              </w:rPr>
              <w:t>Empresa que elaboró el estudio actuarial</w:t>
            </w:r>
          </w:p>
        </w:tc>
        <w:tc>
          <w:tcPr>
            <w:tcW w:w="1221" w:type="dxa"/>
            <w:tcBorders>
              <w:top w:val="nil"/>
              <w:left w:val="single" w:sz="4" w:space="0" w:color="969696"/>
              <w:bottom w:val="nil"/>
              <w:right w:val="single" w:sz="4" w:space="0" w:color="969696"/>
            </w:tcBorders>
            <w:shd w:val="clear" w:color="auto" w:fill="auto"/>
            <w:vAlign w:val="center"/>
            <w:hideMark/>
          </w:tcPr>
          <w:p w14:paraId="4213315A" w14:textId="77777777" w:rsidR="0090360E" w:rsidRPr="0090360E" w:rsidRDefault="0090360E" w:rsidP="0090360E">
            <w:pPr>
              <w:jc w:val="center"/>
              <w:rPr>
                <w:rFonts w:eastAsia="Times New Roman" w:cs="Arial"/>
                <w:color w:val="000000"/>
                <w:sz w:val="10"/>
                <w:szCs w:val="10"/>
              </w:rPr>
            </w:pPr>
            <w:r w:rsidRPr="0090360E">
              <w:rPr>
                <w:rFonts w:eastAsia="Times New Roman" w:cs="Arial"/>
                <w:color w:val="000000"/>
                <w:sz w:val="10"/>
                <w:szCs w:val="10"/>
              </w:rPr>
              <w:t>Valuaciones Actuariales del Norte, S. C.</w:t>
            </w:r>
          </w:p>
        </w:tc>
        <w:tc>
          <w:tcPr>
            <w:tcW w:w="891" w:type="dxa"/>
            <w:tcBorders>
              <w:top w:val="nil"/>
              <w:left w:val="nil"/>
              <w:bottom w:val="nil"/>
              <w:right w:val="single" w:sz="4" w:space="0" w:color="969696"/>
            </w:tcBorders>
            <w:shd w:val="clear" w:color="auto" w:fill="auto"/>
            <w:vAlign w:val="center"/>
            <w:hideMark/>
          </w:tcPr>
          <w:p w14:paraId="75592016" w14:textId="77777777" w:rsidR="0090360E" w:rsidRPr="0090360E" w:rsidRDefault="0090360E" w:rsidP="0090360E">
            <w:pPr>
              <w:jc w:val="center"/>
              <w:rPr>
                <w:rFonts w:eastAsia="Times New Roman" w:cs="Arial"/>
                <w:color w:val="000000"/>
                <w:sz w:val="10"/>
                <w:szCs w:val="10"/>
              </w:rPr>
            </w:pPr>
            <w:r w:rsidRPr="0090360E">
              <w:rPr>
                <w:rFonts w:eastAsia="Times New Roman" w:cs="Arial"/>
                <w:color w:val="000000"/>
                <w:sz w:val="10"/>
                <w:szCs w:val="10"/>
              </w:rPr>
              <w:t> </w:t>
            </w:r>
          </w:p>
        </w:tc>
        <w:tc>
          <w:tcPr>
            <w:tcW w:w="1075" w:type="dxa"/>
            <w:tcBorders>
              <w:top w:val="nil"/>
              <w:left w:val="nil"/>
              <w:bottom w:val="nil"/>
              <w:right w:val="single" w:sz="4" w:space="0" w:color="969696"/>
            </w:tcBorders>
            <w:shd w:val="clear" w:color="auto" w:fill="auto"/>
            <w:vAlign w:val="center"/>
            <w:hideMark/>
          </w:tcPr>
          <w:p w14:paraId="7730D663" w14:textId="77777777" w:rsidR="0090360E" w:rsidRPr="0090360E" w:rsidRDefault="0090360E" w:rsidP="0090360E">
            <w:pPr>
              <w:jc w:val="center"/>
              <w:rPr>
                <w:rFonts w:eastAsia="Times New Roman" w:cs="Arial"/>
                <w:color w:val="000000"/>
                <w:sz w:val="10"/>
                <w:szCs w:val="10"/>
              </w:rPr>
            </w:pPr>
            <w:r w:rsidRPr="0090360E">
              <w:rPr>
                <w:rFonts w:eastAsia="Times New Roman" w:cs="Arial"/>
                <w:color w:val="000000"/>
                <w:sz w:val="10"/>
                <w:szCs w:val="10"/>
              </w:rPr>
              <w:t>Valuaciones Actuariales del Norte, S. C.</w:t>
            </w:r>
          </w:p>
        </w:tc>
        <w:tc>
          <w:tcPr>
            <w:tcW w:w="1155" w:type="dxa"/>
            <w:tcBorders>
              <w:top w:val="nil"/>
              <w:left w:val="nil"/>
              <w:bottom w:val="nil"/>
              <w:right w:val="single" w:sz="4" w:space="0" w:color="969696"/>
            </w:tcBorders>
            <w:shd w:val="clear" w:color="auto" w:fill="auto"/>
            <w:vAlign w:val="center"/>
            <w:hideMark/>
          </w:tcPr>
          <w:p w14:paraId="279D9179" w14:textId="77777777" w:rsidR="0090360E" w:rsidRPr="0090360E" w:rsidRDefault="0090360E" w:rsidP="0090360E">
            <w:pPr>
              <w:jc w:val="center"/>
              <w:rPr>
                <w:rFonts w:eastAsia="Times New Roman" w:cs="Arial"/>
                <w:color w:val="000000"/>
                <w:sz w:val="10"/>
                <w:szCs w:val="10"/>
              </w:rPr>
            </w:pPr>
            <w:r w:rsidRPr="0090360E">
              <w:rPr>
                <w:rFonts w:eastAsia="Times New Roman" w:cs="Arial"/>
                <w:color w:val="000000"/>
                <w:sz w:val="10"/>
                <w:szCs w:val="10"/>
              </w:rPr>
              <w:t>Valuaciones Actuariales del Norte, S. C.</w:t>
            </w:r>
          </w:p>
        </w:tc>
        <w:tc>
          <w:tcPr>
            <w:tcW w:w="1275" w:type="dxa"/>
            <w:tcBorders>
              <w:top w:val="nil"/>
              <w:left w:val="nil"/>
              <w:bottom w:val="nil"/>
              <w:right w:val="single" w:sz="4" w:space="0" w:color="969696"/>
            </w:tcBorders>
            <w:shd w:val="clear" w:color="auto" w:fill="auto"/>
            <w:vAlign w:val="center"/>
            <w:hideMark/>
          </w:tcPr>
          <w:p w14:paraId="62E28C06" w14:textId="77777777" w:rsidR="0090360E" w:rsidRPr="0090360E" w:rsidRDefault="0090360E" w:rsidP="0090360E">
            <w:pPr>
              <w:jc w:val="center"/>
              <w:rPr>
                <w:rFonts w:eastAsia="Times New Roman" w:cs="Arial"/>
                <w:color w:val="000000"/>
                <w:sz w:val="10"/>
                <w:szCs w:val="10"/>
              </w:rPr>
            </w:pPr>
            <w:r w:rsidRPr="0090360E">
              <w:rPr>
                <w:rFonts w:eastAsia="Times New Roman" w:cs="Arial"/>
                <w:color w:val="000000"/>
                <w:sz w:val="10"/>
                <w:szCs w:val="10"/>
              </w:rPr>
              <w:t>Valuaciones Actuariales del Norte, S. C.</w:t>
            </w:r>
          </w:p>
        </w:tc>
        <w:tc>
          <w:tcPr>
            <w:tcW w:w="1221" w:type="dxa"/>
            <w:tcBorders>
              <w:top w:val="nil"/>
              <w:left w:val="nil"/>
              <w:bottom w:val="nil"/>
              <w:right w:val="single" w:sz="4" w:space="0" w:color="auto"/>
            </w:tcBorders>
            <w:shd w:val="clear" w:color="auto" w:fill="auto"/>
            <w:vAlign w:val="center"/>
            <w:hideMark/>
          </w:tcPr>
          <w:p w14:paraId="28229D72" w14:textId="77777777" w:rsidR="0090360E" w:rsidRPr="0090360E" w:rsidRDefault="0090360E" w:rsidP="0090360E">
            <w:pPr>
              <w:jc w:val="center"/>
              <w:rPr>
                <w:rFonts w:eastAsia="Times New Roman" w:cs="Arial"/>
                <w:color w:val="000000"/>
                <w:sz w:val="10"/>
                <w:szCs w:val="10"/>
              </w:rPr>
            </w:pPr>
            <w:r w:rsidRPr="0090360E">
              <w:rPr>
                <w:rFonts w:eastAsia="Times New Roman" w:cs="Arial"/>
                <w:color w:val="000000"/>
                <w:sz w:val="10"/>
                <w:szCs w:val="10"/>
              </w:rPr>
              <w:t>Valuaciones Actuariales del Norte, S. C.</w:t>
            </w:r>
          </w:p>
        </w:tc>
      </w:tr>
      <w:tr w:rsidR="0090360E" w:rsidRPr="0090360E" w14:paraId="51EEA826" w14:textId="77777777" w:rsidTr="00527954">
        <w:trPr>
          <w:gridAfter w:val="1"/>
          <w:wAfter w:w="7" w:type="dxa"/>
          <w:trHeight w:val="20"/>
        </w:trPr>
        <w:tc>
          <w:tcPr>
            <w:tcW w:w="2724" w:type="dxa"/>
            <w:tcBorders>
              <w:top w:val="nil"/>
              <w:left w:val="single" w:sz="4" w:space="0" w:color="auto"/>
              <w:bottom w:val="single" w:sz="4" w:space="0" w:color="auto"/>
              <w:right w:val="nil"/>
            </w:tcBorders>
            <w:shd w:val="clear" w:color="auto" w:fill="auto"/>
            <w:vAlign w:val="center"/>
            <w:hideMark/>
          </w:tcPr>
          <w:p w14:paraId="162599BA" w14:textId="77777777" w:rsidR="0090360E" w:rsidRPr="0090360E" w:rsidRDefault="0090360E" w:rsidP="0090360E">
            <w:pPr>
              <w:jc w:val="center"/>
              <w:rPr>
                <w:rFonts w:eastAsia="Times New Roman" w:cs="Arial"/>
                <w:color w:val="000000"/>
                <w:sz w:val="12"/>
                <w:szCs w:val="12"/>
              </w:rPr>
            </w:pPr>
          </w:p>
        </w:tc>
        <w:tc>
          <w:tcPr>
            <w:tcW w:w="1221" w:type="dxa"/>
            <w:tcBorders>
              <w:top w:val="nil"/>
              <w:left w:val="nil"/>
              <w:bottom w:val="single" w:sz="4" w:space="0" w:color="auto"/>
              <w:right w:val="nil"/>
            </w:tcBorders>
            <w:shd w:val="clear" w:color="auto" w:fill="auto"/>
            <w:vAlign w:val="center"/>
            <w:hideMark/>
          </w:tcPr>
          <w:p w14:paraId="3B87238D" w14:textId="77777777" w:rsidR="0090360E" w:rsidRPr="0090360E" w:rsidRDefault="0090360E" w:rsidP="0090360E">
            <w:pPr>
              <w:jc w:val="left"/>
              <w:rPr>
                <w:rFonts w:eastAsia="Times New Roman" w:cs="Arial"/>
                <w:sz w:val="12"/>
                <w:szCs w:val="12"/>
              </w:rPr>
            </w:pPr>
          </w:p>
        </w:tc>
        <w:tc>
          <w:tcPr>
            <w:tcW w:w="891" w:type="dxa"/>
            <w:tcBorders>
              <w:top w:val="nil"/>
              <w:left w:val="nil"/>
              <w:bottom w:val="single" w:sz="4" w:space="0" w:color="auto"/>
              <w:right w:val="nil"/>
            </w:tcBorders>
            <w:shd w:val="clear" w:color="auto" w:fill="auto"/>
            <w:vAlign w:val="center"/>
            <w:hideMark/>
          </w:tcPr>
          <w:p w14:paraId="4A6BADCA" w14:textId="77777777" w:rsidR="0090360E" w:rsidRPr="0090360E" w:rsidRDefault="0090360E" w:rsidP="0090360E">
            <w:pPr>
              <w:jc w:val="center"/>
              <w:rPr>
                <w:rFonts w:eastAsia="Times New Roman" w:cs="Arial"/>
                <w:sz w:val="12"/>
                <w:szCs w:val="12"/>
              </w:rPr>
            </w:pPr>
          </w:p>
        </w:tc>
        <w:tc>
          <w:tcPr>
            <w:tcW w:w="1075" w:type="dxa"/>
            <w:tcBorders>
              <w:top w:val="nil"/>
              <w:left w:val="nil"/>
              <w:bottom w:val="single" w:sz="4" w:space="0" w:color="auto"/>
              <w:right w:val="nil"/>
            </w:tcBorders>
            <w:shd w:val="clear" w:color="auto" w:fill="auto"/>
            <w:vAlign w:val="center"/>
            <w:hideMark/>
          </w:tcPr>
          <w:p w14:paraId="1FF708DC" w14:textId="77777777" w:rsidR="0090360E" w:rsidRPr="0090360E" w:rsidRDefault="0090360E" w:rsidP="0090360E">
            <w:pPr>
              <w:jc w:val="center"/>
              <w:rPr>
                <w:rFonts w:eastAsia="Times New Roman" w:cs="Arial"/>
                <w:sz w:val="12"/>
                <w:szCs w:val="12"/>
              </w:rPr>
            </w:pPr>
          </w:p>
        </w:tc>
        <w:tc>
          <w:tcPr>
            <w:tcW w:w="1155" w:type="dxa"/>
            <w:tcBorders>
              <w:top w:val="nil"/>
              <w:left w:val="nil"/>
              <w:bottom w:val="single" w:sz="4" w:space="0" w:color="auto"/>
              <w:right w:val="nil"/>
            </w:tcBorders>
            <w:shd w:val="clear" w:color="auto" w:fill="auto"/>
            <w:vAlign w:val="center"/>
            <w:hideMark/>
          </w:tcPr>
          <w:p w14:paraId="631B97AB" w14:textId="77777777" w:rsidR="0090360E" w:rsidRPr="0090360E" w:rsidRDefault="0090360E" w:rsidP="0090360E">
            <w:pPr>
              <w:jc w:val="center"/>
              <w:rPr>
                <w:rFonts w:eastAsia="Times New Roman" w:cs="Arial"/>
                <w:sz w:val="12"/>
                <w:szCs w:val="12"/>
              </w:rPr>
            </w:pPr>
          </w:p>
        </w:tc>
        <w:tc>
          <w:tcPr>
            <w:tcW w:w="1275" w:type="dxa"/>
            <w:tcBorders>
              <w:top w:val="nil"/>
              <w:left w:val="nil"/>
              <w:bottom w:val="single" w:sz="4" w:space="0" w:color="auto"/>
              <w:right w:val="nil"/>
            </w:tcBorders>
            <w:shd w:val="clear" w:color="auto" w:fill="auto"/>
            <w:vAlign w:val="center"/>
            <w:hideMark/>
          </w:tcPr>
          <w:p w14:paraId="34965A5B" w14:textId="77777777" w:rsidR="0090360E" w:rsidRPr="0090360E" w:rsidRDefault="0090360E" w:rsidP="0090360E">
            <w:pPr>
              <w:jc w:val="center"/>
              <w:rPr>
                <w:rFonts w:eastAsia="Times New Roman" w:cs="Arial"/>
                <w:sz w:val="12"/>
                <w:szCs w:val="12"/>
              </w:rPr>
            </w:pPr>
          </w:p>
        </w:tc>
        <w:tc>
          <w:tcPr>
            <w:tcW w:w="1221" w:type="dxa"/>
            <w:tcBorders>
              <w:top w:val="nil"/>
              <w:left w:val="nil"/>
              <w:bottom w:val="single" w:sz="4" w:space="0" w:color="auto"/>
              <w:right w:val="single" w:sz="4" w:space="0" w:color="auto"/>
            </w:tcBorders>
            <w:shd w:val="clear" w:color="auto" w:fill="auto"/>
            <w:vAlign w:val="center"/>
            <w:hideMark/>
          </w:tcPr>
          <w:p w14:paraId="071529BB" w14:textId="77777777" w:rsidR="0090360E" w:rsidRPr="0090360E" w:rsidRDefault="0090360E" w:rsidP="0090360E">
            <w:pPr>
              <w:jc w:val="center"/>
              <w:rPr>
                <w:rFonts w:eastAsia="Times New Roman" w:cs="Arial"/>
                <w:sz w:val="12"/>
                <w:szCs w:val="12"/>
              </w:rPr>
            </w:pPr>
          </w:p>
        </w:tc>
      </w:tr>
    </w:tbl>
    <w:p w14:paraId="017AE2A2" w14:textId="2A76E527" w:rsidR="0090360E" w:rsidRDefault="0090360E" w:rsidP="003D40E2">
      <w:pPr>
        <w:rPr>
          <w:rFonts w:cs="Arial"/>
        </w:rPr>
      </w:pPr>
    </w:p>
    <w:p w14:paraId="2E41CDBB" w14:textId="77777777" w:rsidR="000B5B46" w:rsidRDefault="000B5B46" w:rsidP="003D40E2">
      <w:pPr>
        <w:rPr>
          <w:rFonts w:cs="Arial"/>
        </w:rPr>
      </w:pPr>
    </w:p>
    <w:p w14:paraId="3F837CF4" w14:textId="77777777" w:rsidR="003D40E2" w:rsidRPr="00516AFF" w:rsidRDefault="003D40E2" w:rsidP="003D40E2">
      <w:pPr>
        <w:pStyle w:val="Ttulo2"/>
        <w:rPr>
          <w:rFonts w:cs="Arial"/>
        </w:rPr>
      </w:pPr>
      <w:bookmarkStart w:id="1" w:name="_Hlk178839883"/>
      <w:r w:rsidRPr="00516AFF">
        <w:rPr>
          <w:rFonts w:cs="Arial"/>
        </w:rPr>
        <w:t>2.VI. Histórico de pensiones y jubilaciones</w:t>
      </w:r>
    </w:p>
    <w:p w14:paraId="325D7C2D" w14:textId="77777777" w:rsidR="003D40E2" w:rsidRPr="00516AFF" w:rsidRDefault="003D40E2" w:rsidP="003D40E2">
      <w:pPr>
        <w:rPr>
          <w:rFonts w:cs="Arial"/>
          <w:b/>
          <w:bC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992"/>
        <w:gridCol w:w="992"/>
        <w:gridCol w:w="993"/>
        <w:gridCol w:w="1134"/>
        <w:gridCol w:w="1134"/>
        <w:gridCol w:w="1114"/>
        <w:gridCol w:w="1070"/>
        <w:gridCol w:w="1076"/>
      </w:tblGrid>
      <w:tr w:rsidR="003D40E2" w:rsidRPr="00943552" w14:paraId="6B5BD223" w14:textId="77777777" w:rsidTr="00807CE2">
        <w:trPr>
          <w:trHeight w:val="20"/>
          <w:tblHeader/>
          <w:jc w:val="center"/>
        </w:trPr>
        <w:tc>
          <w:tcPr>
            <w:tcW w:w="9351" w:type="dxa"/>
            <w:gridSpan w:val="9"/>
            <w:shd w:val="clear" w:color="000000" w:fill="D9D9D9"/>
            <w:vAlign w:val="center"/>
            <w:hideMark/>
          </w:tcPr>
          <w:p w14:paraId="47719487" w14:textId="00271045" w:rsidR="003D40E2" w:rsidRPr="00943552" w:rsidRDefault="003D40E2" w:rsidP="00A04566">
            <w:pPr>
              <w:jc w:val="center"/>
              <w:rPr>
                <w:rFonts w:eastAsia="Times New Roman" w:cs="Arial"/>
                <w:b/>
                <w:bCs/>
                <w:sz w:val="14"/>
                <w:szCs w:val="14"/>
              </w:rPr>
            </w:pPr>
            <w:bookmarkStart w:id="2" w:name="RANGE!B2:O13"/>
            <w:r w:rsidRPr="00943552">
              <w:rPr>
                <w:rFonts w:eastAsia="Times New Roman" w:cs="Arial"/>
                <w:b/>
                <w:bCs/>
                <w:sz w:val="14"/>
                <w:szCs w:val="14"/>
              </w:rPr>
              <w:t>Pensiones y Jubilaciones 201</w:t>
            </w:r>
            <w:r w:rsidR="005B7CB8">
              <w:rPr>
                <w:rFonts w:eastAsia="Times New Roman" w:cs="Arial"/>
                <w:b/>
                <w:bCs/>
                <w:sz w:val="14"/>
                <w:szCs w:val="14"/>
              </w:rPr>
              <w:t>9</w:t>
            </w:r>
            <w:r w:rsidRPr="00943552">
              <w:rPr>
                <w:rFonts w:eastAsia="Times New Roman" w:cs="Arial"/>
                <w:b/>
                <w:bCs/>
                <w:sz w:val="14"/>
                <w:szCs w:val="14"/>
              </w:rPr>
              <w:t>-202</w:t>
            </w:r>
            <w:bookmarkEnd w:id="2"/>
            <w:r w:rsidR="0046027E" w:rsidRPr="00943552">
              <w:rPr>
                <w:rFonts w:eastAsia="Times New Roman" w:cs="Arial"/>
                <w:b/>
                <w:bCs/>
                <w:sz w:val="14"/>
                <w:szCs w:val="14"/>
              </w:rPr>
              <w:t>5</w:t>
            </w:r>
          </w:p>
        </w:tc>
      </w:tr>
      <w:tr w:rsidR="00943552" w:rsidRPr="00943552" w14:paraId="4A8ABB76" w14:textId="77777777" w:rsidTr="00807CE2">
        <w:tblPrEx>
          <w:tblCellMar>
            <w:left w:w="28" w:type="dxa"/>
            <w:right w:w="28" w:type="dxa"/>
          </w:tblCellMar>
        </w:tblPrEx>
        <w:trPr>
          <w:trHeight w:val="20"/>
          <w:tblHeader/>
          <w:jc w:val="center"/>
        </w:trPr>
        <w:tc>
          <w:tcPr>
            <w:tcW w:w="846" w:type="dxa"/>
            <w:shd w:val="clear" w:color="000000" w:fill="D9D9D9"/>
            <w:vAlign w:val="bottom"/>
            <w:hideMark/>
          </w:tcPr>
          <w:p w14:paraId="3C99736A" w14:textId="5130C0DF" w:rsidR="00943552" w:rsidRPr="00943552" w:rsidRDefault="00943552" w:rsidP="00A04566">
            <w:pPr>
              <w:jc w:val="center"/>
              <w:rPr>
                <w:rFonts w:eastAsia="Times New Roman" w:cs="Arial"/>
                <w:b/>
                <w:bCs/>
                <w:sz w:val="14"/>
                <w:szCs w:val="14"/>
              </w:rPr>
            </w:pPr>
            <w:r w:rsidRPr="00943552">
              <w:rPr>
                <w:rFonts w:eastAsia="Times New Roman" w:cs="Arial"/>
                <w:b/>
                <w:bCs/>
                <w:sz w:val="14"/>
                <w:szCs w:val="14"/>
              </w:rPr>
              <w:t>Capítulo</w:t>
            </w:r>
          </w:p>
        </w:tc>
        <w:tc>
          <w:tcPr>
            <w:tcW w:w="992" w:type="dxa"/>
            <w:shd w:val="clear" w:color="000000" w:fill="D9D9D9"/>
            <w:vAlign w:val="center"/>
            <w:hideMark/>
          </w:tcPr>
          <w:p w14:paraId="65ED7628" w14:textId="77777777" w:rsidR="00943552" w:rsidRPr="00943552" w:rsidRDefault="00943552" w:rsidP="00AF37D0">
            <w:pPr>
              <w:jc w:val="center"/>
              <w:rPr>
                <w:rFonts w:eastAsia="Times New Roman" w:cs="Arial"/>
                <w:b/>
                <w:bCs/>
                <w:sz w:val="14"/>
                <w:szCs w:val="14"/>
              </w:rPr>
            </w:pPr>
            <w:r w:rsidRPr="00943552">
              <w:rPr>
                <w:rFonts w:eastAsia="Times New Roman" w:cs="Arial"/>
                <w:b/>
                <w:bCs/>
                <w:sz w:val="14"/>
                <w:szCs w:val="14"/>
              </w:rPr>
              <w:t>Concepto</w:t>
            </w:r>
          </w:p>
        </w:tc>
        <w:tc>
          <w:tcPr>
            <w:tcW w:w="992" w:type="dxa"/>
            <w:shd w:val="clear" w:color="000000" w:fill="D9D9D9"/>
            <w:vAlign w:val="center"/>
            <w:hideMark/>
          </w:tcPr>
          <w:p w14:paraId="23479600" w14:textId="77777777" w:rsidR="00943552" w:rsidRPr="00943552" w:rsidRDefault="00943552" w:rsidP="00AF37D0">
            <w:pPr>
              <w:jc w:val="center"/>
              <w:rPr>
                <w:rFonts w:eastAsia="Times New Roman" w:cs="Arial"/>
                <w:b/>
                <w:bCs/>
                <w:sz w:val="14"/>
                <w:szCs w:val="14"/>
              </w:rPr>
            </w:pPr>
            <w:r w:rsidRPr="00943552">
              <w:rPr>
                <w:rFonts w:eastAsia="Times New Roman" w:cs="Arial"/>
                <w:b/>
                <w:bCs/>
                <w:sz w:val="14"/>
                <w:szCs w:val="14"/>
              </w:rPr>
              <w:t>2019</w:t>
            </w:r>
          </w:p>
        </w:tc>
        <w:tc>
          <w:tcPr>
            <w:tcW w:w="993" w:type="dxa"/>
            <w:shd w:val="clear" w:color="000000" w:fill="D9D9D9"/>
            <w:vAlign w:val="center"/>
            <w:hideMark/>
          </w:tcPr>
          <w:p w14:paraId="0C5230A8" w14:textId="77777777" w:rsidR="00943552" w:rsidRPr="00943552" w:rsidRDefault="00943552" w:rsidP="00AF37D0">
            <w:pPr>
              <w:jc w:val="center"/>
              <w:rPr>
                <w:rFonts w:eastAsia="Times New Roman" w:cs="Arial"/>
                <w:b/>
                <w:bCs/>
                <w:sz w:val="14"/>
                <w:szCs w:val="14"/>
              </w:rPr>
            </w:pPr>
            <w:r w:rsidRPr="00943552">
              <w:rPr>
                <w:rFonts w:eastAsia="Times New Roman" w:cs="Arial"/>
                <w:b/>
                <w:bCs/>
                <w:sz w:val="14"/>
                <w:szCs w:val="14"/>
              </w:rPr>
              <w:t>2020</w:t>
            </w:r>
          </w:p>
        </w:tc>
        <w:tc>
          <w:tcPr>
            <w:tcW w:w="1134" w:type="dxa"/>
            <w:shd w:val="clear" w:color="000000" w:fill="D9D9D9"/>
            <w:vAlign w:val="center"/>
            <w:hideMark/>
          </w:tcPr>
          <w:p w14:paraId="4821486A" w14:textId="77777777" w:rsidR="00943552" w:rsidRPr="00943552" w:rsidRDefault="00943552" w:rsidP="00AF37D0">
            <w:pPr>
              <w:jc w:val="center"/>
              <w:rPr>
                <w:rFonts w:eastAsia="Times New Roman" w:cs="Arial"/>
                <w:b/>
                <w:bCs/>
                <w:sz w:val="14"/>
                <w:szCs w:val="14"/>
              </w:rPr>
            </w:pPr>
            <w:r w:rsidRPr="00943552">
              <w:rPr>
                <w:rFonts w:eastAsia="Times New Roman" w:cs="Arial"/>
                <w:b/>
                <w:bCs/>
                <w:sz w:val="14"/>
                <w:szCs w:val="14"/>
              </w:rPr>
              <w:t>2021</w:t>
            </w:r>
          </w:p>
        </w:tc>
        <w:tc>
          <w:tcPr>
            <w:tcW w:w="1134" w:type="dxa"/>
            <w:shd w:val="clear" w:color="000000" w:fill="D9D9D9"/>
            <w:vAlign w:val="center"/>
            <w:hideMark/>
          </w:tcPr>
          <w:p w14:paraId="3FE3EADE" w14:textId="77777777" w:rsidR="00943552" w:rsidRPr="00943552" w:rsidRDefault="00943552" w:rsidP="00AF37D0">
            <w:pPr>
              <w:jc w:val="center"/>
              <w:rPr>
                <w:rFonts w:eastAsia="Times New Roman" w:cs="Arial"/>
                <w:b/>
                <w:bCs/>
                <w:sz w:val="14"/>
                <w:szCs w:val="14"/>
              </w:rPr>
            </w:pPr>
            <w:r w:rsidRPr="00943552">
              <w:rPr>
                <w:rFonts w:eastAsia="Times New Roman" w:cs="Arial"/>
                <w:b/>
                <w:bCs/>
                <w:sz w:val="14"/>
                <w:szCs w:val="14"/>
              </w:rPr>
              <w:t>2022</w:t>
            </w:r>
          </w:p>
        </w:tc>
        <w:tc>
          <w:tcPr>
            <w:tcW w:w="1114" w:type="dxa"/>
            <w:shd w:val="clear" w:color="000000" w:fill="D9D9D9"/>
            <w:vAlign w:val="center"/>
            <w:hideMark/>
          </w:tcPr>
          <w:p w14:paraId="25B610C1" w14:textId="55AC77FD" w:rsidR="00943552" w:rsidRPr="00943552" w:rsidRDefault="00943552" w:rsidP="00AF37D0">
            <w:pPr>
              <w:jc w:val="center"/>
              <w:rPr>
                <w:rFonts w:eastAsia="Times New Roman" w:cs="Arial"/>
                <w:b/>
                <w:bCs/>
                <w:sz w:val="14"/>
                <w:szCs w:val="14"/>
              </w:rPr>
            </w:pPr>
            <w:r w:rsidRPr="00943552">
              <w:rPr>
                <w:rFonts w:eastAsia="Times New Roman" w:cs="Arial"/>
                <w:b/>
                <w:bCs/>
                <w:sz w:val="14"/>
                <w:szCs w:val="14"/>
              </w:rPr>
              <w:t>2023</w:t>
            </w:r>
          </w:p>
        </w:tc>
        <w:tc>
          <w:tcPr>
            <w:tcW w:w="1070" w:type="dxa"/>
            <w:shd w:val="clear" w:color="000000" w:fill="D9D9D9"/>
            <w:noWrap/>
            <w:vAlign w:val="center"/>
          </w:tcPr>
          <w:p w14:paraId="54AD883D" w14:textId="4280D9AC" w:rsidR="00943552" w:rsidRPr="00943552" w:rsidRDefault="00943552" w:rsidP="00AF37D0">
            <w:pPr>
              <w:jc w:val="center"/>
              <w:rPr>
                <w:rFonts w:eastAsia="Times New Roman" w:cs="Arial"/>
                <w:b/>
                <w:bCs/>
                <w:sz w:val="14"/>
                <w:szCs w:val="14"/>
              </w:rPr>
            </w:pPr>
            <w:r w:rsidRPr="00943552">
              <w:rPr>
                <w:rFonts w:eastAsia="Times New Roman" w:cs="Arial"/>
                <w:b/>
                <w:bCs/>
                <w:sz w:val="14"/>
                <w:szCs w:val="14"/>
              </w:rPr>
              <w:t>2024</w:t>
            </w:r>
            <w:r w:rsidR="005B7CB8">
              <w:rPr>
                <w:rFonts w:eastAsia="Times New Roman" w:cs="Arial"/>
                <w:b/>
                <w:bCs/>
                <w:sz w:val="14"/>
                <w:szCs w:val="14"/>
              </w:rPr>
              <w:t>*</w:t>
            </w:r>
          </w:p>
        </w:tc>
        <w:tc>
          <w:tcPr>
            <w:tcW w:w="1076" w:type="dxa"/>
            <w:shd w:val="clear" w:color="000000" w:fill="D9D9D9"/>
            <w:noWrap/>
            <w:vAlign w:val="center"/>
            <w:hideMark/>
          </w:tcPr>
          <w:p w14:paraId="20507AFB" w14:textId="7369F249" w:rsidR="00943552" w:rsidRPr="00943552" w:rsidRDefault="005B7CB8" w:rsidP="00AF37D0">
            <w:pPr>
              <w:jc w:val="center"/>
              <w:rPr>
                <w:rFonts w:eastAsia="Times New Roman" w:cs="Arial"/>
                <w:b/>
                <w:bCs/>
                <w:sz w:val="14"/>
                <w:szCs w:val="14"/>
              </w:rPr>
            </w:pPr>
            <w:r>
              <w:rPr>
                <w:rFonts w:eastAsia="Times New Roman" w:cs="Arial"/>
                <w:b/>
                <w:bCs/>
                <w:sz w:val="14"/>
                <w:szCs w:val="14"/>
              </w:rPr>
              <w:t xml:space="preserve">Estimado </w:t>
            </w:r>
            <w:r w:rsidR="00943552" w:rsidRPr="00943552">
              <w:rPr>
                <w:rFonts w:eastAsia="Times New Roman" w:cs="Arial"/>
                <w:b/>
                <w:bCs/>
                <w:sz w:val="14"/>
                <w:szCs w:val="14"/>
              </w:rPr>
              <w:t>2025</w:t>
            </w:r>
          </w:p>
        </w:tc>
      </w:tr>
      <w:tr w:rsidR="00943552" w:rsidRPr="00943552" w14:paraId="3278E1B7" w14:textId="77777777" w:rsidTr="00943552">
        <w:tblPrEx>
          <w:tblCellMar>
            <w:left w:w="28" w:type="dxa"/>
            <w:right w:w="28" w:type="dxa"/>
          </w:tblCellMar>
        </w:tblPrEx>
        <w:trPr>
          <w:trHeight w:val="20"/>
          <w:jc w:val="center"/>
        </w:trPr>
        <w:tc>
          <w:tcPr>
            <w:tcW w:w="846" w:type="dxa"/>
            <w:shd w:val="clear" w:color="auto" w:fill="auto"/>
            <w:noWrap/>
            <w:vAlign w:val="center"/>
            <w:hideMark/>
          </w:tcPr>
          <w:p w14:paraId="47467442" w14:textId="3FB650E0" w:rsidR="00943552" w:rsidRPr="00943552" w:rsidRDefault="00943552" w:rsidP="00AD7023">
            <w:pPr>
              <w:jc w:val="center"/>
              <w:rPr>
                <w:rFonts w:eastAsia="Times New Roman" w:cs="Arial"/>
                <w:color w:val="000000"/>
                <w:sz w:val="14"/>
                <w:szCs w:val="14"/>
              </w:rPr>
            </w:pPr>
            <w:r w:rsidRPr="00943552">
              <w:rPr>
                <w:rFonts w:eastAsia="Times New Roman" w:cs="Arial"/>
                <w:color w:val="000000"/>
                <w:sz w:val="14"/>
                <w:szCs w:val="14"/>
              </w:rPr>
              <w:t>040500000</w:t>
            </w:r>
          </w:p>
        </w:tc>
        <w:tc>
          <w:tcPr>
            <w:tcW w:w="992" w:type="dxa"/>
            <w:shd w:val="clear" w:color="auto" w:fill="auto"/>
            <w:vAlign w:val="center"/>
            <w:hideMark/>
          </w:tcPr>
          <w:p w14:paraId="74E6F25F" w14:textId="77777777" w:rsidR="00943552" w:rsidRPr="00943552" w:rsidRDefault="00943552" w:rsidP="00AD7023">
            <w:pPr>
              <w:jc w:val="left"/>
              <w:rPr>
                <w:rFonts w:eastAsia="Times New Roman" w:cs="Arial"/>
                <w:b/>
                <w:bCs/>
                <w:color w:val="000000"/>
                <w:sz w:val="14"/>
                <w:szCs w:val="14"/>
              </w:rPr>
            </w:pPr>
            <w:r w:rsidRPr="00943552">
              <w:rPr>
                <w:rFonts w:eastAsia="Times New Roman" w:cs="Arial"/>
                <w:b/>
                <w:bCs/>
                <w:color w:val="000000"/>
                <w:sz w:val="14"/>
                <w:szCs w:val="14"/>
              </w:rPr>
              <w:t>Pensiones y Jubilaciones</w:t>
            </w:r>
          </w:p>
        </w:tc>
        <w:tc>
          <w:tcPr>
            <w:tcW w:w="992" w:type="dxa"/>
            <w:shd w:val="clear" w:color="000000" w:fill="FFFFFF"/>
            <w:noWrap/>
            <w:vAlign w:val="center"/>
            <w:hideMark/>
          </w:tcPr>
          <w:p w14:paraId="568B90E2" w14:textId="77777777" w:rsidR="00943552" w:rsidRPr="00943552" w:rsidRDefault="00943552" w:rsidP="00AD7023">
            <w:pPr>
              <w:jc w:val="center"/>
              <w:rPr>
                <w:rFonts w:eastAsia="Times New Roman" w:cs="Arial"/>
                <w:b/>
                <w:bCs/>
                <w:sz w:val="14"/>
                <w:szCs w:val="14"/>
              </w:rPr>
            </w:pPr>
            <w:r w:rsidRPr="00943552">
              <w:rPr>
                <w:rFonts w:eastAsia="Times New Roman" w:cs="Arial"/>
                <w:b/>
                <w:bCs/>
                <w:sz w:val="14"/>
                <w:szCs w:val="14"/>
              </w:rPr>
              <w:t>944,530,735.7</w:t>
            </w:r>
          </w:p>
        </w:tc>
        <w:tc>
          <w:tcPr>
            <w:tcW w:w="993" w:type="dxa"/>
            <w:shd w:val="clear" w:color="000000" w:fill="FFFFFF"/>
            <w:noWrap/>
            <w:vAlign w:val="center"/>
            <w:hideMark/>
          </w:tcPr>
          <w:p w14:paraId="4342095D" w14:textId="77777777" w:rsidR="00943552" w:rsidRPr="00943552" w:rsidRDefault="00943552" w:rsidP="00AD7023">
            <w:pPr>
              <w:jc w:val="center"/>
              <w:rPr>
                <w:rFonts w:eastAsia="Times New Roman" w:cs="Arial"/>
                <w:b/>
                <w:bCs/>
                <w:sz w:val="14"/>
                <w:szCs w:val="14"/>
              </w:rPr>
            </w:pPr>
            <w:r w:rsidRPr="00943552">
              <w:rPr>
                <w:rFonts w:eastAsia="Times New Roman" w:cs="Arial"/>
                <w:b/>
                <w:bCs/>
                <w:sz w:val="14"/>
                <w:szCs w:val="14"/>
              </w:rPr>
              <w:t>974,915,203.8</w:t>
            </w:r>
          </w:p>
        </w:tc>
        <w:tc>
          <w:tcPr>
            <w:tcW w:w="1134" w:type="dxa"/>
            <w:shd w:val="clear" w:color="000000" w:fill="FFFFFF"/>
            <w:noWrap/>
            <w:vAlign w:val="center"/>
            <w:hideMark/>
          </w:tcPr>
          <w:p w14:paraId="576E17C4" w14:textId="77777777" w:rsidR="00943552" w:rsidRPr="00943552" w:rsidRDefault="00943552" w:rsidP="00AD7023">
            <w:pPr>
              <w:jc w:val="center"/>
              <w:rPr>
                <w:rFonts w:eastAsia="Times New Roman" w:cs="Arial"/>
                <w:b/>
                <w:bCs/>
                <w:sz w:val="14"/>
                <w:szCs w:val="14"/>
              </w:rPr>
            </w:pPr>
            <w:r w:rsidRPr="00943552">
              <w:rPr>
                <w:rFonts w:eastAsia="Times New Roman" w:cs="Arial"/>
                <w:b/>
                <w:bCs/>
                <w:sz w:val="14"/>
                <w:szCs w:val="14"/>
              </w:rPr>
              <w:t>1,036,063,883.5</w:t>
            </w:r>
          </w:p>
        </w:tc>
        <w:tc>
          <w:tcPr>
            <w:tcW w:w="1134" w:type="dxa"/>
            <w:shd w:val="clear" w:color="000000" w:fill="FFFFFF"/>
            <w:noWrap/>
            <w:vAlign w:val="center"/>
            <w:hideMark/>
          </w:tcPr>
          <w:p w14:paraId="35929205" w14:textId="77777777" w:rsidR="00943552" w:rsidRPr="00943552" w:rsidRDefault="00943552" w:rsidP="00AD7023">
            <w:pPr>
              <w:jc w:val="center"/>
              <w:rPr>
                <w:rFonts w:eastAsia="Times New Roman" w:cs="Arial"/>
                <w:b/>
                <w:bCs/>
                <w:sz w:val="14"/>
                <w:szCs w:val="14"/>
              </w:rPr>
            </w:pPr>
            <w:r w:rsidRPr="00943552">
              <w:rPr>
                <w:rFonts w:eastAsia="Times New Roman" w:cs="Arial"/>
                <w:b/>
                <w:bCs/>
                <w:sz w:val="14"/>
                <w:szCs w:val="14"/>
              </w:rPr>
              <w:t>1,068,975,435.8</w:t>
            </w:r>
          </w:p>
        </w:tc>
        <w:tc>
          <w:tcPr>
            <w:tcW w:w="1114" w:type="dxa"/>
            <w:shd w:val="clear" w:color="000000" w:fill="FFFFFF"/>
            <w:noWrap/>
            <w:vAlign w:val="center"/>
          </w:tcPr>
          <w:p w14:paraId="52F89F29" w14:textId="026E2ED2" w:rsidR="00943552" w:rsidRPr="00943552" w:rsidRDefault="00C5752D" w:rsidP="00AD7023">
            <w:pPr>
              <w:jc w:val="center"/>
              <w:rPr>
                <w:rFonts w:eastAsia="Times New Roman" w:cs="Arial"/>
                <w:b/>
                <w:bCs/>
                <w:sz w:val="14"/>
                <w:szCs w:val="14"/>
              </w:rPr>
            </w:pPr>
            <w:r w:rsidRPr="00C5752D">
              <w:rPr>
                <w:rFonts w:eastAsia="Times New Roman" w:cs="Arial"/>
                <w:b/>
                <w:bCs/>
                <w:sz w:val="14"/>
                <w:szCs w:val="14"/>
              </w:rPr>
              <w:t>1,149,639,842</w:t>
            </w:r>
          </w:p>
        </w:tc>
        <w:tc>
          <w:tcPr>
            <w:tcW w:w="1070" w:type="dxa"/>
            <w:shd w:val="clear" w:color="000000" w:fill="FFFFFF"/>
            <w:noWrap/>
            <w:vAlign w:val="center"/>
          </w:tcPr>
          <w:p w14:paraId="26FEBD77" w14:textId="59029894" w:rsidR="00943552" w:rsidRPr="00943552" w:rsidRDefault="00943552" w:rsidP="00AD7023">
            <w:pPr>
              <w:jc w:val="right"/>
              <w:rPr>
                <w:rFonts w:eastAsia="Times New Roman" w:cs="Arial"/>
                <w:b/>
                <w:bCs/>
                <w:sz w:val="14"/>
                <w:szCs w:val="14"/>
              </w:rPr>
            </w:pPr>
            <w:r w:rsidRPr="00943552">
              <w:rPr>
                <w:rFonts w:eastAsia="Times New Roman" w:cs="Arial"/>
                <w:b/>
                <w:bCs/>
                <w:sz w:val="14"/>
                <w:szCs w:val="14"/>
              </w:rPr>
              <w:t>818,746,288.8</w:t>
            </w:r>
          </w:p>
        </w:tc>
        <w:tc>
          <w:tcPr>
            <w:tcW w:w="1076" w:type="dxa"/>
            <w:shd w:val="clear" w:color="000000" w:fill="FFFFFF"/>
            <w:noWrap/>
            <w:vAlign w:val="center"/>
          </w:tcPr>
          <w:p w14:paraId="15B74258" w14:textId="5D07214D" w:rsidR="00943552" w:rsidRPr="00943552" w:rsidRDefault="00943552" w:rsidP="00AD7023">
            <w:pPr>
              <w:jc w:val="right"/>
              <w:rPr>
                <w:rFonts w:eastAsia="Times New Roman" w:cs="Arial"/>
                <w:b/>
                <w:bCs/>
                <w:color w:val="FF0000"/>
                <w:sz w:val="14"/>
                <w:szCs w:val="14"/>
              </w:rPr>
            </w:pPr>
            <w:r w:rsidRPr="00943552">
              <w:rPr>
                <w:rFonts w:cs="Arial"/>
                <w:b/>
                <w:bCs/>
                <w:color w:val="000000"/>
                <w:sz w:val="14"/>
                <w:szCs w:val="14"/>
              </w:rPr>
              <w:t>1,256,591,433</w:t>
            </w:r>
          </w:p>
        </w:tc>
      </w:tr>
      <w:tr w:rsidR="00C5752D" w:rsidRPr="004E49A6" w14:paraId="31F3086F" w14:textId="77777777" w:rsidTr="00322162">
        <w:tblPrEx>
          <w:tblCellMar>
            <w:left w:w="28" w:type="dxa"/>
            <w:right w:w="28" w:type="dxa"/>
          </w:tblCellMar>
        </w:tblPrEx>
        <w:trPr>
          <w:trHeight w:val="20"/>
          <w:jc w:val="center"/>
        </w:trPr>
        <w:tc>
          <w:tcPr>
            <w:tcW w:w="846" w:type="dxa"/>
            <w:shd w:val="clear" w:color="000000" w:fill="D9D9D9"/>
            <w:noWrap/>
            <w:vAlign w:val="center"/>
            <w:hideMark/>
          </w:tcPr>
          <w:p w14:paraId="627808B6" w14:textId="2C97BC25" w:rsidR="00C5752D" w:rsidRPr="004E49A6" w:rsidRDefault="00C5752D" w:rsidP="00C5752D">
            <w:pPr>
              <w:jc w:val="center"/>
              <w:rPr>
                <w:rFonts w:eastAsia="Times New Roman" w:cs="Arial"/>
                <w:b/>
                <w:bCs/>
                <w:color w:val="000000"/>
                <w:sz w:val="14"/>
                <w:szCs w:val="14"/>
              </w:rPr>
            </w:pPr>
            <w:r w:rsidRPr="004E49A6">
              <w:rPr>
                <w:rFonts w:eastAsia="Times New Roman" w:cs="Arial"/>
                <w:b/>
                <w:bCs/>
                <w:color w:val="000000"/>
                <w:sz w:val="14"/>
                <w:szCs w:val="14"/>
              </w:rPr>
              <w:t>040501000</w:t>
            </w:r>
          </w:p>
        </w:tc>
        <w:tc>
          <w:tcPr>
            <w:tcW w:w="992" w:type="dxa"/>
            <w:shd w:val="clear" w:color="000000" w:fill="D9D9D9"/>
            <w:noWrap/>
            <w:vAlign w:val="center"/>
            <w:hideMark/>
          </w:tcPr>
          <w:p w14:paraId="31F32927" w14:textId="77777777" w:rsidR="00C5752D" w:rsidRPr="004E49A6" w:rsidRDefault="00C5752D" w:rsidP="00C5752D">
            <w:pPr>
              <w:jc w:val="left"/>
              <w:rPr>
                <w:rFonts w:eastAsia="Times New Roman" w:cs="Arial"/>
                <w:b/>
                <w:bCs/>
                <w:color w:val="000000"/>
                <w:sz w:val="14"/>
                <w:szCs w:val="14"/>
              </w:rPr>
            </w:pPr>
            <w:r w:rsidRPr="004E49A6">
              <w:rPr>
                <w:rFonts w:eastAsia="Times New Roman" w:cs="Arial"/>
                <w:b/>
                <w:bCs/>
                <w:color w:val="000000"/>
                <w:sz w:val="14"/>
                <w:szCs w:val="14"/>
              </w:rPr>
              <w:t xml:space="preserve">Pensiones  </w:t>
            </w:r>
          </w:p>
        </w:tc>
        <w:tc>
          <w:tcPr>
            <w:tcW w:w="992" w:type="dxa"/>
            <w:shd w:val="clear" w:color="000000" w:fill="D9D9D9"/>
            <w:noWrap/>
            <w:vAlign w:val="center"/>
            <w:hideMark/>
          </w:tcPr>
          <w:p w14:paraId="0729EACE" w14:textId="12C07E91" w:rsidR="00C5752D" w:rsidRPr="004E49A6" w:rsidRDefault="00C5752D" w:rsidP="00C5752D">
            <w:pPr>
              <w:jc w:val="right"/>
              <w:rPr>
                <w:rFonts w:eastAsia="Times New Roman" w:cs="Arial"/>
                <w:b/>
                <w:bCs/>
                <w:sz w:val="14"/>
                <w:szCs w:val="14"/>
              </w:rPr>
            </w:pPr>
            <w:r w:rsidRPr="004E49A6">
              <w:rPr>
                <w:rFonts w:eastAsia="Times New Roman" w:cs="Arial"/>
                <w:b/>
                <w:bCs/>
                <w:sz w:val="14"/>
                <w:szCs w:val="14"/>
              </w:rPr>
              <w:t>241,672,328.9</w:t>
            </w:r>
          </w:p>
        </w:tc>
        <w:tc>
          <w:tcPr>
            <w:tcW w:w="993" w:type="dxa"/>
            <w:shd w:val="clear" w:color="000000" w:fill="D9D9D9"/>
            <w:noWrap/>
            <w:vAlign w:val="center"/>
            <w:hideMark/>
          </w:tcPr>
          <w:p w14:paraId="6E219535" w14:textId="77777777" w:rsidR="00C5752D" w:rsidRPr="004E49A6" w:rsidRDefault="00C5752D" w:rsidP="00C5752D">
            <w:pPr>
              <w:jc w:val="right"/>
              <w:rPr>
                <w:rFonts w:eastAsia="Times New Roman" w:cs="Arial"/>
                <w:b/>
                <w:bCs/>
                <w:sz w:val="14"/>
                <w:szCs w:val="14"/>
              </w:rPr>
            </w:pPr>
            <w:r w:rsidRPr="004E49A6">
              <w:rPr>
                <w:rFonts w:eastAsia="Times New Roman" w:cs="Arial"/>
                <w:b/>
                <w:bCs/>
                <w:sz w:val="14"/>
                <w:szCs w:val="14"/>
              </w:rPr>
              <w:t>251,057,982.8</w:t>
            </w:r>
          </w:p>
        </w:tc>
        <w:tc>
          <w:tcPr>
            <w:tcW w:w="1134" w:type="dxa"/>
            <w:shd w:val="clear" w:color="000000" w:fill="D9D9D9"/>
            <w:noWrap/>
            <w:vAlign w:val="center"/>
            <w:hideMark/>
          </w:tcPr>
          <w:p w14:paraId="1966112F" w14:textId="77777777" w:rsidR="00C5752D" w:rsidRPr="004E49A6" w:rsidRDefault="00C5752D" w:rsidP="00C5752D">
            <w:pPr>
              <w:jc w:val="right"/>
              <w:rPr>
                <w:rFonts w:eastAsia="Times New Roman" w:cs="Arial"/>
                <w:b/>
                <w:bCs/>
                <w:sz w:val="14"/>
                <w:szCs w:val="14"/>
              </w:rPr>
            </w:pPr>
            <w:r w:rsidRPr="004E49A6">
              <w:rPr>
                <w:rFonts w:eastAsia="Times New Roman" w:cs="Arial"/>
                <w:b/>
                <w:bCs/>
                <w:sz w:val="14"/>
                <w:szCs w:val="14"/>
              </w:rPr>
              <w:t>274,072,645.1</w:t>
            </w:r>
          </w:p>
        </w:tc>
        <w:tc>
          <w:tcPr>
            <w:tcW w:w="1134" w:type="dxa"/>
            <w:shd w:val="clear" w:color="000000" w:fill="D9D9D9"/>
            <w:noWrap/>
            <w:vAlign w:val="center"/>
            <w:hideMark/>
          </w:tcPr>
          <w:p w14:paraId="7BAE0685" w14:textId="77777777" w:rsidR="00C5752D" w:rsidRPr="004E49A6" w:rsidRDefault="00C5752D" w:rsidP="00C5752D">
            <w:pPr>
              <w:jc w:val="right"/>
              <w:rPr>
                <w:rFonts w:eastAsia="Times New Roman" w:cs="Arial"/>
                <w:b/>
                <w:bCs/>
                <w:sz w:val="14"/>
                <w:szCs w:val="14"/>
              </w:rPr>
            </w:pPr>
            <w:r w:rsidRPr="004E49A6">
              <w:rPr>
                <w:rFonts w:eastAsia="Times New Roman" w:cs="Arial"/>
                <w:b/>
                <w:bCs/>
                <w:sz w:val="14"/>
                <w:szCs w:val="14"/>
              </w:rPr>
              <w:t>290,280,557.9</w:t>
            </w:r>
          </w:p>
        </w:tc>
        <w:tc>
          <w:tcPr>
            <w:tcW w:w="1114" w:type="dxa"/>
            <w:shd w:val="clear" w:color="000000" w:fill="D9D9D9"/>
            <w:noWrap/>
          </w:tcPr>
          <w:p w14:paraId="5E3D2356" w14:textId="5F484504" w:rsidR="00C5752D" w:rsidRPr="004E49A6" w:rsidRDefault="00C5752D" w:rsidP="00C5752D">
            <w:pPr>
              <w:jc w:val="right"/>
              <w:rPr>
                <w:rFonts w:eastAsia="Times New Roman" w:cs="Arial"/>
                <w:b/>
                <w:bCs/>
                <w:sz w:val="14"/>
                <w:szCs w:val="14"/>
              </w:rPr>
            </w:pPr>
            <w:r w:rsidRPr="00C5752D">
              <w:rPr>
                <w:rFonts w:eastAsia="Times New Roman" w:cs="Arial"/>
                <w:b/>
                <w:bCs/>
                <w:sz w:val="14"/>
                <w:szCs w:val="14"/>
              </w:rPr>
              <w:t>351,959,346</w:t>
            </w:r>
          </w:p>
        </w:tc>
        <w:tc>
          <w:tcPr>
            <w:tcW w:w="1070" w:type="dxa"/>
            <w:shd w:val="clear" w:color="000000" w:fill="D9D9D9"/>
            <w:noWrap/>
            <w:vAlign w:val="center"/>
          </w:tcPr>
          <w:p w14:paraId="6A81805E" w14:textId="762BE0C0" w:rsidR="00C5752D" w:rsidRPr="004E49A6" w:rsidRDefault="00C5752D" w:rsidP="00C5752D">
            <w:pPr>
              <w:jc w:val="right"/>
              <w:rPr>
                <w:rFonts w:eastAsia="Times New Roman" w:cs="Arial"/>
                <w:b/>
                <w:bCs/>
                <w:sz w:val="14"/>
                <w:szCs w:val="14"/>
              </w:rPr>
            </w:pPr>
            <w:r w:rsidRPr="004E49A6">
              <w:rPr>
                <w:rFonts w:eastAsia="Times New Roman" w:cs="Arial"/>
                <w:b/>
                <w:bCs/>
                <w:sz w:val="14"/>
                <w:szCs w:val="14"/>
              </w:rPr>
              <w:t>215,350,791.1</w:t>
            </w:r>
          </w:p>
        </w:tc>
        <w:tc>
          <w:tcPr>
            <w:tcW w:w="1076" w:type="dxa"/>
            <w:shd w:val="clear" w:color="000000" w:fill="D9D9D9"/>
            <w:noWrap/>
            <w:vAlign w:val="center"/>
          </w:tcPr>
          <w:p w14:paraId="05268618" w14:textId="75957916" w:rsidR="00C5752D" w:rsidRPr="004E49A6" w:rsidRDefault="00C5752D" w:rsidP="00C5752D">
            <w:pPr>
              <w:jc w:val="right"/>
              <w:rPr>
                <w:rFonts w:eastAsia="Times New Roman" w:cs="Arial"/>
                <w:b/>
                <w:bCs/>
                <w:color w:val="FF0000"/>
                <w:sz w:val="14"/>
                <w:szCs w:val="14"/>
              </w:rPr>
            </w:pPr>
            <w:r w:rsidRPr="004E49A6">
              <w:rPr>
                <w:rFonts w:cs="Arial"/>
                <w:b/>
                <w:bCs/>
                <w:color w:val="000000"/>
                <w:sz w:val="14"/>
                <w:szCs w:val="14"/>
              </w:rPr>
              <w:t>351,624,108</w:t>
            </w:r>
          </w:p>
        </w:tc>
      </w:tr>
      <w:tr w:rsidR="00C5752D" w:rsidRPr="00943552" w14:paraId="344DC324" w14:textId="77777777" w:rsidTr="00C5752D">
        <w:tblPrEx>
          <w:tblCellMar>
            <w:left w:w="28" w:type="dxa"/>
            <w:right w:w="28" w:type="dxa"/>
          </w:tblCellMar>
        </w:tblPrEx>
        <w:trPr>
          <w:trHeight w:val="20"/>
          <w:jc w:val="center"/>
        </w:trPr>
        <w:tc>
          <w:tcPr>
            <w:tcW w:w="846" w:type="dxa"/>
            <w:shd w:val="clear" w:color="auto" w:fill="auto"/>
            <w:noWrap/>
            <w:vAlign w:val="center"/>
            <w:hideMark/>
          </w:tcPr>
          <w:p w14:paraId="53974943" w14:textId="3CFEA50C" w:rsidR="00C5752D" w:rsidRPr="00943552" w:rsidRDefault="00C5752D" w:rsidP="00C5752D">
            <w:pPr>
              <w:jc w:val="center"/>
              <w:rPr>
                <w:rFonts w:eastAsia="Times New Roman" w:cs="Arial"/>
                <w:color w:val="000000"/>
                <w:sz w:val="14"/>
                <w:szCs w:val="14"/>
              </w:rPr>
            </w:pPr>
            <w:r w:rsidRPr="00943552">
              <w:rPr>
                <w:rFonts w:eastAsia="Times New Roman" w:cs="Arial"/>
                <w:color w:val="000000"/>
                <w:sz w:val="14"/>
                <w:szCs w:val="14"/>
              </w:rPr>
              <w:t>040501001</w:t>
            </w:r>
          </w:p>
        </w:tc>
        <w:tc>
          <w:tcPr>
            <w:tcW w:w="992" w:type="dxa"/>
            <w:shd w:val="clear" w:color="auto" w:fill="auto"/>
            <w:vAlign w:val="center"/>
            <w:hideMark/>
          </w:tcPr>
          <w:p w14:paraId="6DE27F5B" w14:textId="77777777" w:rsidR="00C5752D" w:rsidRPr="00943552" w:rsidRDefault="00C5752D" w:rsidP="00C5752D">
            <w:pPr>
              <w:jc w:val="left"/>
              <w:rPr>
                <w:rFonts w:eastAsia="Times New Roman" w:cs="Arial"/>
                <w:color w:val="000000"/>
                <w:sz w:val="14"/>
                <w:szCs w:val="14"/>
              </w:rPr>
            </w:pPr>
            <w:r w:rsidRPr="00943552">
              <w:rPr>
                <w:rFonts w:eastAsia="Times New Roman" w:cs="Arial"/>
                <w:color w:val="000000"/>
                <w:sz w:val="14"/>
                <w:szCs w:val="14"/>
              </w:rPr>
              <w:t>Pensiones Magisterio</w:t>
            </w:r>
          </w:p>
        </w:tc>
        <w:tc>
          <w:tcPr>
            <w:tcW w:w="992" w:type="dxa"/>
            <w:shd w:val="clear" w:color="000000" w:fill="FFFFFF"/>
            <w:noWrap/>
            <w:vAlign w:val="center"/>
            <w:hideMark/>
          </w:tcPr>
          <w:p w14:paraId="24FC87C7" w14:textId="77777777" w:rsidR="00C5752D" w:rsidRPr="00943552" w:rsidRDefault="00C5752D" w:rsidP="00C5752D">
            <w:pPr>
              <w:jc w:val="right"/>
              <w:rPr>
                <w:rFonts w:eastAsia="Times New Roman" w:cs="Arial"/>
                <w:sz w:val="14"/>
                <w:szCs w:val="14"/>
              </w:rPr>
            </w:pPr>
            <w:r w:rsidRPr="00943552">
              <w:rPr>
                <w:rFonts w:eastAsia="Times New Roman" w:cs="Arial"/>
                <w:sz w:val="14"/>
                <w:szCs w:val="14"/>
              </w:rPr>
              <w:t>94,366,989.8</w:t>
            </w:r>
          </w:p>
        </w:tc>
        <w:tc>
          <w:tcPr>
            <w:tcW w:w="993" w:type="dxa"/>
            <w:shd w:val="clear" w:color="000000" w:fill="FFFFFF"/>
            <w:noWrap/>
            <w:vAlign w:val="center"/>
            <w:hideMark/>
          </w:tcPr>
          <w:p w14:paraId="06F1B543" w14:textId="77777777" w:rsidR="00C5752D" w:rsidRPr="00943552" w:rsidRDefault="00C5752D" w:rsidP="00C5752D">
            <w:pPr>
              <w:jc w:val="right"/>
              <w:rPr>
                <w:rFonts w:eastAsia="Times New Roman" w:cs="Arial"/>
                <w:sz w:val="14"/>
                <w:szCs w:val="14"/>
              </w:rPr>
            </w:pPr>
            <w:r w:rsidRPr="00943552">
              <w:rPr>
                <w:rFonts w:eastAsia="Times New Roman" w:cs="Arial"/>
                <w:sz w:val="14"/>
                <w:szCs w:val="14"/>
              </w:rPr>
              <w:t>95,111,359.5</w:t>
            </w:r>
          </w:p>
        </w:tc>
        <w:tc>
          <w:tcPr>
            <w:tcW w:w="1134" w:type="dxa"/>
            <w:shd w:val="clear" w:color="000000" w:fill="FFFFFF"/>
            <w:noWrap/>
            <w:vAlign w:val="center"/>
            <w:hideMark/>
          </w:tcPr>
          <w:p w14:paraId="01C38843" w14:textId="77777777" w:rsidR="00C5752D" w:rsidRPr="00943552" w:rsidRDefault="00C5752D" w:rsidP="00C5752D">
            <w:pPr>
              <w:jc w:val="right"/>
              <w:rPr>
                <w:rFonts w:eastAsia="Times New Roman" w:cs="Arial"/>
                <w:sz w:val="14"/>
                <w:szCs w:val="14"/>
              </w:rPr>
            </w:pPr>
            <w:r w:rsidRPr="00943552">
              <w:rPr>
                <w:rFonts w:eastAsia="Times New Roman" w:cs="Arial"/>
                <w:sz w:val="14"/>
                <w:szCs w:val="14"/>
              </w:rPr>
              <w:t>98,426,660.5</w:t>
            </w:r>
          </w:p>
        </w:tc>
        <w:tc>
          <w:tcPr>
            <w:tcW w:w="1134" w:type="dxa"/>
            <w:shd w:val="clear" w:color="000000" w:fill="FFFFFF"/>
            <w:noWrap/>
            <w:vAlign w:val="center"/>
            <w:hideMark/>
          </w:tcPr>
          <w:p w14:paraId="454F194D" w14:textId="77777777" w:rsidR="00C5752D" w:rsidRPr="00943552" w:rsidRDefault="00C5752D" w:rsidP="00C5752D">
            <w:pPr>
              <w:jc w:val="right"/>
              <w:rPr>
                <w:rFonts w:eastAsia="Times New Roman" w:cs="Arial"/>
                <w:sz w:val="14"/>
                <w:szCs w:val="14"/>
              </w:rPr>
            </w:pPr>
            <w:r w:rsidRPr="00943552">
              <w:rPr>
                <w:rFonts w:eastAsia="Times New Roman" w:cs="Arial"/>
                <w:sz w:val="14"/>
                <w:szCs w:val="14"/>
              </w:rPr>
              <w:t>102,261,501.3</w:t>
            </w:r>
          </w:p>
        </w:tc>
        <w:tc>
          <w:tcPr>
            <w:tcW w:w="1114" w:type="dxa"/>
            <w:shd w:val="clear" w:color="000000" w:fill="FFFFFF"/>
            <w:noWrap/>
            <w:vAlign w:val="center"/>
          </w:tcPr>
          <w:p w14:paraId="068A8A34" w14:textId="18DDA7D2" w:rsidR="00C5752D" w:rsidRPr="00C5752D" w:rsidRDefault="00C5752D" w:rsidP="00C5752D">
            <w:pPr>
              <w:jc w:val="right"/>
              <w:rPr>
                <w:rFonts w:eastAsia="Times New Roman" w:cs="Arial"/>
                <w:sz w:val="14"/>
                <w:szCs w:val="14"/>
              </w:rPr>
            </w:pPr>
            <w:r w:rsidRPr="00C5752D">
              <w:rPr>
                <w:rFonts w:eastAsia="Times New Roman" w:cs="Arial"/>
                <w:sz w:val="14"/>
                <w:szCs w:val="14"/>
              </w:rPr>
              <w:t>135,603,968</w:t>
            </w:r>
          </w:p>
        </w:tc>
        <w:tc>
          <w:tcPr>
            <w:tcW w:w="1070" w:type="dxa"/>
            <w:shd w:val="clear" w:color="auto" w:fill="auto"/>
            <w:noWrap/>
            <w:vAlign w:val="center"/>
          </w:tcPr>
          <w:p w14:paraId="0BE48E3D" w14:textId="68D38588" w:rsidR="00C5752D" w:rsidRPr="00943552" w:rsidRDefault="00C5752D" w:rsidP="00C5752D">
            <w:pPr>
              <w:jc w:val="right"/>
              <w:rPr>
                <w:rFonts w:eastAsia="Times New Roman" w:cs="Arial"/>
                <w:sz w:val="14"/>
                <w:szCs w:val="14"/>
              </w:rPr>
            </w:pPr>
            <w:r w:rsidRPr="00943552">
              <w:rPr>
                <w:rFonts w:eastAsia="Times New Roman" w:cs="Arial"/>
                <w:sz w:val="14"/>
                <w:szCs w:val="14"/>
              </w:rPr>
              <w:t>78,864,180.0</w:t>
            </w:r>
          </w:p>
        </w:tc>
        <w:tc>
          <w:tcPr>
            <w:tcW w:w="1076" w:type="dxa"/>
            <w:shd w:val="clear" w:color="auto" w:fill="auto"/>
            <w:noWrap/>
            <w:vAlign w:val="center"/>
          </w:tcPr>
          <w:p w14:paraId="5A31671E" w14:textId="02533356" w:rsidR="00C5752D" w:rsidRPr="00943552" w:rsidRDefault="00C5752D" w:rsidP="00C5752D">
            <w:pPr>
              <w:jc w:val="right"/>
              <w:rPr>
                <w:rFonts w:eastAsia="Times New Roman" w:cs="Arial"/>
                <w:color w:val="FF0000"/>
                <w:sz w:val="14"/>
                <w:szCs w:val="14"/>
              </w:rPr>
            </w:pPr>
            <w:r w:rsidRPr="00943552">
              <w:rPr>
                <w:rFonts w:cs="Arial"/>
                <w:color w:val="000000"/>
                <w:sz w:val="14"/>
                <w:szCs w:val="14"/>
              </w:rPr>
              <w:t>123,758,715</w:t>
            </w:r>
          </w:p>
        </w:tc>
      </w:tr>
      <w:tr w:rsidR="00C5752D" w:rsidRPr="00943552" w14:paraId="7E2F3A1B" w14:textId="77777777" w:rsidTr="00C5752D">
        <w:tblPrEx>
          <w:tblCellMar>
            <w:left w:w="28" w:type="dxa"/>
            <w:right w:w="28" w:type="dxa"/>
          </w:tblCellMar>
        </w:tblPrEx>
        <w:trPr>
          <w:trHeight w:val="20"/>
          <w:jc w:val="center"/>
        </w:trPr>
        <w:tc>
          <w:tcPr>
            <w:tcW w:w="846" w:type="dxa"/>
            <w:shd w:val="clear" w:color="auto" w:fill="auto"/>
            <w:noWrap/>
            <w:vAlign w:val="center"/>
            <w:hideMark/>
          </w:tcPr>
          <w:p w14:paraId="2643FC5E" w14:textId="42F8625D" w:rsidR="00C5752D" w:rsidRPr="00943552" w:rsidRDefault="00C5752D" w:rsidP="00C5752D">
            <w:pPr>
              <w:jc w:val="center"/>
              <w:rPr>
                <w:rFonts w:eastAsia="Times New Roman" w:cs="Arial"/>
                <w:color w:val="000000"/>
                <w:sz w:val="14"/>
                <w:szCs w:val="14"/>
              </w:rPr>
            </w:pPr>
            <w:r w:rsidRPr="00943552">
              <w:rPr>
                <w:rFonts w:eastAsia="Times New Roman" w:cs="Arial"/>
                <w:color w:val="000000"/>
                <w:sz w:val="14"/>
                <w:szCs w:val="14"/>
              </w:rPr>
              <w:t>040501002</w:t>
            </w:r>
          </w:p>
        </w:tc>
        <w:tc>
          <w:tcPr>
            <w:tcW w:w="992" w:type="dxa"/>
            <w:shd w:val="clear" w:color="auto" w:fill="auto"/>
            <w:vAlign w:val="center"/>
            <w:hideMark/>
          </w:tcPr>
          <w:p w14:paraId="19357625" w14:textId="77777777" w:rsidR="00C5752D" w:rsidRPr="00943552" w:rsidRDefault="00C5752D" w:rsidP="00C5752D">
            <w:pPr>
              <w:jc w:val="left"/>
              <w:rPr>
                <w:rFonts w:eastAsia="Times New Roman" w:cs="Arial"/>
                <w:color w:val="000000"/>
                <w:sz w:val="14"/>
                <w:szCs w:val="14"/>
              </w:rPr>
            </w:pPr>
            <w:r w:rsidRPr="00943552">
              <w:rPr>
                <w:rFonts w:eastAsia="Times New Roman" w:cs="Arial"/>
                <w:color w:val="000000"/>
                <w:sz w:val="14"/>
                <w:szCs w:val="14"/>
              </w:rPr>
              <w:t>Pensiones Burocracia</w:t>
            </w:r>
          </w:p>
        </w:tc>
        <w:tc>
          <w:tcPr>
            <w:tcW w:w="992" w:type="dxa"/>
            <w:shd w:val="clear" w:color="000000" w:fill="FFFFFF"/>
            <w:noWrap/>
            <w:vAlign w:val="center"/>
            <w:hideMark/>
          </w:tcPr>
          <w:p w14:paraId="76AB6C0B" w14:textId="77777777" w:rsidR="00C5752D" w:rsidRPr="00943552" w:rsidRDefault="00C5752D" w:rsidP="00C5752D">
            <w:pPr>
              <w:jc w:val="right"/>
              <w:rPr>
                <w:rFonts w:eastAsia="Times New Roman" w:cs="Arial"/>
                <w:sz w:val="14"/>
                <w:szCs w:val="14"/>
              </w:rPr>
            </w:pPr>
            <w:r w:rsidRPr="00943552">
              <w:rPr>
                <w:rFonts w:eastAsia="Times New Roman" w:cs="Arial"/>
                <w:sz w:val="14"/>
                <w:szCs w:val="14"/>
              </w:rPr>
              <w:t>147,305,339.1</w:t>
            </w:r>
          </w:p>
        </w:tc>
        <w:tc>
          <w:tcPr>
            <w:tcW w:w="993" w:type="dxa"/>
            <w:shd w:val="clear" w:color="000000" w:fill="FFFFFF"/>
            <w:noWrap/>
            <w:vAlign w:val="center"/>
            <w:hideMark/>
          </w:tcPr>
          <w:p w14:paraId="295CDFBA" w14:textId="77777777" w:rsidR="00C5752D" w:rsidRPr="00943552" w:rsidRDefault="00C5752D" w:rsidP="00C5752D">
            <w:pPr>
              <w:jc w:val="right"/>
              <w:rPr>
                <w:rFonts w:eastAsia="Times New Roman" w:cs="Arial"/>
                <w:sz w:val="14"/>
                <w:szCs w:val="14"/>
              </w:rPr>
            </w:pPr>
            <w:r w:rsidRPr="00943552">
              <w:rPr>
                <w:rFonts w:eastAsia="Times New Roman" w:cs="Arial"/>
                <w:sz w:val="14"/>
                <w:szCs w:val="14"/>
              </w:rPr>
              <w:t>155,946,623.4</w:t>
            </w:r>
          </w:p>
        </w:tc>
        <w:tc>
          <w:tcPr>
            <w:tcW w:w="1134" w:type="dxa"/>
            <w:shd w:val="clear" w:color="000000" w:fill="FFFFFF"/>
            <w:noWrap/>
            <w:vAlign w:val="center"/>
            <w:hideMark/>
          </w:tcPr>
          <w:p w14:paraId="6AFFB49D" w14:textId="77777777" w:rsidR="00C5752D" w:rsidRPr="00943552" w:rsidRDefault="00C5752D" w:rsidP="00C5752D">
            <w:pPr>
              <w:jc w:val="right"/>
              <w:rPr>
                <w:rFonts w:eastAsia="Times New Roman" w:cs="Arial"/>
                <w:sz w:val="14"/>
                <w:szCs w:val="14"/>
              </w:rPr>
            </w:pPr>
            <w:r w:rsidRPr="00943552">
              <w:rPr>
                <w:rFonts w:eastAsia="Times New Roman" w:cs="Arial"/>
                <w:sz w:val="14"/>
                <w:szCs w:val="14"/>
              </w:rPr>
              <w:t>175,645,984.6</w:t>
            </w:r>
          </w:p>
        </w:tc>
        <w:tc>
          <w:tcPr>
            <w:tcW w:w="1134" w:type="dxa"/>
            <w:shd w:val="clear" w:color="000000" w:fill="FFFFFF"/>
            <w:noWrap/>
            <w:vAlign w:val="center"/>
            <w:hideMark/>
          </w:tcPr>
          <w:p w14:paraId="6EC0E744" w14:textId="77777777" w:rsidR="00C5752D" w:rsidRPr="00943552" w:rsidRDefault="00C5752D" w:rsidP="00C5752D">
            <w:pPr>
              <w:jc w:val="right"/>
              <w:rPr>
                <w:rFonts w:eastAsia="Times New Roman" w:cs="Arial"/>
                <w:sz w:val="14"/>
                <w:szCs w:val="14"/>
              </w:rPr>
            </w:pPr>
            <w:r w:rsidRPr="00943552">
              <w:rPr>
                <w:rFonts w:eastAsia="Times New Roman" w:cs="Arial"/>
                <w:sz w:val="14"/>
                <w:szCs w:val="14"/>
              </w:rPr>
              <w:t>188,019,056.6</w:t>
            </w:r>
          </w:p>
        </w:tc>
        <w:tc>
          <w:tcPr>
            <w:tcW w:w="1114" w:type="dxa"/>
            <w:shd w:val="clear" w:color="000000" w:fill="FFFFFF"/>
            <w:noWrap/>
            <w:vAlign w:val="center"/>
          </w:tcPr>
          <w:p w14:paraId="7974FBD5" w14:textId="4B557599" w:rsidR="00C5752D" w:rsidRPr="00C5752D" w:rsidRDefault="00C5752D" w:rsidP="00C5752D">
            <w:pPr>
              <w:jc w:val="right"/>
              <w:rPr>
                <w:rFonts w:eastAsia="Times New Roman" w:cs="Arial"/>
                <w:sz w:val="14"/>
                <w:szCs w:val="14"/>
              </w:rPr>
            </w:pPr>
            <w:r w:rsidRPr="00C5752D">
              <w:rPr>
                <w:rFonts w:eastAsia="Times New Roman" w:cs="Arial"/>
                <w:sz w:val="14"/>
                <w:szCs w:val="14"/>
              </w:rPr>
              <w:t>216,355,378</w:t>
            </w:r>
          </w:p>
        </w:tc>
        <w:tc>
          <w:tcPr>
            <w:tcW w:w="1070" w:type="dxa"/>
            <w:shd w:val="clear" w:color="auto" w:fill="auto"/>
            <w:noWrap/>
            <w:vAlign w:val="center"/>
          </w:tcPr>
          <w:p w14:paraId="17EE1C62" w14:textId="74D77476" w:rsidR="00C5752D" w:rsidRPr="00943552" w:rsidRDefault="00C5752D" w:rsidP="00C5752D">
            <w:pPr>
              <w:jc w:val="right"/>
              <w:rPr>
                <w:rFonts w:eastAsia="Times New Roman" w:cs="Arial"/>
                <w:sz w:val="14"/>
                <w:szCs w:val="14"/>
              </w:rPr>
            </w:pPr>
            <w:r w:rsidRPr="00943552">
              <w:rPr>
                <w:rFonts w:eastAsia="Times New Roman" w:cs="Arial"/>
                <w:sz w:val="14"/>
                <w:szCs w:val="14"/>
              </w:rPr>
              <w:t>136,486,611.1</w:t>
            </w:r>
          </w:p>
        </w:tc>
        <w:tc>
          <w:tcPr>
            <w:tcW w:w="1076" w:type="dxa"/>
            <w:shd w:val="clear" w:color="auto" w:fill="auto"/>
            <w:noWrap/>
            <w:vAlign w:val="center"/>
          </w:tcPr>
          <w:p w14:paraId="24C394C6" w14:textId="4CE524E9" w:rsidR="00C5752D" w:rsidRPr="00943552" w:rsidRDefault="00C5752D" w:rsidP="00C5752D">
            <w:pPr>
              <w:jc w:val="right"/>
              <w:rPr>
                <w:rFonts w:eastAsia="Times New Roman" w:cs="Arial"/>
                <w:color w:val="FF0000"/>
                <w:sz w:val="14"/>
                <w:szCs w:val="14"/>
              </w:rPr>
            </w:pPr>
            <w:r w:rsidRPr="00943552">
              <w:rPr>
                <w:rFonts w:cs="Arial"/>
                <w:color w:val="000000"/>
                <w:sz w:val="14"/>
                <w:szCs w:val="14"/>
              </w:rPr>
              <w:t>227,865,393</w:t>
            </w:r>
          </w:p>
        </w:tc>
      </w:tr>
      <w:tr w:rsidR="00C5752D" w:rsidRPr="004E49A6" w14:paraId="7E7CDAC9" w14:textId="77777777" w:rsidTr="00322162">
        <w:tblPrEx>
          <w:tblCellMar>
            <w:left w:w="28" w:type="dxa"/>
            <w:right w:w="28" w:type="dxa"/>
          </w:tblCellMar>
        </w:tblPrEx>
        <w:trPr>
          <w:trHeight w:val="20"/>
          <w:jc w:val="center"/>
        </w:trPr>
        <w:tc>
          <w:tcPr>
            <w:tcW w:w="846" w:type="dxa"/>
            <w:shd w:val="clear" w:color="000000" w:fill="D9D9D9"/>
            <w:noWrap/>
            <w:vAlign w:val="center"/>
            <w:hideMark/>
          </w:tcPr>
          <w:p w14:paraId="74D51744" w14:textId="24607B84" w:rsidR="00C5752D" w:rsidRPr="004E49A6" w:rsidRDefault="00C5752D" w:rsidP="00C5752D">
            <w:pPr>
              <w:jc w:val="center"/>
              <w:rPr>
                <w:rFonts w:eastAsia="Times New Roman" w:cs="Arial"/>
                <w:b/>
                <w:bCs/>
                <w:color w:val="000000"/>
                <w:sz w:val="14"/>
                <w:szCs w:val="14"/>
              </w:rPr>
            </w:pPr>
            <w:r w:rsidRPr="004E49A6">
              <w:rPr>
                <w:rFonts w:eastAsia="Times New Roman" w:cs="Arial"/>
                <w:b/>
                <w:bCs/>
                <w:color w:val="000000"/>
                <w:sz w:val="14"/>
                <w:szCs w:val="14"/>
              </w:rPr>
              <w:t>040502000</w:t>
            </w:r>
          </w:p>
        </w:tc>
        <w:tc>
          <w:tcPr>
            <w:tcW w:w="992" w:type="dxa"/>
            <w:shd w:val="clear" w:color="000000" w:fill="D9D9D9"/>
            <w:noWrap/>
            <w:vAlign w:val="center"/>
            <w:hideMark/>
          </w:tcPr>
          <w:p w14:paraId="2DEA767A" w14:textId="77777777" w:rsidR="00C5752D" w:rsidRPr="004E49A6" w:rsidRDefault="00C5752D" w:rsidP="00C5752D">
            <w:pPr>
              <w:jc w:val="left"/>
              <w:rPr>
                <w:rFonts w:eastAsia="Times New Roman" w:cs="Arial"/>
                <w:b/>
                <w:bCs/>
                <w:color w:val="000000"/>
                <w:sz w:val="14"/>
                <w:szCs w:val="14"/>
              </w:rPr>
            </w:pPr>
            <w:r w:rsidRPr="004E49A6">
              <w:rPr>
                <w:rFonts w:eastAsia="Times New Roman" w:cs="Arial"/>
                <w:b/>
                <w:bCs/>
                <w:color w:val="000000"/>
                <w:sz w:val="14"/>
                <w:szCs w:val="14"/>
              </w:rPr>
              <w:t>Jubilaciones</w:t>
            </w:r>
          </w:p>
        </w:tc>
        <w:tc>
          <w:tcPr>
            <w:tcW w:w="992" w:type="dxa"/>
            <w:shd w:val="clear" w:color="000000" w:fill="D9D9D9"/>
            <w:noWrap/>
            <w:vAlign w:val="center"/>
            <w:hideMark/>
          </w:tcPr>
          <w:p w14:paraId="43B7412C" w14:textId="77777777" w:rsidR="00C5752D" w:rsidRPr="004E49A6" w:rsidRDefault="00C5752D" w:rsidP="00C5752D">
            <w:pPr>
              <w:jc w:val="right"/>
              <w:rPr>
                <w:rFonts w:eastAsia="Times New Roman" w:cs="Arial"/>
                <w:b/>
                <w:bCs/>
                <w:sz w:val="14"/>
                <w:szCs w:val="14"/>
              </w:rPr>
            </w:pPr>
            <w:r w:rsidRPr="004E49A6">
              <w:rPr>
                <w:rFonts w:eastAsia="Times New Roman" w:cs="Arial"/>
                <w:b/>
                <w:bCs/>
                <w:sz w:val="14"/>
                <w:szCs w:val="14"/>
              </w:rPr>
              <w:t>702,858,406.8</w:t>
            </w:r>
          </w:p>
        </w:tc>
        <w:tc>
          <w:tcPr>
            <w:tcW w:w="993" w:type="dxa"/>
            <w:shd w:val="clear" w:color="000000" w:fill="D9D9D9"/>
            <w:noWrap/>
            <w:vAlign w:val="center"/>
            <w:hideMark/>
          </w:tcPr>
          <w:p w14:paraId="684C0707" w14:textId="77777777" w:rsidR="00C5752D" w:rsidRPr="004E49A6" w:rsidRDefault="00C5752D" w:rsidP="00C5752D">
            <w:pPr>
              <w:jc w:val="right"/>
              <w:rPr>
                <w:rFonts w:eastAsia="Times New Roman" w:cs="Arial"/>
                <w:b/>
                <w:bCs/>
                <w:sz w:val="14"/>
                <w:szCs w:val="14"/>
              </w:rPr>
            </w:pPr>
            <w:r w:rsidRPr="004E49A6">
              <w:rPr>
                <w:rFonts w:eastAsia="Times New Roman" w:cs="Arial"/>
                <w:b/>
                <w:bCs/>
                <w:sz w:val="14"/>
                <w:szCs w:val="14"/>
              </w:rPr>
              <w:t>723,857,221.0</w:t>
            </w:r>
          </w:p>
        </w:tc>
        <w:tc>
          <w:tcPr>
            <w:tcW w:w="1134" w:type="dxa"/>
            <w:shd w:val="clear" w:color="000000" w:fill="D9D9D9"/>
            <w:noWrap/>
            <w:vAlign w:val="center"/>
            <w:hideMark/>
          </w:tcPr>
          <w:p w14:paraId="47B693C6" w14:textId="77777777" w:rsidR="00C5752D" w:rsidRPr="004E49A6" w:rsidRDefault="00C5752D" w:rsidP="00C5752D">
            <w:pPr>
              <w:jc w:val="right"/>
              <w:rPr>
                <w:rFonts w:eastAsia="Times New Roman" w:cs="Arial"/>
                <w:b/>
                <w:bCs/>
                <w:sz w:val="14"/>
                <w:szCs w:val="14"/>
              </w:rPr>
            </w:pPr>
            <w:r w:rsidRPr="004E49A6">
              <w:rPr>
                <w:rFonts w:eastAsia="Times New Roman" w:cs="Arial"/>
                <w:b/>
                <w:bCs/>
                <w:sz w:val="14"/>
                <w:szCs w:val="14"/>
              </w:rPr>
              <w:t>761,991,238.4</w:t>
            </w:r>
          </w:p>
        </w:tc>
        <w:tc>
          <w:tcPr>
            <w:tcW w:w="1134" w:type="dxa"/>
            <w:shd w:val="clear" w:color="000000" w:fill="D9D9D9"/>
            <w:noWrap/>
            <w:vAlign w:val="center"/>
            <w:hideMark/>
          </w:tcPr>
          <w:p w14:paraId="424FF2EA" w14:textId="77777777" w:rsidR="00C5752D" w:rsidRPr="004E49A6" w:rsidRDefault="00C5752D" w:rsidP="00C5752D">
            <w:pPr>
              <w:jc w:val="right"/>
              <w:rPr>
                <w:rFonts w:eastAsia="Times New Roman" w:cs="Arial"/>
                <w:b/>
                <w:bCs/>
                <w:sz w:val="14"/>
                <w:szCs w:val="14"/>
              </w:rPr>
            </w:pPr>
            <w:r w:rsidRPr="004E49A6">
              <w:rPr>
                <w:rFonts w:eastAsia="Times New Roman" w:cs="Arial"/>
                <w:b/>
                <w:bCs/>
                <w:sz w:val="14"/>
                <w:szCs w:val="14"/>
              </w:rPr>
              <w:t>778,694,877.9</w:t>
            </w:r>
          </w:p>
        </w:tc>
        <w:tc>
          <w:tcPr>
            <w:tcW w:w="1114" w:type="dxa"/>
            <w:shd w:val="clear" w:color="000000" w:fill="D9D9D9"/>
            <w:noWrap/>
          </w:tcPr>
          <w:p w14:paraId="1026C8A3" w14:textId="526D42E2" w:rsidR="00C5752D" w:rsidRPr="004E49A6" w:rsidRDefault="00C5752D" w:rsidP="00C5752D">
            <w:pPr>
              <w:jc w:val="right"/>
              <w:rPr>
                <w:rFonts w:eastAsia="Times New Roman" w:cs="Arial"/>
                <w:b/>
                <w:bCs/>
                <w:sz w:val="14"/>
                <w:szCs w:val="14"/>
              </w:rPr>
            </w:pPr>
            <w:r w:rsidRPr="00C5752D">
              <w:rPr>
                <w:rFonts w:eastAsia="Times New Roman" w:cs="Arial"/>
                <w:b/>
                <w:bCs/>
                <w:sz w:val="14"/>
                <w:szCs w:val="14"/>
              </w:rPr>
              <w:t>797,680,496</w:t>
            </w:r>
          </w:p>
        </w:tc>
        <w:tc>
          <w:tcPr>
            <w:tcW w:w="1070" w:type="dxa"/>
            <w:shd w:val="clear" w:color="000000" w:fill="D9D9D9"/>
            <w:noWrap/>
            <w:vAlign w:val="center"/>
          </w:tcPr>
          <w:p w14:paraId="3AEBCF96" w14:textId="53BA8640" w:rsidR="00C5752D" w:rsidRPr="004E49A6" w:rsidRDefault="00C5752D" w:rsidP="00C5752D">
            <w:pPr>
              <w:jc w:val="right"/>
              <w:rPr>
                <w:rFonts w:eastAsia="Times New Roman" w:cs="Arial"/>
                <w:b/>
                <w:bCs/>
                <w:sz w:val="14"/>
                <w:szCs w:val="14"/>
              </w:rPr>
            </w:pPr>
            <w:r w:rsidRPr="004E49A6">
              <w:rPr>
                <w:rFonts w:eastAsia="Times New Roman" w:cs="Arial"/>
                <w:b/>
                <w:bCs/>
                <w:sz w:val="14"/>
                <w:szCs w:val="14"/>
              </w:rPr>
              <w:t>603,395,497.7</w:t>
            </w:r>
          </w:p>
        </w:tc>
        <w:tc>
          <w:tcPr>
            <w:tcW w:w="1076" w:type="dxa"/>
            <w:shd w:val="clear" w:color="000000" w:fill="D9D9D9"/>
            <w:noWrap/>
            <w:vAlign w:val="center"/>
          </w:tcPr>
          <w:p w14:paraId="03877414" w14:textId="0DC5E11B" w:rsidR="00C5752D" w:rsidRPr="004E49A6" w:rsidRDefault="00C5752D" w:rsidP="00C5752D">
            <w:pPr>
              <w:jc w:val="right"/>
              <w:rPr>
                <w:rFonts w:eastAsia="Times New Roman" w:cs="Arial"/>
                <w:b/>
                <w:bCs/>
                <w:color w:val="FF0000"/>
                <w:sz w:val="14"/>
                <w:szCs w:val="14"/>
              </w:rPr>
            </w:pPr>
            <w:r w:rsidRPr="004E49A6">
              <w:rPr>
                <w:rFonts w:cs="Arial"/>
                <w:b/>
                <w:bCs/>
                <w:color w:val="000000"/>
                <w:sz w:val="14"/>
                <w:szCs w:val="14"/>
              </w:rPr>
              <w:t>904,967,325</w:t>
            </w:r>
          </w:p>
        </w:tc>
      </w:tr>
      <w:tr w:rsidR="00C5752D" w:rsidRPr="00943552" w14:paraId="5E7315E2" w14:textId="77777777" w:rsidTr="00C5752D">
        <w:tblPrEx>
          <w:tblCellMar>
            <w:left w:w="28" w:type="dxa"/>
            <w:right w:w="28" w:type="dxa"/>
          </w:tblCellMar>
        </w:tblPrEx>
        <w:trPr>
          <w:trHeight w:val="20"/>
          <w:jc w:val="center"/>
        </w:trPr>
        <w:tc>
          <w:tcPr>
            <w:tcW w:w="846" w:type="dxa"/>
            <w:shd w:val="clear" w:color="auto" w:fill="auto"/>
            <w:noWrap/>
            <w:vAlign w:val="center"/>
            <w:hideMark/>
          </w:tcPr>
          <w:p w14:paraId="16E241B7" w14:textId="59B20BF8" w:rsidR="00C5752D" w:rsidRPr="00943552" w:rsidRDefault="00C5752D" w:rsidP="00C5752D">
            <w:pPr>
              <w:jc w:val="center"/>
              <w:rPr>
                <w:rFonts w:eastAsia="Times New Roman" w:cs="Arial"/>
                <w:color w:val="000000"/>
                <w:sz w:val="14"/>
                <w:szCs w:val="14"/>
              </w:rPr>
            </w:pPr>
            <w:r w:rsidRPr="00943552">
              <w:rPr>
                <w:rFonts w:eastAsia="Times New Roman" w:cs="Arial"/>
                <w:color w:val="000000"/>
                <w:sz w:val="14"/>
                <w:szCs w:val="14"/>
              </w:rPr>
              <w:t>040502001</w:t>
            </w:r>
          </w:p>
        </w:tc>
        <w:tc>
          <w:tcPr>
            <w:tcW w:w="992" w:type="dxa"/>
            <w:shd w:val="clear" w:color="auto" w:fill="auto"/>
            <w:vAlign w:val="center"/>
            <w:hideMark/>
          </w:tcPr>
          <w:p w14:paraId="00FFC427" w14:textId="77777777" w:rsidR="00C5752D" w:rsidRPr="00943552" w:rsidRDefault="00C5752D" w:rsidP="00C5752D">
            <w:pPr>
              <w:jc w:val="left"/>
              <w:rPr>
                <w:rFonts w:eastAsia="Times New Roman" w:cs="Arial"/>
                <w:color w:val="000000"/>
                <w:sz w:val="14"/>
                <w:szCs w:val="14"/>
              </w:rPr>
            </w:pPr>
            <w:r w:rsidRPr="00943552">
              <w:rPr>
                <w:rFonts w:eastAsia="Times New Roman" w:cs="Arial"/>
                <w:color w:val="000000"/>
                <w:sz w:val="14"/>
                <w:szCs w:val="14"/>
              </w:rPr>
              <w:t>Jubilaciones Magisterio</w:t>
            </w:r>
          </w:p>
        </w:tc>
        <w:tc>
          <w:tcPr>
            <w:tcW w:w="992" w:type="dxa"/>
            <w:shd w:val="clear" w:color="000000" w:fill="FFFFFF"/>
            <w:noWrap/>
            <w:vAlign w:val="center"/>
            <w:hideMark/>
          </w:tcPr>
          <w:p w14:paraId="0B537FBF" w14:textId="77777777" w:rsidR="00C5752D" w:rsidRPr="00943552" w:rsidRDefault="00C5752D" w:rsidP="00C5752D">
            <w:pPr>
              <w:jc w:val="right"/>
              <w:rPr>
                <w:rFonts w:eastAsia="Times New Roman" w:cs="Arial"/>
                <w:sz w:val="14"/>
                <w:szCs w:val="14"/>
              </w:rPr>
            </w:pPr>
            <w:r w:rsidRPr="00943552">
              <w:rPr>
                <w:rFonts w:eastAsia="Times New Roman" w:cs="Arial"/>
                <w:sz w:val="14"/>
                <w:szCs w:val="14"/>
              </w:rPr>
              <w:t>285,037,187.4</w:t>
            </w:r>
          </w:p>
        </w:tc>
        <w:tc>
          <w:tcPr>
            <w:tcW w:w="993" w:type="dxa"/>
            <w:shd w:val="clear" w:color="000000" w:fill="FFFFFF"/>
            <w:noWrap/>
            <w:vAlign w:val="center"/>
            <w:hideMark/>
          </w:tcPr>
          <w:p w14:paraId="1D587378" w14:textId="77777777" w:rsidR="00C5752D" w:rsidRPr="00943552" w:rsidRDefault="00C5752D" w:rsidP="00C5752D">
            <w:pPr>
              <w:jc w:val="right"/>
              <w:rPr>
                <w:rFonts w:eastAsia="Times New Roman" w:cs="Arial"/>
                <w:sz w:val="14"/>
                <w:szCs w:val="14"/>
              </w:rPr>
            </w:pPr>
            <w:r w:rsidRPr="00943552">
              <w:rPr>
                <w:rFonts w:eastAsia="Times New Roman" w:cs="Arial"/>
                <w:sz w:val="14"/>
                <w:szCs w:val="14"/>
              </w:rPr>
              <w:t>288,668,202.2</w:t>
            </w:r>
          </w:p>
        </w:tc>
        <w:tc>
          <w:tcPr>
            <w:tcW w:w="1134" w:type="dxa"/>
            <w:shd w:val="clear" w:color="000000" w:fill="FFFFFF"/>
            <w:noWrap/>
            <w:vAlign w:val="center"/>
            <w:hideMark/>
          </w:tcPr>
          <w:p w14:paraId="65527518" w14:textId="77777777" w:rsidR="00C5752D" w:rsidRPr="00943552" w:rsidRDefault="00C5752D" w:rsidP="00C5752D">
            <w:pPr>
              <w:jc w:val="right"/>
              <w:rPr>
                <w:rFonts w:eastAsia="Times New Roman" w:cs="Arial"/>
                <w:sz w:val="14"/>
                <w:szCs w:val="14"/>
              </w:rPr>
            </w:pPr>
            <w:r w:rsidRPr="00943552">
              <w:rPr>
                <w:rFonts w:eastAsia="Times New Roman" w:cs="Arial"/>
                <w:sz w:val="14"/>
                <w:szCs w:val="14"/>
              </w:rPr>
              <w:t>294,188,594.8</w:t>
            </w:r>
          </w:p>
        </w:tc>
        <w:tc>
          <w:tcPr>
            <w:tcW w:w="1134" w:type="dxa"/>
            <w:shd w:val="clear" w:color="000000" w:fill="FFFFFF"/>
            <w:noWrap/>
            <w:vAlign w:val="center"/>
            <w:hideMark/>
          </w:tcPr>
          <w:p w14:paraId="276303E5" w14:textId="77777777" w:rsidR="00C5752D" w:rsidRPr="00943552" w:rsidRDefault="00C5752D" w:rsidP="00C5752D">
            <w:pPr>
              <w:jc w:val="right"/>
              <w:rPr>
                <w:rFonts w:eastAsia="Times New Roman" w:cs="Arial"/>
                <w:sz w:val="14"/>
                <w:szCs w:val="14"/>
              </w:rPr>
            </w:pPr>
            <w:r w:rsidRPr="00943552">
              <w:rPr>
                <w:rFonts w:eastAsia="Times New Roman" w:cs="Arial"/>
                <w:sz w:val="14"/>
                <w:szCs w:val="14"/>
              </w:rPr>
              <w:t>299,766,194.1</w:t>
            </w:r>
          </w:p>
        </w:tc>
        <w:tc>
          <w:tcPr>
            <w:tcW w:w="1114" w:type="dxa"/>
            <w:shd w:val="clear" w:color="000000" w:fill="FFFFFF"/>
            <w:noWrap/>
            <w:vAlign w:val="center"/>
          </w:tcPr>
          <w:p w14:paraId="1C992A6E" w14:textId="0C2C2154" w:rsidR="00C5752D" w:rsidRPr="00C5752D" w:rsidRDefault="00C5752D" w:rsidP="00C5752D">
            <w:pPr>
              <w:jc w:val="right"/>
              <w:rPr>
                <w:rFonts w:eastAsia="Times New Roman" w:cs="Arial"/>
                <w:sz w:val="14"/>
                <w:szCs w:val="14"/>
              </w:rPr>
            </w:pPr>
            <w:r w:rsidRPr="00C5752D">
              <w:rPr>
                <w:rFonts w:eastAsia="Times New Roman" w:cs="Arial"/>
                <w:sz w:val="14"/>
                <w:szCs w:val="14"/>
              </w:rPr>
              <w:t>283,782,785</w:t>
            </w:r>
          </w:p>
        </w:tc>
        <w:tc>
          <w:tcPr>
            <w:tcW w:w="1070" w:type="dxa"/>
            <w:shd w:val="clear" w:color="auto" w:fill="auto"/>
            <w:noWrap/>
            <w:vAlign w:val="center"/>
          </w:tcPr>
          <w:p w14:paraId="3AFD8751" w14:textId="0A9AC789" w:rsidR="00C5752D" w:rsidRPr="00943552" w:rsidRDefault="00C5752D" w:rsidP="00C5752D">
            <w:pPr>
              <w:jc w:val="right"/>
              <w:rPr>
                <w:rFonts w:eastAsia="Times New Roman" w:cs="Arial"/>
                <w:sz w:val="14"/>
                <w:szCs w:val="14"/>
              </w:rPr>
            </w:pPr>
            <w:r w:rsidRPr="00943552">
              <w:rPr>
                <w:rFonts w:eastAsia="Times New Roman" w:cs="Arial"/>
                <w:sz w:val="14"/>
                <w:szCs w:val="14"/>
              </w:rPr>
              <w:t>218,238,547.8</w:t>
            </w:r>
          </w:p>
        </w:tc>
        <w:tc>
          <w:tcPr>
            <w:tcW w:w="1076" w:type="dxa"/>
            <w:shd w:val="clear" w:color="auto" w:fill="auto"/>
            <w:noWrap/>
            <w:vAlign w:val="center"/>
          </w:tcPr>
          <w:p w14:paraId="2B3D0199" w14:textId="7B5986D9" w:rsidR="00C5752D" w:rsidRPr="00943552" w:rsidRDefault="00C5752D" w:rsidP="00C5752D">
            <w:pPr>
              <w:jc w:val="right"/>
              <w:rPr>
                <w:rFonts w:eastAsia="Times New Roman" w:cs="Arial"/>
                <w:color w:val="FF0000"/>
                <w:sz w:val="14"/>
                <w:szCs w:val="14"/>
              </w:rPr>
            </w:pPr>
            <w:r w:rsidRPr="00943552">
              <w:rPr>
                <w:rFonts w:cs="Arial"/>
                <w:color w:val="000000"/>
                <w:sz w:val="14"/>
                <w:szCs w:val="14"/>
              </w:rPr>
              <w:t>329,984,003</w:t>
            </w:r>
          </w:p>
        </w:tc>
      </w:tr>
      <w:tr w:rsidR="00C5752D" w:rsidRPr="00943552" w14:paraId="467DECA5" w14:textId="77777777" w:rsidTr="00C5752D">
        <w:tblPrEx>
          <w:tblCellMar>
            <w:left w:w="28" w:type="dxa"/>
            <w:right w:w="28" w:type="dxa"/>
          </w:tblCellMar>
        </w:tblPrEx>
        <w:trPr>
          <w:trHeight w:val="20"/>
          <w:jc w:val="center"/>
        </w:trPr>
        <w:tc>
          <w:tcPr>
            <w:tcW w:w="846" w:type="dxa"/>
            <w:shd w:val="clear" w:color="auto" w:fill="auto"/>
            <w:noWrap/>
            <w:vAlign w:val="center"/>
            <w:hideMark/>
          </w:tcPr>
          <w:p w14:paraId="001B6E00" w14:textId="0F5638BE" w:rsidR="00C5752D" w:rsidRPr="00943552" w:rsidRDefault="00C5752D" w:rsidP="00C5752D">
            <w:pPr>
              <w:jc w:val="center"/>
              <w:rPr>
                <w:rFonts w:eastAsia="Times New Roman" w:cs="Arial"/>
                <w:color w:val="000000"/>
                <w:sz w:val="14"/>
                <w:szCs w:val="14"/>
              </w:rPr>
            </w:pPr>
            <w:r w:rsidRPr="00943552">
              <w:rPr>
                <w:rFonts w:eastAsia="Times New Roman" w:cs="Arial"/>
                <w:color w:val="000000"/>
                <w:sz w:val="14"/>
                <w:szCs w:val="14"/>
              </w:rPr>
              <w:t>040502002</w:t>
            </w:r>
          </w:p>
        </w:tc>
        <w:tc>
          <w:tcPr>
            <w:tcW w:w="992" w:type="dxa"/>
            <w:shd w:val="clear" w:color="auto" w:fill="auto"/>
            <w:vAlign w:val="center"/>
            <w:hideMark/>
          </w:tcPr>
          <w:p w14:paraId="3757A2E2" w14:textId="77777777" w:rsidR="00C5752D" w:rsidRPr="00943552" w:rsidRDefault="00C5752D" w:rsidP="00C5752D">
            <w:pPr>
              <w:jc w:val="left"/>
              <w:rPr>
                <w:rFonts w:eastAsia="Times New Roman" w:cs="Arial"/>
                <w:color w:val="000000"/>
                <w:sz w:val="14"/>
                <w:szCs w:val="14"/>
              </w:rPr>
            </w:pPr>
            <w:r w:rsidRPr="00943552">
              <w:rPr>
                <w:rFonts w:eastAsia="Times New Roman" w:cs="Arial"/>
                <w:color w:val="000000"/>
                <w:sz w:val="14"/>
                <w:szCs w:val="14"/>
              </w:rPr>
              <w:t>Jubilaciones Burocracia</w:t>
            </w:r>
          </w:p>
        </w:tc>
        <w:tc>
          <w:tcPr>
            <w:tcW w:w="992" w:type="dxa"/>
            <w:shd w:val="clear" w:color="000000" w:fill="FFFFFF"/>
            <w:noWrap/>
            <w:vAlign w:val="center"/>
            <w:hideMark/>
          </w:tcPr>
          <w:p w14:paraId="6D9957AB" w14:textId="77777777" w:rsidR="00C5752D" w:rsidRPr="00943552" w:rsidRDefault="00C5752D" w:rsidP="00C5752D">
            <w:pPr>
              <w:jc w:val="right"/>
              <w:rPr>
                <w:rFonts w:eastAsia="Times New Roman" w:cs="Arial"/>
                <w:sz w:val="14"/>
                <w:szCs w:val="14"/>
              </w:rPr>
            </w:pPr>
            <w:r w:rsidRPr="00943552">
              <w:rPr>
                <w:rFonts w:eastAsia="Times New Roman" w:cs="Arial"/>
                <w:sz w:val="14"/>
                <w:szCs w:val="14"/>
              </w:rPr>
              <w:t>417,821,219.4</w:t>
            </w:r>
          </w:p>
        </w:tc>
        <w:tc>
          <w:tcPr>
            <w:tcW w:w="993" w:type="dxa"/>
            <w:shd w:val="clear" w:color="000000" w:fill="FFFFFF"/>
            <w:noWrap/>
            <w:vAlign w:val="center"/>
            <w:hideMark/>
          </w:tcPr>
          <w:p w14:paraId="2EC5304F" w14:textId="77777777" w:rsidR="00C5752D" w:rsidRPr="00943552" w:rsidRDefault="00C5752D" w:rsidP="00C5752D">
            <w:pPr>
              <w:jc w:val="right"/>
              <w:rPr>
                <w:rFonts w:eastAsia="Times New Roman" w:cs="Arial"/>
                <w:sz w:val="14"/>
                <w:szCs w:val="14"/>
              </w:rPr>
            </w:pPr>
            <w:r w:rsidRPr="00943552">
              <w:rPr>
                <w:rFonts w:eastAsia="Times New Roman" w:cs="Arial"/>
                <w:sz w:val="14"/>
                <w:szCs w:val="14"/>
              </w:rPr>
              <w:t>435,189,018.9</w:t>
            </w:r>
          </w:p>
        </w:tc>
        <w:tc>
          <w:tcPr>
            <w:tcW w:w="1134" w:type="dxa"/>
            <w:shd w:val="clear" w:color="000000" w:fill="FFFFFF"/>
            <w:noWrap/>
            <w:vAlign w:val="center"/>
            <w:hideMark/>
          </w:tcPr>
          <w:p w14:paraId="5DDB23D5" w14:textId="77777777" w:rsidR="00C5752D" w:rsidRPr="00943552" w:rsidRDefault="00C5752D" w:rsidP="00C5752D">
            <w:pPr>
              <w:jc w:val="right"/>
              <w:rPr>
                <w:rFonts w:eastAsia="Times New Roman" w:cs="Arial"/>
                <w:sz w:val="14"/>
                <w:szCs w:val="14"/>
              </w:rPr>
            </w:pPr>
            <w:r w:rsidRPr="00943552">
              <w:rPr>
                <w:rFonts w:eastAsia="Times New Roman" w:cs="Arial"/>
                <w:sz w:val="14"/>
                <w:szCs w:val="14"/>
              </w:rPr>
              <w:t>467,802,643.6</w:t>
            </w:r>
          </w:p>
        </w:tc>
        <w:tc>
          <w:tcPr>
            <w:tcW w:w="1134" w:type="dxa"/>
            <w:shd w:val="clear" w:color="000000" w:fill="FFFFFF"/>
            <w:noWrap/>
            <w:vAlign w:val="center"/>
            <w:hideMark/>
          </w:tcPr>
          <w:p w14:paraId="3AFA9A1D" w14:textId="77777777" w:rsidR="00C5752D" w:rsidRPr="00943552" w:rsidRDefault="00C5752D" w:rsidP="00C5752D">
            <w:pPr>
              <w:jc w:val="right"/>
              <w:rPr>
                <w:rFonts w:eastAsia="Times New Roman" w:cs="Arial"/>
                <w:sz w:val="14"/>
                <w:szCs w:val="14"/>
              </w:rPr>
            </w:pPr>
            <w:r w:rsidRPr="00943552">
              <w:rPr>
                <w:rFonts w:eastAsia="Times New Roman" w:cs="Arial"/>
                <w:sz w:val="14"/>
                <w:szCs w:val="14"/>
              </w:rPr>
              <w:t>478,928,683.8</w:t>
            </w:r>
          </w:p>
        </w:tc>
        <w:tc>
          <w:tcPr>
            <w:tcW w:w="1114" w:type="dxa"/>
            <w:shd w:val="clear" w:color="000000" w:fill="FFFFFF"/>
            <w:noWrap/>
            <w:vAlign w:val="center"/>
          </w:tcPr>
          <w:p w14:paraId="3AF72E6A" w14:textId="7430277B" w:rsidR="00C5752D" w:rsidRPr="00C5752D" w:rsidRDefault="00C5752D" w:rsidP="00C5752D">
            <w:pPr>
              <w:jc w:val="right"/>
              <w:rPr>
                <w:rFonts w:eastAsia="Times New Roman" w:cs="Arial"/>
                <w:sz w:val="14"/>
                <w:szCs w:val="14"/>
              </w:rPr>
            </w:pPr>
            <w:r w:rsidRPr="00C5752D">
              <w:rPr>
                <w:rFonts w:eastAsia="Times New Roman" w:cs="Arial"/>
                <w:sz w:val="14"/>
                <w:szCs w:val="14"/>
              </w:rPr>
              <w:t>513,897,711</w:t>
            </w:r>
          </w:p>
        </w:tc>
        <w:tc>
          <w:tcPr>
            <w:tcW w:w="1070" w:type="dxa"/>
            <w:shd w:val="clear" w:color="auto" w:fill="auto"/>
            <w:noWrap/>
            <w:vAlign w:val="center"/>
          </w:tcPr>
          <w:p w14:paraId="37BC7738" w14:textId="4A975355" w:rsidR="00C5752D" w:rsidRPr="00943552" w:rsidRDefault="00C5752D" w:rsidP="00C5752D">
            <w:pPr>
              <w:jc w:val="right"/>
              <w:rPr>
                <w:rFonts w:eastAsia="Times New Roman" w:cs="Arial"/>
                <w:sz w:val="14"/>
                <w:szCs w:val="14"/>
              </w:rPr>
            </w:pPr>
            <w:r w:rsidRPr="00943552">
              <w:rPr>
                <w:rFonts w:eastAsia="Times New Roman" w:cs="Arial"/>
                <w:sz w:val="14"/>
                <w:szCs w:val="14"/>
              </w:rPr>
              <w:t>385,156,949.9</w:t>
            </w:r>
          </w:p>
        </w:tc>
        <w:tc>
          <w:tcPr>
            <w:tcW w:w="1076" w:type="dxa"/>
            <w:shd w:val="clear" w:color="auto" w:fill="auto"/>
            <w:noWrap/>
            <w:vAlign w:val="center"/>
          </w:tcPr>
          <w:p w14:paraId="54366999" w14:textId="34971BF5" w:rsidR="00C5752D" w:rsidRPr="00943552" w:rsidRDefault="00C5752D" w:rsidP="00C5752D">
            <w:pPr>
              <w:jc w:val="right"/>
              <w:rPr>
                <w:rFonts w:eastAsia="Times New Roman" w:cs="Arial"/>
                <w:color w:val="FF0000"/>
                <w:sz w:val="14"/>
                <w:szCs w:val="14"/>
              </w:rPr>
            </w:pPr>
            <w:r w:rsidRPr="00943552">
              <w:rPr>
                <w:rFonts w:cs="Arial"/>
                <w:color w:val="000000"/>
                <w:sz w:val="14"/>
                <w:szCs w:val="14"/>
              </w:rPr>
              <w:t>574,983,322</w:t>
            </w:r>
          </w:p>
        </w:tc>
      </w:tr>
    </w:tbl>
    <w:p w14:paraId="67EC5C84" w14:textId="5F9091CF" w:rsidR="003D40E2" w:rsidRDefault="003D40E2" w:rsidP="003D40E2">
      <w:pPr>
        <w:rPr>
          <w:rFonts w:cs="Arial"/>
          <w:sz w:val="12"/>
          <w:szCs w:val="12"/>
        </w:rPr>
      </w:pPr>
      <w:r w:rsidRPr="005C4C91">
        <w:rPr>
          <w:rFonts w:cs="Arial"/>
          <w:b/>
          <w:bCs/>
          <w:sz w:val="12"/>
          <w:szCs w:val="12"/>
        </w:rPr>
        <w:t>Fuente</w:t>
      </w:r>
      <w:r w:rsidRPr="00281636">
        <w:rPr>
          <w:rFonts w:cs="Arial"/>
          <w:sz w:val="12"/>
          <w:szCs w:val="12"/>
        </w:rPr>
        <w:t>:</w:t>
      </w:r>
      <w:r w:rsidR="005C4C91">
        <w:rPr>
          <w:rFonts w:cs="Arial"/>
          <w:sz w:val="12"/>
          <w:szCs w:val="12"/>
        </w:rPr>
        <w:t xml:space="preserve">    </w:t>
      </w:r>
      <w:r w:rsidRPr="00281636">
        <w:rPr>
          <w:rFonts w:cs="Arial"/>
          <w:sz w:val="12"/>
          <w:szCs w:val="12"/>
        </w:rPr>
        <w:t>Cuentas Públicas</w:t>
      </w:r>
      <w:r w:rsidR="00346552">
        <w:rPr>
          <w:rFonts w:cs="Arial"/>
          <w:sz w:val="12"/>
          <w:szCs w:val="12"/>
        </w:rPr>
        <w:t xml:space="preserve"> anuales</w:t>
      </w:r>
      <w:r w:rsidRPr="00281636">
        <w:rPr>
          <w:rFonts w:cs="Arial"/>
          <w:sz w:val="12"/>
          <w:szCs w:val="12"/>
        </w:rPr>
        <w:t xml:space="preserve"> 201</w:t>
      </w:r>
      <w:r w:rsidR="00943552">
        <w:rPr>
          <w:rFonts w:cs="Arial"/>
          <w:sz w:val="12"/>
          <w:szCs w:val="12"/>
        </w:rPr>
        <w:t>9</w:t>
      </w:r>
      <w:r w:rsidRPr="00281636">
        <w:rPr>
          <w:rFonts w:cs="Arial"/>
          <w:sz w:val="12"/>
          <w:szCs w:val="12"/>
        </w:rPr>
        <w:t xml:space="preserve"> </w:t>
      </w:r>
      <w:r w:rsidR="005C4C91">
        <w:rPr>
          <w:rFonts w:cs="Arial"/>
          <w:sz w:val="12"/>
          <w:szCs w:val="12"/>
        </w:rPr>
        <w:t>–</w:t>
      </w:r>
      <w:r w:rsidRPr="00281636">
        <w:rPr>
          <w:rFonts w:cs="Arial"/>
          <w:sz w:val="12"/>
          <w:szCs w:val="12"/>
        </w:rPr>
        <w:t xml:space="preserve"> 202</w:t>
      </w:r>
      <w:r w:rsidR="00AD0594">
        <w:rPr>
          <w:rFonts w:cs="Arial"/>
          <w:sz w:val="12"/>
          <w:szCs w:val="12"/>
        </w:rPr>
        <w:t>3</w:t>
      </w:r>
    </w:p>
    <w:p w14:paraId="58FB6F38" w14:textId="642B7EC3" w:rsidR="005C4C91" w:rsidRDefault="005B7CB8" w:rsidP="005C4C91">
      <w:pPr>
        <w:ind w:firstLine="567"/>
        <w:rPr>
          <w:rFonts w:cs="Arial"/>
          <w:sz w:val="12"/>
          <w:szCs w:val="12"/>
        </w:rPr>
      </w:pPr>
      <w:r>
        <w:rPr>
          <w:rFonts w:cs="Arial"/>
          <w:sz w:val="12"/>
          <w:szCs w:val="12"/>
        </w:rPr>
        <w:t>*</w:t>
      </w:r>
      <w:r w:rsidR="005C4C91">
        <w:rPr>
          <w:rFonts w:cs="Arial"/>
          <w:sz w:val="12"/>
          <w:szCs w:val="12"/>
        </w:rPr>
        <w:t>Cifras al 3er Trimestre 2024</w:t>
      </w:r>
    </w:p>
    <w:bookmarkEnd w:id="1"/>
    <w:p w14:paraId="644D6502" w14:textId="40CD410E" w:rsidR="000B5B46" w:rsidRDefault="000B5B46" w:rsidP="000B5B46"/>
    <w:p w14:paraId="1D45848A" w14:textId="77777777" w:rsidR="000B5B46" w:rsidRDefault="000B5B46" w:rsidP="000B5B46"/>
    <w:p w14:paraId="102CCD95" w14:textId="23E35C01" w:rsidR="003D40E2" w:rsidRPr="00516AFF" w:rsidRDefault="003D40E2" w:rsidP="003D40E2">
      <w:pPr>
        <w:pStyle w:val="Ttulo2"/>
        <w:rPr>
          <w:rFonts w:cs="Arial"/>
        </w:rPr>
      </w:pPr>
      <w:r w:rsidRPr="00516AFF">
        <w:rPr>
          <w:rFonts w:cs="Arial"/>
        </w:rPr>
        <w:t>2.VII. Adeudos de Ejercicios Fiscales Anteriores</w:t>
      </w:r>
    </w:p>
    <w:p w14:paraId="21D78926" w14:textId="77777777" w:rsidR="003D40E2" w:rsidRPr="00516AFF" w:rsidRDefault="003D40E2" w:rsidP="003D40E2">
      <w:pPr>
        <w:rPr>
          <w:rFonts w:cs="Arial"/>
          <w:b/>
          <w:b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1"/>
        <w:gridCol w:w="6091"/>
        <w:gridCol w:w="1318"/>
        <w:gridCol w:w="576"/>
      </w:tblGrid>
      <w:tr w:rsidR="003D40E2" w:rsidRPr="00516AFF" w14:paraId="7633A3D5" w14:textId="77777777" w:rsidTr="00A04566">
        <w:trPr>
          <w:trHeight w:val="20"/>
        </w:trPr>
        <w:tc>
          <w:tcPr>
            <w:tcW w:w="941" w:type="dxa"/>
            <w:shd w:val="clear" w:color="auto" w:fill="D9D9D9" w:themeFill="background1" w:themeFillShade="D9"/>
            <w:noWrap/>
            <w:vAlign w:val="center"/>
          </w:tcPr>
          <w:p w14:paraId="64B53D3C" w14:textId="77777777" w:rsidR="003D40E2" w:rsidRDefault="003D40E2" w:rsidP="00A04566">
            <w:pPr>
              <w:jc w:val="center"/>
              <w:rPr>
                <w:rFonts w:eastAsia="Times New Roman" w:cs="Arial"/>
                <w:b/>
                <w:bCs/>
                <w:color w:val="000000"/>
                <w:sz w:val="18"/>
                <w:szCs w:val="18"/>
              </w:rPr>
            </w:pPr>
            <w:r>
              <w:rPr>
                <w:rFonts w:eastAsia="Times New Roman" w:cs="Arial"/>
                <w:b/>
                <w:bCs/>
                <w:color w:val="000000"/>
                <w:sz w:val="18"/>
                <w:szCs w:val="18"/>
              </w:rPr>
              <w:t>Clave</w:t>
            </w:r>
          </w:p>
        </w:tc>
        <w:tc>
          <w:tcPr>
            <w:tcW w:w="6091" w:type="dxa"/>
            <w:shd w:val="clear" w:color="auto" w:fill="D9D9D9" w:themeFill="background1" w:themeFillShade="D9"/>
            <w:vAlign w:val="center"/>
          </w:tcPr>
          <w:p w14:paraId="17FB1D1D" w14:textId="77777777" w:rsidR="003D40E2" w:rsidRPr="00516AFF" w:rsidRDefault="003D40E2" w:rsidP="00A04566">
            <w:pPr>
              <w:jc w:val="center"/>
              <w:rPr>
                <w:rFonts w:eastAsia="Times New Roman" w:cs="Arial"/>
                <w:b/>
                <w:bCs/>
                <w:color w:val="000000"/>
                <w:sz w:val="18"/>
                <w:szCs w:val="18"/>
              </w:rPr>
            </w:pPr>
            <w:r>
              <w:rPr>
                <w:rFonts w:eastAsia="Times New Roman" w:cs="Arial"/>
                <w:b/>
                <w:bCs/>
                <w:color w:val="000000"/>
                <w:sz w:val="18"/>
                <w:szCs w:val="18"/>
              </w:rPr>
              <w:t>Concepto</w:t>
            </w:r>
          </w:p>
        </w:tc>
        <w:tc>
          <w:tcPr>
            <w:tcW w:w="1318" w:type="dxa"/>
            <w:shd w:val="clear" w:color="auto" w:fill="D9D9D9" w:themeFill="background1" w:themeFillShade="D9"/>
            <w:noWrap/>
            <w:vAlign w:val="center"/>
          </w:tcPr>
          <w:p w14:paraId="17988DBF" w14:textId="77777777" w:rsidR="003D40E2" w:rsidRPr="00516AFF" w:rsidRDefault="003D40E2" w:rsidP="00A04566">
            <w:pPr>
              <w:jc w:val="center"/>
              <w:rPr>
                <w:rFonts w:eastAsia="Times New Roman" w:cs="Arial"/>
                <w:b/>
                <w:bCs/>
                <w:color w:val="000000"/>
                <w:sz w:val="16"/>
                <w:szCs w:val="18"/>
              </w:rPr>
            </w:pPr>
            <w:r>
              <w:rPr>
                <w:rFonts w:eastAsia="Times New Roman" w:cs="Arial"/>
                <w:b/>
                <w:bCs/>
                <w:color w:val="000000"/>
                <w:sz w:val="16"/>
                <w:szCs w:val="18"/>
              </w:rPr>
              <w:t>Pesos</w:t>
            </w:r>
          </w:p>
        </w:tc>
        <w:tc>
          <w:tcPr>
            <w:tcW w:w="576" w:type="dxa"/>
            <w:shd w:val="clear" w:color="auto" w:fill="D9D9D9" w:themeFill="background1" w:themeFillShade="D9"/>
            <w:noWrap/>
            <w:vAlign w:val="center"/>
          </w:tcPr>
          <w:p w14:paraId="5282924E" w14:textId="77777777" w:rsidR="003D40E2" w:rsidRPr="00516AFF" w:rsidRDefault="003D40E2" w:rsidP="00A04566">
            <w:pPr>
              <w:jc w:val="center"/>
              <w:rPr>
                <w:rFonts w:eastAsia="Times New Roman" w:cs="Arial"/>
                <w:b/>
                <w:bCs/>
                <w:sz w:val="18"/>
                <w:szCs w:val="18"/>
              </w:rPr>
            </w:pPr>
            <w:r>
              <w:rPr>
                <w:rFonts w:eastAsia="Times New Roman" w:cs="Arial"/>
                <w:b/>
                <w:bCs/>
                <w:sz w:val="18"/>
                <w:szCs w:val="18"/>
              </w:rPr>
              <w:t>%</w:t>
            </w:r>
          </w:p>
        </w:tc>
      </w:tr>
      <w:tr w:rsidR="003D40E2" w:rsidRPr="00516AFF" w14:paraId="6E4C1E50" w14:textId="77777777" w:rsidTr="00A04566">
        <w:trPr>
          <w:trHeight w:val="20"/>
        </w:trPr>
        <w:tc>
          <w:tcPr>
            <w:tcW w:w="941" w:type="dxa"/>
            <w:shd w:val="clear" w:color="auto" w:fill="D9D9D9" w:themeFill="background1" w:themeFillShade="D9"/>
            <w:noWrap/>
            <w:vAlign w:val="center"/>
          </w:tcPr>
          <w:p w14:paraId="362118FE" w14:textId="77777777" w:rsidR="003D40E2" w:rsidRDefault="003D40E2" w:rsidP="00A04566">
            <w:pPr>
              <w:jc w:val="center"/>
              <w:rPr>
                <w:rFonts w:eastAsia="Times New Roman" w:cs="Arial"/>
                <w:b/>
                <w:bCs/>
                <w:color w:val="000000"/>
                <w:sz w:val="18"/>
                <w:szCs w:val="18"/>
              </w:rPr>
            </w:pPr>
          </w:p>
        </w:tc>
        <w:tc>
          <w:tcPr>
            <w:tcW w:w="6091" w:type="dxa"/>
            <w:shd w:val="clear" w:color="auto" w:fill="D9D9D9" w:themeFill="background1" w:themeFillShade="D9"/>
            <w:vAlign w:val="center"/>
          </w:tcPr>
          <w:p w14:paraId="2EC8906E" w14:textId="01FEA926" w:rsidR="003D40E2" w:rsidRDefault="00AF37D0" w:rsidP="00A04566">
            <w:pPr>
              <w:jc w:val="center"/>
              <w:rPr>
                <w:rFonts w:eastAsia="Times New Roman" w:cs="Arial"/>
                <w:b/>
                <w:bCs/>
                <w:color w:val="000000"/>
                <w:sz w:val="18"/>
                <w:szCs w:val="18"/>
              </w:rPr>
            </w:pPr>
            <w:r>
              <w:rPr>
                <w:rFonts w:eastAsia="Times New Roman" w:cs="Arial"/>
                <w:b/>
                <w:bCs/>
                <w:color w:val="000000"/>
                <w:sz w:val="18"/>
                <w:szCs w:val="18"/>
              </w:rPr>
              <w:t>Total</w:t>
            </w:r>
            <w:r w:rsidR="003D40E2">
              <w:rPr>
                <w:rFonts w:eastAsia="Times New Roman" w:cs="Arial"/>
                <w:b/>
                <w:bCs/>
                <w:color w:val="000000"/>
                <w:sz w:val="18"/>
                <w:szCs w:val="18"/>
              </w:rPr>
              <w:t xml:space="preserve"> de Ingresos Estimados Ejercicio Fiscal 202</w:t>
            </w:r>
            <w:r w:rsidR="0046027E">
              <w:rPr>
                <w:rFonts w:eastAsia="Times New Roman" w:cs="Arial"/>
                <w:b/>
                <w:bCs/>
                <w:color w:val="000000"/>
                <w:sz w:val="18"/>
                <w:szCs w:val="18"/>
              </w:rPr>
              <w:t>5</w:t>
            </w:r>
          </w:p>
        </w:tc>
        <w:tc>
          <w:tcPr>
            <w:tcW w:w="1318" w:type="dxa"/>
            <w:shd w:val="clear" w:color="auto" w:fill="D9D9D9" w:themeFill="background1" w:themeFillShade="D9"/>
            <w:noWrap/>
            <w:vAlign w:val="bottom"/>
          </w:tcPr>
          <w:p w14:paraId="5F59A2BA" w14:textId="42DCF649" w:rsidR="003D40E2" w:rsidRPr="000F1B6B" w:rsidRDefault="003A5EBA" w:rsidP="00A04566">
            <w:pPr>
              <w:jc w:val="center"/>
              <w:rPr>
                <w:rFonts w:eastAsia="Times New Roman" w:cs="Arial"/>
                <w:b/>
                <w:bCs/>
                <w:color w:val="FF0000"/>
                <w:sz w:val="16"/>
                <w:szCs w:val="16"/>
              </w:rPr>
            </w:pPr>
            <w:r>
              <w:rPr>
                <w:rFonts w:eastAsia="Times New Roman" w:cs="Arial"/>
                <w:b/>
                <w:bCs/>
                <w:sz w:val="16"/>
                <w:szCs w:val="16"/>
              </w:rPr>
              <w:t>23,004,130,279</w:t>
            </w:r>
          </w:p>
        </w:tc>
        <w:tc>
          <w:tcPr>
            <w:tcW w:w="576" w:type="dxa"/>
            <w:shd w:val="clear" w:color="auto" w:fill="D9D9D9" w:themeFill="background1" w:themeFillShade="D9"/>
            <w:noWrap/>
            <w:vAlign w:val="center"/>
          </w:tcPr>
          <w:p w14:paraId="0CC4A073" w14:textId="4C14B7ED" w:rsidR="003D40E2" w:rsidRDefault="00AD7023" w:rsidP="00A04566">
            <w:pPr>
              <w:jc w:val="center"/>
              <w:rPr>
                <w:rFonts w:eastAsia="Times New Roman" w:cs="Arial"/>
                <w:b/>
                <w:bCs/>
                <w:sz w:val="18"/>
                <w:szCs w:val="18"/>
              </w:rPr>
            </w:pPr>
            <w:r>
              <w:rPr>
                <w:rFonts w:eastAsia="Times New Roman" w:cs="Arial"/>
                <w:b/>
                <w:bCs/>
                <w:sz w:val="18"/>
                <w:szCs w:val="18"/>
              </w:rPr>
              <w:t>0.7</w:t>
            </w:r>
          </w:p>
        </w:tc>
      </w:tr>
      <w:tr w:rsidR="00AD7023" w:rsidRPr="00516AFF" w14:paraId="7E051277" w14:textId="77777777" w:rsidTr="00322162">
        <w:trPr>
          <w:trHeight w:val="20"/>
        </w:trPr>
        <w:tc>
          <w:tcPr>
            <w:tcW w:w="941" w:type="dxa"/>
            <w:shd w:val="clear" w:color="auto" w:fill="auto"/>
            <w:noWrap/>
            <w:vAlign w:val="center"/>
            <w:hideMark/>
          </w:tcPr>
          <w:p w14:paraId="7933C84A" w14:textId="77777777" w:rsidR="00AD7023" w:rsidRPr="00516AFF" w:rsidRDefault="00AD7023" w:rsidP="00AD7023">
            <w:pPr>
              <w:jc w:val="center"/>
              <w:rPr>
                <w:rFonts w:eastAsia="Times New Roman" w:cs="Arial"/>
                <w:b/>
                <w:bCs/>
                <w:color w:val="000000"/>
                <w:sz w:val="18"/>
                <w:szCs w:val="18"/>
              </w:rPr>
            </w:pPr>
            <w:r>
              <w:rPr>
                <w:rFonts w:eastAsia="Times New Roman" w:cs="Arial"/>
                <w:b/>
                <w:bCs/>
                <w:color w:val="000000"/>
                <w:sz w:val="18"/>
                <w:szCs w:val="18"/>
              </w:rPr>
              <w:t>09090000</w:t>
            </w:r>
          </w:p>
        </w:tc>
        <w:tc>
          <w:tcPr>
            <w:tcW w:w="6091" w:type="dxa"/>
            <w:shd w:val="clear" w:color="auto" w:fill="auto"/>
            <w:vAlign w:val="center"/>
            <w:hideMark/>
          </w:tcPr>
          <w:p w14:paraId="5297A802" w14:textId="77777777" w:rsidR="00AD7023" w:rsidRPr="00516AFF" w:rsidRDefault="00AD7023" w:rsidP="00AD7023">
            <w:pPr>
              <w:jc w:val="left"/>
              <w:rPr>
                <w:rFonts w:eastAsia="Times New Roman" w:cs="Arial"/>
                <w:b/>
                <w:bCs/>
                <w:color w:val="000000"/>
                <w:sz w:val="18"/>
                <w:szCs w:val="18"/>
              </w:rPr>
            </w:pPr>
            <w:r w:rsidRPr="00516AFF">
              <w:rPr>
                <w:rFonts w:eastAsia="Times New Roman" w:cs="Arial"/>
                <w:b/>
                <w:bCs/>
                <w:color w:val="000000"/>
                <w:sz w:val="18"/>
                <w:szCs w:val="18"/>
              </w:rPr>
              <w:t>Adeudos Ejercicios Fiscales Anteriores (ADEFAS)</w:t>
            </w:r>
          </w:p>
        </w:tc>
        <w:tc>
          <w:tcPr>
            <w:tcW w:w="1318" w:type="dxa"/>
            <w:shd w:val="clear" w:color="auto" w:fill="auto"/>
            <w:noWrap/>
            <w:vAlign w:val="bottom"/>
          </w:tcPr>
          <w:p w14:paraId="1F152893" w14:textId="07D79BEF" w:rsidR="00AD7023" w:rsidRPr="00AD7023" w:rsidRDefault="00AD7023" w:rsidP="00AD7023">
            <w:pPr>
              <w:jc w:val="right"/>
              <w:rPr>
                <w:rFonts w:eastAsia="Times New Roman" w:cs="Arial"/>
                <w:b/>
                <w:bCs/>
                <w:color w:val="FF0000"/>
                <w:sz w:val="16"/>
                <w:szCs w:val="16"/>
              </w:rPr>
            </w:pPr>
            <w:r w:rsidRPr="00AD7023">
              <w:rPr>
                <w:rFonts w:cs="Arial"/>
                <w:color w:val="000000"/>
                <w:sz w:val="16"/>
                <w:szCs w:val="16"/>
              </w:rPr>
              <w:t>157,361,143</w:t>
            </w:r>
          </w:p>
        </w:tc>
        <w:tc>
          <w:tcPr>
            <w:tcW w:w="576" w:type="dxa"/>
            <w:shd w:val="clear" w:color="auto" w:fill="auto"/>
            <w:noWrap/>
            <w:vAlign w:val="center"/>
          </w:tcPr>
          <w:p w14:paraId="09C24CB3" w14:textId="77777777" w:rsidR="00AD7023" w:rsidRPr="00516AFF" w:rsidRDefault="00AD7023" w:rsidP="00AD7023">
            <w:pPr>
              <w:jc w:val="center"/>
              <w:rPr>
                <w:rFonts w:eastAsia="Times New Roman" w:cs="Arial"/>
                <w:b/>
                <w:bCs/>
                <w:sz w:val="18"/>
                <w:szCs w:val="18"/>
              </w:rPr>
            </w:pPr>
          </w:p>
        </w:tc>
      </w:tr>
      <w:tr w:rsidR="00AD7023" w:rsidRPr="00516AFF" w14:paraId="7CA5B473" w14:textId="77777777" w:rsidTr="00322162">
        <w:trPr>
          <w:trHeight w:val="20"/>
        </w:trPr>
        <w:tc>
          <w:tcPr>
            <w:tcW w:w="941" w:type="dxa"/>
            <w:shd w:val="clear" w:color="auto" w:fill="auto"/>
            <w:noWrap/>
            <w:vAlign w:val="center"/>
            <w:hideMark/>
          </w:tcPr>
          <w:p w14:paraId="23A25C37" w14:textId="77777777" w:rsidR="00AD7023" w:rsidRPr="00516AFF" w:rsidRDefault="00AD7023" w:rsidP="00AD7023">
            <w:pPr>
              <w:jc w:val="center"/>
              <w:rPr>
                <w:rFonts w:eastAsia="Times New Roman" w:cs="Arial"/>
                <w:b/>
                <w:bCs/>
                <w:color w:val="000000"/>
                <w:sz w:val="16"/>
                <w:szCs w:val="18"/>
              </w:rPr>
            </w:pPr>
            <w:r>
              <w:rPr>
                <w:rFonts w:eastAsia="Times New Roman" w:cs="Arial"/>
                <w:b/>
                <w:bCs/>
                <w:color w:val="000000"/>
                <w:sz w:val="16"/>
                <w:szCs w:val="18"/>
              </w:rPr>
              <w:t>0</w:t>
            </w:r>
            <w:r w:rsidRPr="00516AFF">
              <w:rPr>
                <w:rFonts w:eastAsia="Times New Roman" w:cs="Arial"/>
                <w:b/>
                <w:bCs/>
                <w:color w:val="000000"/>
                <w:sz w:val="16"/>
                <w:szCs w:val="18"/>
              </w:rPr>
              <w:t>9</w:t>
            </w:r>
            <w:r>
              <w:rPr>
                <w:rFonts w:eastAsia="Times New Roman" w:cs="Arial"/>
                <w:b/>
                <w:bCs/>
                <w:color w:val="000000"/>
                <w:sz w:val="16"/>
                <w:szCs w:val="18"/>
              </w:rPr>
              <w:t>0</w:t>
            </w:r>
            <w:r w:rsidRPr="00516AFF">
              <w:rPr>
                <w:rFonts w:eastAsia="Times New Roman" w:cs="Arial"/>
                <w:b/>
                <w:bCs/>
                <w:color w:val="000000"/>
                <w:sz w:val="16"/>
                <w:szCs w:val="18"/>
              </w:rPr>
              <w:t>9</w:t>
            </w:r>
            <w:r>
              <w:rPr>
                <w:rFonts w:eastAsia="Times New Roman" w:cs="Arial"/>
                <w:b/>
                <w:bCs/>
                <w:color w:val="000000"/>
                <w:sz w:val="16"/>
                <w:szCs w:val="18"/>
              </w:rPr>
              <w:t>0</w:t>
            </w:r>
            <w:r w:rsidRPr="00516AFF">
              <w:rPr>
                <w:rFonts w:eastAsia="Times New Roman" w:cs="Arial"/>
                <w:b/>
                <w:bCs/>
                <w:color w:val="000000"/>
                <w:sz w:val="16"/>
                <w:szCs w:val="18"/>
              </w:rPr>
              <w:t>1</w:t>
            </w:r>
            <w:r>
              <w:rPr>
                <w:rFonts w:eastAsia="Times New Roman" w:cs="Arial"/>
                <w:b/>
                <w:bCs/>
                <w:color w:val="000000"/>
                <w:sz w:val="16"/>
                <w:szCs w:val="18"/>
              </w:rPr>
              <w:t>0</w:t>
            </w:r>
            <w:r w:rsidRPr="00516AFF">
              <w:rPr>
                <w:rFonts w:eastAsia="Times New Roman" w:cs="Arial"/>
                <w:b/>
                <w:bCs/>
                <w:color w:val="000000"/>
                <w:sz w:val="16"/>
                <w:szCs w:val="18"/>
              </w:rPr>
              <w:t>00</w:t>
            </w:r>
          </w:p>
        </w:tc>
        <w:tc>
          <w:tcPr>
            <w:tcW w:w="6091" w:type="dxa"/>
            <w:shd w:val="clear" w:color="auto" w:fill="auto"/>
            <w:noWrap/>
            <w:vAlign w:val="center"/>
            <w:hideMark/>
          </w:tcPr>
          <w:p w14:paraId="26B85C8F" w14:textId="77777777" w:rsidR="00AD7023" w:rsidRPr="00516AFF" w:rsidRDefault="00AD7023" w:rsidP="00AD7023">
            <w:pPr>
              <w:jc w:val="left"/>
              <w:rPr>
                <w:rFonts w:eastAsia="Times New Roman" w:cs="Arial"/>
                <w:b/>
                <w:bCs/>
                <w:color w:val="000000"/>
                <w:sz w:val="16"/>
                <w:szCs w:val="18"/>
              </w:rPr>
            </w:pPr>
            <w:r w:rsidRPr="00516AFF">
              <w:rPr>
                <w:rFonts w:eastAsia="Times New Roman" w:cs="Arial"/>
                <w:b/>
                <w:bCs/>
                <w:color w:val="000000"/>
                <w:sz w:val="16"/>
                <w:szCs w:val="18"/>
              </w:rPr>
              <w:t>ADEFAS</w:t>
            </w:r>
          </w:p>
        </w:tc>
        <w:tc>
          <w:tcPr>
            <w:tcW w:w="1318" w:type="dxa"/>
            <w:shd w:val="clear" w:color="auto" w:fill="auto"/>
            <w:noWrap/>
            <w:vAlign w:val="bottom"/>
          </w:tcPr>
          <w:p w14:paraId="09C3A4BB" w14:textId="7585C3B6" w:rsidR="00AD7023" w:rsidRPr="00AD7023" w:rsidRDefault="00AD7023" w:rsidP="00AD7023">
            <w:pPr>
              <w:jc w:val="right"/>
              <w:rPr>
                <w:rFonts w:eastAsia="Times New Roman" w:cs="Arial"/>
                <w:b/>
                <w:bCs/>
                <w:color w:val="FF0000"/>
                <w:sz w:val="16"/>
                <w:szCs w:val="16"/>
              </w:rPr>
            </w:pPr>
            <w:r w:rsidRPr="00AD7023">
              <w:rPr>
                <w:rFonts w:cs="Arial"/>
                <w:color w:val="000000"/>
                <w:sz w:val="16"/>
                <w:szCs w:val="16"/>
              </w:rPr>
              <w:t>157,361,143</w:t>
            </w:r>
          </w:p>
        </w:tc>
        <w:tc>
          <w:tcPr>
            <w:tcW w:w="576" w:type="dxa"/>
            <w:shd w:val="clear" w:color="auto" w:fill="auto"/>
            <w:noWrap/>
            <w:vAlign w:val="bottom"/>
          </w:tcPr>
          <w:p w14:paraId="3193580D" w14:textId="77777777" w:rsidR="00AD7023" w:rsidRPr="00516AFF" w:rsidRDefault="00AD7023" w:rsidP="00AD7023">
            <w:pPr>
              <w:jc w:val="center"/>
              <w:rPr>
                <w:rFonts w:eastAsia="Times New Roman" w:cs="Arial"/>
                <w:color w:val="000000"/>
                <w:sz w:val="18"/>
                <w:szCs w:val="18"/>
              </w:rPr>
            </w:pPr>
          </w:p>
        </w:tc>
      </w:tr>
      <w:tr w:rsidR="00AD7023" w:rsidRPr="00516AFF" w14:paraId="4CC01765" w14:textId="77777777" w:rsidTr="00322162">
        <w:trPr>
          <w:trHeight w:val="20"/>
        </w:trPr>
        <w:tc>
          <w:tcPr>
            <w:tcW w:w="941" w:type="dxa"/>
            <w:shd w:val="clear" w:color="auto" w:fill="auto"/>
            <w:noWrap/>
            <w:vAlign w:val="center"/>
            <w:hideMark/>
          </w:tcPr>
          <w:p w14:paraId="7C0895C9" w14:textId="77777777" w:rsidR="00AD7023" w:rsidRPr="00516AFF" w:rsidRDefault="00AD7023" w:rsidP="00AD7023">
            <w:pPr>
              <w:jc w:val="center"/>
              <w:rPr>
                <w:rFonts w:eastAsia="Times New Roman" w:cs="Arial"/>
                <w:color w:val="000000"/>
                <w:sz w:val="16"/>
                <w:szCs w:val="18"/>
              </w:rPr>
            </w:pPr>
            <w:r>
              <w:rPr>
                <w:rFonts w:eastAsia="Times New Roman" w:cs="Arial"/>
                <w:color w:val="000000"/>
                <w:sz w:val="16"/>
                <w:szCs w:val="18"/>
              </w:rPr>
              <w:t>090901001</w:t>
            </w:r>
          </w:p>
        </w:tc>
        <w:tc>
          <w:tcPr>
            <w:tcW w:w="6091" w:type="dxa"/>
            <w:shd w:val="clear" w:color="auto" w:fill="auto"/>
            <w:vAlign w:val="center"/>
            <w:hideMark/>
          </w:tcPr>
          <w:p w14:paraId="70674384" w14:textId="77777777" w:rsidR="00AD7023" w:rsidRPr="00516AFF" w:rsidRDefault="00AD7023" w:rsidP="00AD7023">
            <w:pPr>
              <w:jc w:val="left"/>
              <w:rPr>
                <w:rFonts w:eastAsia="Times New Roman" w:cs="Arial"/>
                <w:color w:val="000000"/>
                <w:sz w:val="16"/>
                <w:szCs w:val="18"/>
              </w:rPr>
            </w:pPr>
            <w:r w:rsidRPr="00516AFF">
              <w:rPr>
                <w:rFonts w:eastAsia="Times New Roman" w:cs="Arial"/>
                <w:color w:val="000000"/>
                <w:sz w:val="16"/>
                <w:szCs w:val="18"/>
              </w:rPr>
              <w:t>Adeudos de Ejercicios Anteriores por Concepto de Servicios Personales Magisterio</w:t>
            </w:r>
          </w:p>
        </w:tc>
        <w:tc>
          <w:tcPr>
            <w:tcW w:w="1318" w:type="dxa"/>
            <w:shd w:val="clear" w:color="auto" w:fill="auto"/>
            <w:noWrap/>
            <w:vAlign w:val="bottom"/>
          </w:tcPr>
          <w:p w14:paraId="449616C3" w14:textId="27B21D8C" w:rsidR="00AD7023" w:rsidRPr="00AD7023" w:rsidRDefault="00AD7023" w:rsidP="00AD7023">
            <w:pPr>
              <w:jc w:val="right"/>
              <w:rPr>
                <w:rFonts w:eastAsia="Times New Roman" w:cs="Arial"/>
                <w:color w:val="FF0000"/>
                <w:sz w:val="16"/>
                <w:szCs w:val="16"/>
              </w:rPr>
            </w:pPr>
            <w:r w:rsidRPr="00AD7023">
              <w:rPr>
                <w:rFonts w:cs="Arial"/>
                <w:color w:val="000000"/>
                <w:sz w:val="16"/>
                <w:szCs w:val="16"/>
              </w:rPr>
              <w:t>1,000,000</w:t>
            </w:r>
          </w:p>
        </w:tc>
        <w:tc>
          <w:tcPr>
            <w:tcW w:w="576" w:type="dxa"/>
            <w:shd w:val="clear" w:color="auto" w:fill="auto"/>
            <w:noWrap/>
            <w:vAlign w:val="bottom"/>
          </w:tcPr>
          <w:p w14:paraId="4CF421C3" w14:textId="77777777" w:rsidR="00AD7023" w:rsidRPr="00CA53E8" w:rsidRDefault="00AD7023" w:rsidP="00AD7023">
            <w:pPr>
              <w:jc w:val="center"/>
              <w:rPr>
                <w:rFonts w:eastAsia="Times New Roman" w:cs="Arial"/>
                <w:color w:val="000000"/>
                <w:sz w:val="16"/>
                <w:szCs w:val="16"/>
              </w:rPr>
            </w:pPr>
          </w:p>
        </w:tc>
      </w:tr>
      <w:tr w:rsidR="00AD7023" w:rsidRPr="00516AFF" w14:paraId="703F139F" w14:textId="77777777" w:rsidTr="00322162">
        <w:trPr>
          <w:trHeight w:val="20"/>
        </w:trPr>
        <w:tc>
          <w:tcPr>
            <w:tcW w:w="941" w:type="dxa"/>
            <w:shd w:val="clear" w:color="auto" w:fill="auto"/>
            <w:noWrap/>
            <w:vAlign w:val="center"/>
            <w:hideMark/>
          </w:tcPr>
          <w:p w14:paraId="004E6A91" w14:textId="77777777" w:rsidR="00AD7023" w:rsidRPr="00516AFF" w:rsidRDefault="00AD7023" w:rsidP="00AD7023">
            <w:pPr>
              <w:jc w:val="center"/>
              <w:rPr>
                <w:rFonts w:eastAsia="Times New Roman" w:cs="Arial"/>
                <w:color w:val="000000"/>
                <w:sz w:val="16"/>
                <w:szCs w:val="18"/>
              </w:rPr>
            </w:pPr>
            <w:r>
              <w:rPr>
                <w:rFonts w:eastAsia="Times New Roman" w:cs="Arial"/>
                <w:color w:val="000000"/>
                <w:sz w:val="16"/>
                <w:szCs w:val="18"/>
              </w:rPr>
              <w:t>0</w:t>
            </w:r>
            <w:r w:rsidRPr="00516AFF">
              <w:rPr>
                <w:rFonts w:eastAsia="Times New Roman" w:cs="Arial"/>
                <w:color w:val="000000"/>
                <w:sz w:val="16"/>
                <w:szCs w:val="18"/>
              </w:rPr>
              <w:t>9</w:t>
            </w:r>
            <w:r>
              <w:rPr>
                <w:rFonts w:eastAsia="Times New Roman" w:cs="Arial"/>
                <w:color w:val="000000"/>
                <w:sz w:val="16"/>
                <w:szCs w:val="18"/>
              </w:rPr>
              <w:t>0</w:t>
            </w:r>
            <w:r w:rsidRPr="00516AFF">
              <w:rPr>
                <w:rFonts w:eastAsia="Times New Roman" w:cs="Arial"/>
                <w:color w:val="000000"/>
                <w:sz w:val="16"/>
                <w:szCs w:val="18"/>
              </w:rPr>
              <w:t>9</w:t>
            </w:r>
            <w:r>
              <w:rPr>
                <w:rFonts w:eastAsia="Times New Roman" w:cs="Arial"/>
                <w:color w:val="000000"/>
                <w:sz w:val="16"/>
                <w:szCs w:val="18"/>
              </w:rPr>
              <w:t>0</w:t>
            </w:r>
            <w:r w:rsidRPr="00516AFF">
              <w:rPr>
                <w:rFonts w:eastAsia="Times New Roman" w:cs="Arial"/>
                <w:color w:val="000000"/>
                <w:sz w:val="16"/>
                <w:szCs w:val="18"/>
              </w:rPr>
              <w:t>1</w:t>
            </w:r>
            <w:r>
              <w:rPr>
                <w:rFonts w:eastAsia="Times New Roman" w:cs="Arial"/>
                <w:color w:val="000000"/>
                <w:sz w:val="16"/>
                <w:szCs w:val="18"/>
              </w:rPr>
              <w:t>0</w:t>
            </w:r>
            <w:r w:rsidRPr="00516AFF">
              <w:rPr>
                <w:rFonts w:eastAsia="Times New Roman" w:cs="Arial"/>
                <w:color w:val="000000"/>
                <w:sz w:val="16"/>
                <w:szCs w:val="18"/>
              </w:rPr>
              <w:t>02</w:t>
            </w:r>
          </w:p>
        </w:tc>
        <w:tc>
          <w:tcPr>
            <w:tcW w:w="6091" w:type="dxa"/>
            <w:shd w:val="clear" w:color="auto" w:fill="auto"/>
            <w:vAlign w:val="center"/>
            <w:hideMark/>
          </w:tcPr>
          <w:p w14:paraId="5B5AED3A" w14:textId="77777777" w:rsidR="00AD7023" w:rsidRPr="00516AFF" w:rsidRDefault="00AD7023" w:rsidP="00AD7023">
            <w:pPr>
              <w:jc w:val="left"/>
              <w:rPr>
                <w:rFonts w:eastAsia="Times New Roman" w:cs="Arial"/>
                <w:color w:val="000000"/>
                <w:sz w:val="16"/>
                <w:szCs w:val="18"/>
              </w:rPr>
            </w:pPr>
            <w:r w:rsidRPr="00516AFF">
              <w:rPr>
                <w:rFonts w:eastAsia="Times New Roman" w:cs="Arial"/>
                <w:color w:val="000000"/>
                <w:sz w:val="16"/>
                <w:szCs w:val="18"/>
              </w:rPr>
              <w:t>Adeudos de Ejercicios Anteriores por Concepto de Servicios Personales Burocracia</w:t>
            </w:r>
          </w:p>
        </w:tc>
        <w:tc>
          <w:tcPr>
            <w:tcW w:w="1318" w:type="dxa"/>
            <w:shd w:val="clear" w:color="auto" w:fill="auto"/>
            <w:noWrap/>
            <w:vAlign w:val="bottom"/>
          </w:tcPr>
          <w:p w14:paraId="4A4BBEE2" w14:textId="77244438" w:rsidR="00AD7023" w:rsidRPr="00AD7023" w:rsidRDefault="00AD7023" w:rsidP="00AD7023">
            <w:pPr>
              <w:jc w:val="right"/>
              <w:rPr>
                <w:rFonts w:eastAsia="Times New Roman" w:cs="Arial"/>
                <w:color w:val="FF0000"/>
                <w:sz w:val="16"/>
                <w:szCs w:val="16"/>
              </w:rPr>
            </w:pPr>
            <w:r w:rsidRPr="00AD7023">
              <w:rPr>
                <w:rFonts w:cs="Arial"/>
                <w:color w:val="000000"/>
                <w:sz w:val="16"/>
                <w:szCs w:val="16"/>
              </w:rPr>
              <w:t>1,000,000</w:t>
            </w:r>
          </w:p>
        </w:tc>
        <w:tc>
          <w:tcPr>
            <w:tcW w:w="576" w:type="dxa"/>
            <w:shd w:val="clear" w:color="auto" w:fill="auto"/>
            <w:noWrap/>
            <w:vAlign w:val="bottom"/>
          </w:tcPr>
          <w:p w14:paraId="56E6D325" w14:textId="77777777" w:rsidR="00AD7023" w:rsidRPr="00CA53E8" w:rsidRDefault="00AD7023" w:rsidP="00AD7023">
            <w:pPr>
              <w:jc w:val="center"/>
              <w:rPr>
                <w:rFonts w:eastAsia="Times New Roman" w:cs="Arial"/>
                <w:color w:val="000000"/>
                <w:sz w:val="16"/>
                <w:szCs w:val="16"/>
              </w:rPr>
            </w:pPr>
          </w:p>
        </w:tc>
      </w:tr>
      <w:tr w:rsidR="00AD7023" w:rsidRPr="00516AFF" w14:paraId="6CD4D07D" w14:textId="77777777" w:rsidTr="00322162">
        <w:trPr>
          <w:trHeight w:val="20"/>
        </w:trPr>
        <w:tc>
          <w:tcPr>
            <w:tcW w:w="941" w:type="dxa"/>
            <w:shd w:val="clear" w:color="auto" w:fill="auto"/>
            <w:noWrap/>
            <w:vAlign w:val="center"/>
            <w:hideMark/>
          </w:tcPr>
          <w:p w14:paraId="3EE0AB28" w14:textId="77777777" w:rsidR="00AD7023" w:rsidRPr="00516AFF" w:rsidRDefault="00AD7023" w:rsidP="00AD7023">
            <w:pPr>
              <w:jc w:val="center"/>
              <w:rPr>
                <w:rFonts w:eastAsia="Times New Roman" w:cs="Arial"/>
                <w:color w:val="000000"/>
                <w:sz w:val="16"/>
                <w:szCs w:val="18"/>
              </w:rPr>
            </w:pPr>
            <w:r>
              <w:rPr>
                <w:rFonts w:eastAsia="Times New Roman" w:cs="Arial"/>
                <w:color w:val="000000"/>
                <w:sz w:val="16"/>
                <w:szCs w:val="18"/>
              </w:rPr>
              <w:t>0</w:t>
            </w:r>
            <w:r w:rsidRPr="00516AFF">
              <w:rPr>
                <w:rFonts w:eastAsia="Times New Roman" w:cs="Arial"/>
                <w:color w:val="000000"/>
                <w:sz w:val="16"/>
                <w:szCs w:val="18"/>
              </w:rPr>
              <w:t>9</w:t>
            </w:r>
            <w:r>
              <w:rPr>
                <w:rFonts w:eastAsia="Times New Roman" w:cs="Arial"/>
                <w:color w:val="000000"/>
                <w:sz w:val="16"/>
                <w:szCs w:val="18"/>
              </w:rPr>
              <w:t>0</w:t>
            </w:r>
            <w:r w:rsidRPr="00516AFF">
              <w:rPr>
                <w:rFonts w:eastAsia="Times New Roman" w:cs="Arial"/>
                <w:color w:val="000000"/>
                <w:sz w:val="16"/>
                <w:szCs w:val="18"/>
              </w:rPr>
              <w:t>9</w:t>
            </w:r>
            <w:r>
              <w:rPr>
                <w:rFonts w:eastAsia="Times New Roman" w:cs="Arial"/>
                <w:color w:val="000000"/>
                <w:sz w:val="16"/>
                <w:szCs w:val="18"/>
              </w:rPr>
              <w:t>0</w:t>
            </w:r>
            <w:r w:rsidRPr="00516AFF">
              <w:rPr>
                <w:rFonts w:eastAsia="Times New Roman" w:cs="Arial"/>
                <w:color w:val="000000"/>
                <w:sz w:val="16"/>
                <w:szCs w:val="18"/>
              </w:rPr>
              <w:t>1</w:t>
            </w:r>
            <w:r>
              <w:rPr>
                <w:rFonts w:eastAsia="Times New Roman" w:cs="Arial"/>
                <w:color w:val="000000"/>
                <w:sz w:val="16"/>
                <w:szCs w:val="18"/>
              </w:rPr>
              <w:t>0</w:t>
            </w:r>
            <w:r w:rsidRPr="00516AFF">
              <w:rPr>
                <w:rFonts w:eastAsia="Times New Roman" w:cs="Arial"/>
                <w:color w:val="000000"/>
                <w:sz w:val="16"/>
                <w:szCs w:val="18"/>
              </w:rPr>
              <w:t>03</w:t>
            </w:r>
          </w:p>
        </w:tc>
        <w:tc>
          <w:tcPr>
            <w:tcW w:w="6091" w:type="dxa"/>
            <w:shd w:val="clear" w:color="auto" w:fill="auto"/>
            <w:vAlign w:val="center"/>
            <w:hideMark/>
          </w:tcPr>
          <w:p w14:paraId="4C12E2B1" w14:textId="77777777" w:rsidR="00AD7023" w:rsidRPr="00516AFF" w:rsidRDefault="00AD7023" w:rsidP="00AD7023">
            <w:pPr>
              <w:jc w:val="left"/>
              <w:rPr>
                <w:rFonts w:eastAsia="Times New Roman" w:cs="Arial"/>
                <w:color w:val="000000"/>
                <w:sz w:val="16"/>
                <w:szCs w:val="18"/>
              </w:rPr>
            </w:pPr>
            <w:r w:rsidRPr="00516AFF">
              <w:rPr>
                <w:rFonts w:eastAsia="Times New Roman" w:cs="Arial"/>
                <w:color w:val="000000"/>
                <w:sz w:val="16"/>
                <w:szCs w:val="18"/>
              </w:rPr>
              <w:t xml:space="preserve">Adeudo de Ejercicios Anteriores por Conceptos Distintos de Servicios Personales </w:t>
            </w:r>
          </w:p>
        </w:tc>
        <w:tc>
          <w:tcPr>
            <w:tcW w:w="1318" w:type="dxa"/>
            <w:shd w:val="clear" w:color="auto" w:fill="auto"/>
            <w:noWrap/>
            <w:vAlign w:val="bottom"/>
          </w:tcPr>
          <w:p w14:paraId="0B8F6CE2" w14:textId="455A19AC" w:rsidR="00AD7023" w:rsidRPr="00AD7023" w:rsidRDefault="00AD7023" w:rsidP="00AD7023">
            <w:pPr>
              <w:jc w:val="right"/>
              <w:rPr>
                <w:rFonts w:eastAsia="Times New Roman" w:cs="Arial"/>
                <w:color w:val="FF0000"/>
                <w:sz w:val="16"/>
                <w:szCs w:val="16"/>
              </w:rPr>
            </w:pPr>
            <w:r w:rsidRPr="00AD7023">
              <w:rPr>
                <w:rFonts w:cs="Arial"/>
                <w:color w:val="000000"/>
                <w:sz w:val="16"/>
                <w:szCs w:val="16"/>
              </w:rPr>
              <w:t>154,861,143</w:t>
            </w:r>
          </w:p>
        </w:tc>
        <w:tc>
          <w:tcPr>
            <w:tcW w:w="576" w:type="dxa"/>
            <w:shd w:val="clear" w:color="auto" w:fill="auto"/>
            <w:noWrap/>
            <w:vAlign w:val="bottom"/>
          </w:tcPr>
          <w:p w14:paraId="1850BFA5" w14:textId="77777777" w:rsidR="00AD7023" w:rsidRPr="00CA53E8" w:rsidRDefault="00AD7023" w:rsidP="00AD7023">
            <w:pPr>
              <w:jc w:val="center"/>
              <w:rPr>
                <w:rFonts w:eastAsia="Times New Roman" w:cs="Arial"/>
                <w:color w:val="000000"/>
                <w:sz w:val="16"/>
                <w:szCs w:val="16"/>
              </w:rPr>
            </w:pPr>
          </w:p>
        </w:tc>
      </w:tr>
      <w:tr w:rsidR="00AD7023" w:rsidRPr="00516AFF" w14:paraId="06E1CEEB" w14:textId="77777777" w:rsidTr="00322162">
        <w:trPr>
          <w:trHeight w:val="20"/>
        </w:trPr>
        <w:tc>
          <w:tcPr>
            <w:tcW w:w="941" w:type="dxa"/>
            <w:shd w:val="clear" w:color="auto" w:fill="auto"/>
            <w:noWrap/>
            <w:vAlign w:val="center"/>
            <w:hideMark/>
          </w:tcPr>
          <w:p w14:paraId="3B4F4A6A" w14:textId="77777777" w:rsidR="00AD7023" w:rsidRPr="00516AFF" w:rsidRDefault="00AD7023" w:rsidP="00AD7023">
            <w:pPr>
              <w:jc w:val="center"/>
              <w:rPr>
                <w:rFonts w:eastAsia="Times New Roman" w:cs="Arial"/>
                <w:color w:val="000000"/>
                <w:sz w:val="16"/>
                <w:szCs w:val="18"/>
              </w:rPr>
            </w:pPr>
            <w:r>
              <w:rPr>
                <w:rFonts w:eastAsia="Times New Roman" w:cs="Arial"/>
                <w:color w:val="000000"/>
                <w:sz w:val="16"/>
                <w:szCs w:val="18"/>
              </w:rPr>
              <w:t>0</w:t>
            </w:r>
            <w:r w:rsidRPr="00516AFF">
              <w:rPr>
                <w:rFonts w:eastAsia="Times New Roman" w:cs="Arial"/>
                <w:color w:val="000000"/>
                <w:sz w:val="16"/>
                <w:szCs w:val="18"/>
              </w:rPr>
              <w:t>9</w:t>
            </w:r>
            <w:r>
              <w:rPr>
                <w:rFonts w:eastAsia="Times New Roman" w:cs="Arial"/>
                <w:color w:val="000000"/>
                <w:sz w:val="16"/>
                <w:szCs w:val="18"/>
              </w:rPr>
              <w:t>0</w:t>
            </w:r>
            <w:r w:rsidRPr="00516AFF">
              <w:rPr>
                <w:rFonts w:eastAsia="Times New Roman" w:cs="Arial"/>
                <w:color w:val="000000"/>
                <w:sz w:val="16"/>
                <w:szCs w:val="18"/>
              </w:rPr>
              <w:t>9</w:t>
            </w:r>
            <w:r>
              <w:rPr>
                <w:rFonts w:eastAsia="Times New Roman" w:cs="Arial"/>
                <w:color w:val="000000"/>
                <w:sz w:val="16"/>
                <w:szCs w:val="18"/>
              </w:rPr>
              <w:t>0</w:t>
            </w:r>
            <w:r w:rsidRPr="00516AFF">
              <w:rPr>
                <w:rFonts w:eastAsia="Times New Roman" w:cs="Arial"/>
                <w:color w:val="000000"/>
                <w:sz w:val="16"/>
                <w:szCs w:val="18"/>
              </w:rPr>
              <w:t>1</w:t>
            </w:r>
            <w:r>
              <w:rPr>
                <w:rFonts w:eastAsia="Times New Roman" w:cs="Arial"/>
                <w:color w:val="000000"/>
                <w:sz w:val="16"/>
                <w:szCs w:val="18"/>
              </w:rPr>
              <w:t>0</w:t>
            </w:r>
            <w:r w:rsidRPr="00516AFF">
              <w:rPr>
                <w:rFonts w:eastAsia="Times New Roman" w:cs="Arial"/>
                <w:color w:val="000000"/>
                <w:sz w:val="16"/>
                <w:szCs w:val="18"/>
              </w:rPr>
              <w:t>04</w:t>
            </w:r>
          </w:p>
        </w:tc>
        <w:tc>
          <w:tcPr>
            <w:tcW w:w="6091" w:type="dxa"/>
            <w:shd w:val="clear" w:color="auto" w:fill="auto"/>
            <w:vAlign w:val="center"/>
            <w:hideMark/>
          </w:tcPr>
          <w:p w14:paraId="6BE699D9" w14:textId="77777777" w:rsidR="00AD7023" w:rsidRPr="00516AFF" w:rsidRDefault="00AD7023" w:rsidP="00AD7023">
            <w:pPr>
              <w:jc w:val="left"/>
              <w:rPr>
                <w:rFonts w:eastAsia="Times New Roman" w:cs="Arial"/>
                <w:color w:val="000000"/>
                <w:sz w:val="16"/>
                <w:szCs w:val="18"/>
              </w:rPr>
            </w:pPr>
            <w:r w:rsidRPr="00516AFF">
              <w:rPr>
                <w:rFonts w:eastAsia="Times New Roman" w:cs="Arial"/>
                <w:color w:val="000000"/>
                <w:sz w:val="16"/>
                <w:szCs w:val="18"/>
              </w:rPr>
              <w:t>Devolución de Ingresos Percibidos Indebidamente en Ejercicios Fiscales Anteriores</w:t>
            </w:r>
          </w:p>
        </w:tc>
        <w:tc>
          <w:tcPr>
            <w:tcW w:w="1318" w:type="dxa"/>
            <w:shd w:val="clear" w:color="auto" w:fill="auto"/>
            <w:noWrap/>
            <w:vAlign w:val="bottom"/>
          </w:tcPr>
          <w:p w14:paraId="08A915C4" w14:textId="2C97A2BE" w:rsidR="00AD7023" w:rsidRPr="00AD7023" w:rsidRDefault="00AD7023" w:rsidP="00AD7023">
            <w:pPr>
              <w:jc w:val="right"/>
              <w:rPr>
                <w:rFonts w:eastAsia="Times New Roman" w:cs="Arial"/>
                <w:color w:val="FF0000"/>
                <w:sz w:val="16"/>
                <w:szCs w:val="16"/>
              </w:rPr>
            </w:pPr>
            <w:r w:rsidRPr="00AD7023">
              <w:rPr>
                <w:rFonts w:cs="Arial"/>
                <w:color w:val="000000"/>
                <w:sz w:val="16"/>
                <w:szCs w:val="16"/>
              </w:rPr>
              <w:t>500,000</w:t>
            </w:r>
          </w:p>
        </w:tc>
        <w:tc>
          <w:tcPr>
            <w:tcW w:w="576" w:type="dxa"/>
            <w:shd w:val="clear" w:color="auto" w:fill="auto"/>
            <w:noWrap/>
            <w:vAlign w:val="bottom"/>
          </w:tcPr>
          <w:p w14:paraId="59B4C476" w14:textId="77777777" w:rsidR="00AD7023" w:rsidRPr="00CA53E8" w:rsidRDefault="00AD7023" w:rsidP="00AD7023">
            <w:pPr>
              <w:jc w:val="center"/>
              <w:rPr>
                <w:rFonts w:eastAsia="Times New Roman" w:cs="Arial"/>
                <w:color w:val="000000"/>
                <w:sz w:val="16"/>
                <w:szCs w:val="16"/>
              </w:rPr>
            </w:pPr>
          </w:p>
        </w:tc>
      </w:tr>
    </w:tbl>
    <w:p w14:paraId="7FDF4D1A" w14:textId="0828E4FB" w:rsidR="00B152A6" w:rsidRDefault="00B152A6" w:rsidP="00EA4FC2"/>
    <w:p w14:paraId="23E53033" w14:textId="77777777" w:rsidR="000B5B46" w:rsidRDefault="000B5B46" w:rsidP="00EA4FC2"/>
    <w:p w14:paraId="5E7C73FB" w14:textId="78EEE54A" w:rsidR="00F40C0F" w:rsidRPr="00516AFF" w:rsidRDefault="00D604A9" w:rsidP="00A65C89">
      <w:pPr>
        <w:pStyle w:val="Ttulo2"/>
        <w:rPr>
          <w:rFonts w:cs="Arial"/>
        </w:rPr>
      </w:pPr>
      <w:bookmarkStart w:id="3" w:name="_Hlk179279761"/>
      <w:r w:rsidRPr="00516AFF">
        <w:rPr>
          <w:rFonts w:cs="Arial"/>
        </w:rPr>
        <w:t>2.</w:t>
      </w:r>
      <w:r w:rsidR="00F40C0F" w:rsidRPr="00516AFF">
        <w:rPr>
          <w:rFonts w:cs="Arial"/>
        </w:rPr>
        <w:t>VIII. Sistema de Alertas</w:t>
      </w:r>
    </w:p>
    <w:p w14:paraId="2D59F565" w14:textId="77777777" w:rsidR="00F83C0E" w:rsidRDefault="00F83C0E" w:rsidP="00F83C0E">
      <w:pPr>
        <w:rPr>
          <w:rFonts w:cs="Arial"/>
          <w:bCs/>
        </w:rPr>
      </w:pPr>
    </w:p>
    <w:bookmarkEnd w:id="3"/>
    <w:p w14:paraId="585417AC" w14:textId="53F268C7" w:rsidR="00EA7679" w:rsidRDefault="00327AEB" w:rsidP="00EA7679">
      <w:pPr>
        <w:rPr>
          <w:rFonts w:cs="Arial"/>
          <w:bCs/>
        </w:rPr>
      </w:pPr>
      <w:r>
        <w:rPr>
          <w:rFonts w:cs="Arial"/>
          <w:bCs/>
        </w:rPr>
        <w:t xml:space="preserve">Con información de </w:t>
      </w:r>
      <w:r w:rsidR="00EA7679">
        <w:rPr>
          <w:rFonts w:cs="Arial"/>
          <w:bCs/>
        </w:rPr>
        <w:t xml:space="preserve">la Secretaría de Hacienda y Crédito, el Sistema de Alertas mide el nivel de endeudamiento de los Entes Públicos que tengan contratados Financiamientos y Obligaciones, y éstos se encuentren inscritos en el Registro Público Único, cuya fuente o garantía de pago sea de Ingresos de Libre Disposición. </w:t>
      </w:r>
    </w:p>
    <w:p w14:paraId="2D1CF63B" w14:textId="77777777" w:rsidR="00EA7679" w:rsidRDefault="00EA7679" w:rsidP="00EA7679">
      <w:pPr>
        <w:rPr>
          <w:rFonts w:cs="Arial"/>
          <w:bCs/>
        </w:rPr>
      </w:pPr>
    </w:p>
    <w:p w14:paraId="4B1EF99E" w14:textId="68741F61" w:rsidR="00EA7679" w:rsidRDefault="00EA7679" w:rsidP="00EA7679">
      <w:pPr>
        <w:rPr>
          <w:rFonts w:cs="Arial"/>
          <w:bCs/>
        </w:rPr>
      </w:pPr>
      <w:r>
        <w:rPr>
          <w:rFonts w:cs="Arial"/>
          <w:bCs/>
        </w:rPr>
        <w:lastRenderedPageBreak/>
        <w:t xml:space="preserve">La Ley de Disciplina Financiera de las Entidades Federativas y los Municipios establece tres indicadores de corto y largo plazo para realizar la medición del Sistema de Alertas: </w:t>
      </w:r>
    </w:p>
    <w:p w14:paraId="49E4AEC5" w14:textId="77777777" w:rsidR="000B5B46" w:rsidRDefault="000B5B46" w:rsidP="00EA7679">
      <w:pPr>
        <w:rPr>
          <w:rFonts w:cs="Arial"/>
          <w:bCs/>
        </w:rPr>
      </w:pPr>
    </w:p>
    <w:p w14:paraId="053AAE70" w14:textId="3D05F421" w:rsidR="00EA7679" w:rsidRPr="00382F53" w:rsidRDefault="00EA7679" w:rsidP="00EA7679">
      <w:pPr>
        <w:pStyle w:val="Prrafodelista"/>
        <w:numPr>
          <w:ilvl w:val="0"/>
          <w:numId w:val="29"/>
        </w:numPr>
        <w:rPr>
          <w:rFonts w:cs="Arial"/>
          <w:bCs/>
        </w:rPr>
      </w:pPr>
      <w:r w:rsidRPr="00EA4FC2">
        <w:rPr>
          <w:rFonts w:cs="Arial"/>
          <w:b/>
          <w:bCs/>
        </w:rPr>
        <w:t>Deuda</w:t>
      </w:r>
      <w:r w:rsidRPr="00EA4FC2">
        <w:rPr>
          <w:rFonts w:cs="Arial"/>
          <w:bCs/>
        </w:rPr>
        <w:t xml:space="preserve"> </w:t>
      </w:r>
      <w:r w:rsidRPr="00EA4FC2">
        <w:rPr>
          <w:rFonts w:cs="Arial"/>
          <w:b/>
          <w:bCs/>
        </w:rPr>
        <w:t>Pública</w:t>
      </w:r>
      <w:r w:rsidRPr="00EA4FC2">
        <w:rPr>
          <w:rFonts w:cs="Arial"/>
          <w:bCs/>
        </w:rPr>
        <w:t xml:space="preserve"> </w:t>
      </w:r>
      <w:r w:rsidRPr="00EA4FC2">
        <w:rPr>
          <w:rFonts w:cs="Arial"/>
          <w:b/>
          <w:bCs/>
        </w:rPr>
        <w:t>y</w:t>
      </w:r>
      <w:r w:rsidRPr="00EA4FC2">
        <w:rPr>
          <w:rFonts w:cs="Arial"/>
          <w:bCs/>
        </w:rPr>
        <w:t xml:space="preserve"> </w:t>
      </w:r>
      <w:r w:rsidRPr="00EA4FC2">
        <w:rPr>
          <w:rFonts w:cs="Arial"/>
          <w:b/>
          <w:bCs/>
        </w:rPr>
        <w:t>Obligaciones</w:t>
      </w:r>
      <w:r w:rsidRPr="00EA4FC2">
        <w:rPr>
          <w:rFonts w:cs="Arial"/>
          <w:bCs/>
        </w:rPr>
        <w:t xml:space="preserve"> </w:t>
      </w:r>
      <w:r w:rsidRPr="00EA4FC2">
        <w:rPr>
          <w:rFonts w:cs="Arial"/>
          <w:b/>
          <w:bCs/>
        </w:rPr>
        <w:t>sobre</w:t>
      </w:r>
      <w:r w:rsidRPr="00EA4FC2">
        <w:rPr>
          <w:rFonts w:cs="Arial"/>
          <w:bCs/>
        </w:rPr>
        <w:t xml:space="preserve"> </w:t>
      </w:r>
      <w:r w:rsidRPr="00EA4FC2">
        <w:rPr>
          <w:rFonts w:cs="Arial"/>
          <w:b/>
          <w:bCs/>
        </w:rPr>
        <w:t>Ingresos</w:t>
      </w:r>
      <w:r w:rsidRPr="00EA4FC2">
        <w:rPr>
          <w:rFonts w:cs="Arial"/>
          <w:bCs/>
        </w:rPr>
        <w:t xml:space="preserve"> </w:t>
      </w:r>
      <w:r w:rsidRPr="00EA4FC2">
        <w:rPr>
          <w:rFonts w:cs="Arial"/>
          <w:b/>
          <w:bCs/>
        </w:rPr>
        <w:t>de</w:t>
      </w:r>
      <w:r w:rsidRPr="00EA4FC2">
        <w:rPr>
          <w:rFonts w:cs="Arial"/>
          <w:bCs/>
        </w:rPr>
        <w:t xml:space="preserve"> </w:t>
      </w:r>
      <w:r w:rsidRPr="00EA4FC2">
        <w:rPr>
          <w:rFonts w:cs="Arial"/>
          <w:b/>
          <w:bCs/>
        </w:rPr>
        <w:t>Libre</w:t>
      </w:r>
      <w:r w:rsidRPr="00EA4FC2">
        <w:rPr>
          <w:rFonts w:cs="Arial"/>
          <w:bCs/>
        </w:rPr>
        <w:t xml:space="preserve"> </w:t>
      </w:r>
      <w:r w:rsidRPr="00EA4FC2">
        <w:rPr>
          <w:rFonts w:cs="Arial"/>
          <w:b/>
          <w:bCs/>
        </w:rPr>
        <w:t>Disposición</w:t>
      </w:r>
      <w:r w:rsidRPr="00EA4FC2">
        <w:rPr>
          <w:rFonts w:cs="Arial"/>
          <w:bCs/>
        </w:rPr>
        <w:t>, contabiliza créditos contratados, emisiones bursátiles, deuda donde el Ente Público otorga respaldo mediante fuente de pago propia, obligaciones derivadas de asociaciones Público-Privadas y cualquier otra obligación que implique pagos financieros programados. Los ingresos de Libre Disposición incluyen ingresos locales más las Participaciones Federales; en el caso de las Entidades Federativas, se restarán de estas Participaciones las otorgadas a los Municipios</w:t>
      </w:r>
      <w:r w:rsidR="00F8110A">
        <w:rPr>
          <w:rFonts w:cs="Arial"/>
          <w:bCs/>
        </w:rPr>
        <w:t>. Este indicador tiene</w:t>
      </w:r>
      <w:r w:rsidRPr="00D96B8B">
        <w:rPr>
          <w:rFonts w:cs="Arial"/>
        </w:rPr>
        <w:t xml:space="preserve"> la finalidad de mostrar cuál es la proporción de la Deuda Pública y Obligaciones en las cuáles ha incurrido el Gobierno del Estado respecto a sus Ingresos de Libre Disposición, lo que nos permitirá conocer la sostenibilidad de endeudamiento.</w:t>
      </w:r>
    </w:p>
    <w:p w14:paraId="2873717A" w14:textId="77777777" w:rsidR="00382F53" w:rsidRPr="00382F53" w:rsidRDefault="00382F53" w:rsidP="00382F53">
      <w:pPr>
        <w:pStyle w:val="Prrafodelista"/>
        <w:ind w:left="644"/>
        <w:rPr>
          <w:rFonts w:cs="Arial"/>
          <w:bCs/>
        </w:rPr>
      </w:pPr>
    </w:p>
    <w:p w14:paraId="1401CF36" w14:textId="6FD526D7" w:rsidR="00EA7679" w:rsidRDefault="00EA7679" w:rsidP="00EA7679">
      <w:pPr>
        <w:pStyle w:val="Prrafodelista"/>
        <w:numPr>
          <w:ilvl w:val="0"/>
          <w:numId w:val="29"/>
        </w:numPr>
        <w:rPr>
          <w:rFonts w:cs="Arial"/>
          <w:bCs/>
        </w:rPr>
      </w:pPr>
      <w:r w:rsidRPr="00D96B8B">
        <w:rPr>
          <w:rFonts w:cs="Arial"/>
          <w:b/>
          <w:bCs/>
        </w:rPr>
        <w:t>Servicio de la Deuda y de Obligaciones sobre Ingresos de Libre Disposición</w:t>
      </w:r>
      <w:r w:rsidRPr="00D96B8B">
        <w:rPr>
          <w:rFonts w:cs="Arial"/>
          <w:bCs/>
        </w:rPr>
        <w:t>, se contabilizan las amortizaciones, intereses, comisiones y otros costos financieros derivados de financiamientos y obligaciones, excepto las amortizaciones de refinanciamiento, las realizadas de manera anticipada y las obligaciones a corto plazo</w:t>
      </w:r>
      <w:r w:rsidR="00F8110A">
        <w:rPr>
          <w:rFonts w:cs="Arial"/>
          <w:bCs/>
        </w:rPr>
        <w:t>. E</w:t>
      </w:r>
      <w:r w:rsidRPr="00D96B8B">
        <w:rPr>
          <w:rFonts w:cs="Arial"/>
          <w:bCs/>
        </w:rPr>
        <w:t>ste</w:t>
      </w:r>
      <w:r w:rsidR="00F8110A">
        <w:rPr>
          <w:rFonts w:cs="Arial"/>
          <w:bCs/>
        </w:rPr>
        <w:t xml:space="preserve"> </w:t>
      </w:r>
      <w:r w:rsidRPr="00D96B8B">
        <w:rPr>
          <w:rFonts w:cs="Arial"/>
          <w:bCs/>
        </w:rPr>
        <w:t xml:space="preserve">indicador se centra en mostrar cuál es la proporción de los Servicios de la Deuda y Obligaciones respecto a los Ingresos de Libre Disposición para obtener la capacidad de pago actual.  </w:t>
      </w:r>
    </w:p>
    <w:p w14:paraId="3416EF47" w14:textId="77777777" w:rsidR="00382F53" w:rsidRPr="00382F53" w:rsidRDefault="00382F53" w:rsidP="00382F53">
      <w:pPr>
        <w:pStyle w:val="Prrafodelista"/>
        <w:rPr>
          <w:rFonts w:cs="Arial"/>
          <w:bCs/>
        </w:rPr>
      </w:pPr>
    </w:p>
    <w:p w14:paraId="03357973" w14:textId="77777777" w:rsidR="00EA7679" w:rsidRDefault="00EA7679" w:rsidP="00EA7679">
      <w:pPr>
        <w:ind w:left="567" w:hanging="283"/>
        <w:rPr>
          <w:rFonts w:cs="Arial"/>
          <w:bCs/>
        </w:rPr>
      </w:pPr>
      <w:r>
        <w:rPr>
          <w:rFonts w:cs="Arial"/>
          <w:b/>
          <w:bCs/>
        </w:rPr>
        <w:t>(3) Obligaciones a Corto Plazo y Proveedores y Contratistas, menos los montos de efectivo, bancos e inversiones temporales, sobre Ingresos Totales</w:t>
      </w:r>
      <w:r>
        <w:rPr>
          <w:rFonts w:cs="Arial"/>
          <w:bCs/>
        </w:rPr>
        <w:t xml:space="preserve">, está vinculado con la capacidad financiera de Ente Público para cumplir con sus obligaciones contratadas a un lazo menor a 12 meses. Se contabilizan los adeudos que tiene el Ente Público con proveedores de bienes y servicios, contratistas por obras públicas y Financiamientos a liquidar en corto plazo, restando los montos de Efectivo, Bancos e Inversiones Temporales.  </w:t>
      </w:r>
    </w:p>
    <w:p w14:paraId="3C4525F6" w14:textId="6867C069" w:rsidR="00AD7023" w:rsidRDefault="00AD7023" w:rsidP="00EA7679">
      <w:pPr>
        <w:ind w:left="567" w:hanging="283"/>
        <w:rPr>
          <w:rFonts w:cs="Arial"/>
          <w:bCs/>
        </w:rPr>
      </w:pPr>
    </w:p>
    <w:p w14:paraId="29ED03E1" w14:textId="77777777" w:rsidR="00EA7679" w:rsidRPr="000B5B46" w:rsidRDefault="00EA7679" w:rsidP="00EA7679">
      <w:pPr>
        <w:tabs>
          <w:tab w:val="left" w:pos="4918"/>
        </w:tabs>
        <w:ind w:left="567"/>
        <w:rPr>
          <w:rFonts w:cs="Arial"/>
          <w:bCs/>
          <w:sz w:val="20"/>
          <w:szCs w:val="20"/>
        </w:rPr>
      </w:pPr>
      <w:r w:rsidRPr="000B5B46">
        <w:rPr>
          <w:rFonts w:cs="Arial"/>
          <w:b/>
          <w:bCs/>
          <w:sz w:val="20"/>
          <w:szCs w:val="20"/>
        </w:rPr>
        <w:t>Valores que determinan los límites de los rangos bajo, medio y alto de los indicadores del Nivel de Endeudamiento del Sistema de Alertas de las Entidades Federativas.</w:t>
      </w:r>
    </w:p>
    <w:tbl>
      <w:tblPr>
        <w:tblStyle w:val="Tablaconcuadrcula"/>
        <w:tblW w:w="8227" w:type="dxa"/>
        <w:jc w:val="right"/>
        <w:tblLook w:val="04A0" w:firstRow="1" w:lastRow="0" w:firstColumn="1" w:lastColumn="0" w:noHBand="0" w:noVBand="1"/>
      </w:tblPr>
      <w:tblGrid>
        <w:gridCol w:w="5240"/>
        <w:gridCol w:w="992"/>
        <w:gridCol w:w="1134"/>
        <w:gridCol w:w="861"/>
      </w:tblGrid>
      <w:tr w:rsidR="00EA7679" w14:paraId="62575301" w14:textId="77777777" w:rsidTr="00322162">
        <w:trPr>
          <w:jc w:val="right"/>
        </w:trPr>
        <w:tc>
          <w:tcPr>
            <w:tcW w:w="5240" w:type="dxa"/>
            <w:vMerge w:val="restart"/>
            <w:tcBorders>
              <w:top w:val="single" w:sz="4" w:space="0" w:color="auto"/>
              <w:left w:val="single" w:sz="4" w:space="0" w:color="auto"/>
              <w:bottom w:val="single" w:sz="4" w:space="0" w:color="auto"/>
              <w:right w:val="single" w:sz="4" w:space="0" w:color="auto"/>
            </w:tcBorders>
            <w:vAlign w:val="center"/>
            <w:hideMark/>
          </w:tcPr>
          <w:p w14:paraId="05EAFE13" w14:textId="77777777" w:rsidR="00EA7679" w:rsidRDefault="00EA7679" w:rsidP="00322162">
            <w:pPr>
              <w:tabs>
                <w:tab w:val="left" w:pos="1926"/>
                <w:tab w:val="left" w:pos="1964"/>
                <w:tab w:val="center" w:pos="2441"/>
                <w:tab w:val="left" w:pos="4918"/>
              </w:tabs>
              <w:jc w:val="center"/>
              <w:rPr>
                <w:rFonts w:cs="Arial"/>
                <w:b/>
                <w:bCs/>
                <w:sz w:val="18"/>
                <w:szCs w:val="18"/>
                <w:lang w:eastAsia="en-US"/>
              </w:rPr>
            </w:pPr>
            <w:r>
              <w:rPr>
                <w:rFonts w:cs="Arial"/>
                <w:b/>
                <w:bCs/>
                <w:sz w:val="18"/>
                <w:szCs w:val="18"/>
                <w:lang w:eastAsia="en-US"/>
              </w:rPr>
              <w:t>Indicador</w:t>
            </w:r>
          </w:p>
        </w:tc>
        <w:tc>
          <w:tcPr>
            <w:tcW w:w="2987" w:type="dxa"/>
            <w:gridSpan w:val="3"/>
            <w:tcBorders>
              <w:top w:val="single" w:sz="4" w:space="0" w:color="auto"/>
              <w:left w:val="single" w:sz="4" w:space="0" w:color="auto"/>
              <w:bottom w:val="single" w:sz="4" w:space="0" w:color="auto"/>
              <w:right w:val="single" w:sz="4" w:space="0" w:color="auto"/>
            </w:tcBorders>
            <w:hideMark/>
          </w:tcPr>
          <w:p w14:paraId="2321CA37" w14:textId="77777777" w:rsidR="00EA7679" w:rsidRDefault="00EA7679" w:rsidP="00322162">
            <w:pPr>
              <w:tabs>
                <w:tab w:val="left" w:pos="4918"/>
              </w:tabs>
              <w:jc w:val="center"/>
              <w:rPr>
                <w:rFonts w:cs="Arial"/>
                <w:b/>
                <w:bCs/>
                <w:sz w:val="18"/>
                <w:szCs w:val="18"/>
                <w:lang w:eastAsia="en-US"/>
              </w:rPr>
            </w:pPr>
            <w:r>
              <w:rPr>
                <w:rFonts w:cs="Arial"/>
                <w:b/>
                <w:bCs/>
                <w:sz w:val="18"/>
                <w:szCs w:val="18"/>
                <w:lang w:eastAsia="en-US"/>
              </w:rPr>
              <w:t>Rango</w:t>
            </w:r>
          </w:p>
        </w:tc>
      </w:tr>
      <w:tr w:rsidR="00EA7679" w14:paraId="45A452A0" w14:textId="77777777" w:rsidTr="00322162">
        <w:trPr>
          <w:jc w:val="right"/>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4B1841F4" w14:textId="77777777" w:rsidR="00EA7679" w:rsidRDefault="00EA7679" w:rsidP="00322162">
            <w:pPr>
              <w:jc w:val="left"/>
              <w:rPr>
                <w:rFonts w:cs="Arial"/>
                <w:b/>
                <w:bCs/>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7CA6F964" w14:textId="77777777" w:rsidR="00EA7679" w:rsidRDefault="00EA7679" w:rsidP="00322162">
            <w:pPr>
              <w:tabs>
                <w:tab w:val="left" w:pos="4918"/>
              </w:tabs>
              <w:jc w:val="center"/>
              <w:rPr>
                <w:rFonts w:cs="Arial"/>
                <w:b/>
                <w:bCs/>
                <w:sz w:val="18"/>
                <w:szCs w:val="18"/>
                <w:lang w:eastAsia="en-US"/>
              </w:rPr>
            </w:pPr>
            <w:r>
              <w:rPr>
                <w:rFonts w:cs="Arial"/>
                <w:b/>
                <w:bCs/>
                <w:color w:val="FFFFFF" w:themeColor="background1"/>
                <w:sz w:val="18"/>
                <w:szCs w:val="18"/>
                <w:lang w:eastAsia="en-US"/>
              </w:rPr>
              <w:t>Bajo</w:t>
            </w:r>
          </w:p>
        </w:tc>
        <w:tc>
          <w:tcPr>
            <w:tcW w:w="11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BA63AC" w14:textId="77777777" w:rsidR="00EA7679" w:rsidRDefault="00EA7679" w:rsidP="00322162">
            <w:pPr>
              <w:tabs>
                <w:tab w:val="left" w:pos="4918"/>
              </w:tabs>
              <w:jc w:val="center"/>
              <w:rPr>
                <w:rFonts w:cs="Arial"/>
                <w:b/>
                <w:bCs/>
                <w:sz w:val="18"/>
                <w:szCs w:val="18"/>
                <w:lang w:eastAsia="en-US"/>
              </w:rPr>
            </w:pPr>
            <w:r>
              <w:rPr>
                <w:rFonts w:cs="Arial"/>
                <w:b/>
                <w:bCs/>
                <w:sz w:val="18"/>
                <w:szCs w:val="18"/>
                <w:lang w:eastAsia="en-US"/>
              </w:rPr>
              <w:t>Medio</w:t>
            </w:r>
          </w:p>
        </w:tc>
        <w:tc>
          <w:tcPr>
            <w:tcW w:w="861" w:type="dxa"/>
            <w:tcBorders>
              <w:top w:val="single" w:sz="4" w:space="0" w:color="auto"/>
              <w:left w:val="single" w:sz="4" w:space="0" w:color="auto"/>
              <w:bottom w:val="single" w:sz="4" w:space="0" w:color="auto"/>
              <w:right w:val="single" w:sz="4" w:space="0" w:color="auto"/>
            </w:tcBorders>
            <w:shd w:val="clear" w:color="auto" w:fill="C00000"/>
            <w:hideMark/>
          </w:tcPr>
          <w:p w14:paraId="058E7828" w14:textId="77777777" w:rsidR="00EA7679" w:rsidRDefault="00EA7679" w:rsidP="00322162">
            <w:pPr>
              <w:tabs>
                <w:tab w:val="left" w:pos="4918"/>
              </w:tabs>
              <w:jc w:val="center"/>
              <w:rPr>
                <w:rFonts w:cs="Arial"/>
                <w:b/>
                <w:bCs/>
                <w:sz w:val="18"/>
                <w:szCs w:val="18"/>
                <w:lang w:eastAsia="en-US"/>
              </w:rPr>
            </w:pPr>
            <w:r>
              <w:rPr>
                <w:rFonts w:cs="Arial"/>
                <w:b/>
                <w:bCs/>
                <w:sz w:val="18"/>
                <w:szCs w:val="18"/>
                <w:lang w:eastAsia="en-US"/>
              </w:rPr>
              <w:t>Alto</w:t>
            </w:r>
          </w:p>
        </w:tc>
      </w:tr>
      <w:tr w:rsidR="00EA7679" w14:paraId="5219FF19" w14:textId="77777777" w:rsidTr="00322162">
        <w:trPr>
          <w:jc w:val="right"/>
        </w:trPr>
        <w:tc>
          <w:tcPr>
            <w:tcW w:w="5240" w:type="dxa"/>
            <w:tcBorders>
              <w:top w:val="single" w:sz="4" w:space="0" w:color="auto"/>
              <w:left w:val="single" w:sz="4" w:space="0" w:color="auto"/>
              <w:bottom w:val="single" w:sz="4" w:space="0" w:color="auto"/>
              <w:right w:val="single" w:sz="4" w:space="0" w:color="auto"/>
            </w:tcBorders>
            <w:hideMark/>
          </w:tcPr>
          <w:p w14:paraId="4C029187" w14:textId="77777777" w:rsidR="00EA7679" w:rsidRDefault="00EA7679" w:rsidP="00322162">
            <w:pPr>
              <w:tabs>
                <w:tab w:val="left" w:pos="4918"/>
              </w:tabs>
              <w:rPr>
                <w:rFonts w:cs="Arial"/>
                <w:bCs/>
                <w:sz w:val="18"/>
                <w:szCs w:val="18"/>
                <w:lang w:eastAsia="en-US"/>
              </w:rPr>
            </w:pPr>
            <w:r>
              <w:rPr>
                <w:rFonts w:cs="Arial"/>
                <w:bCs/>
                <w:sz w:val="18"/>
                <w:szCs w:val="18"/>
                <w:lang w:eastAsia="en-US"/>
              </w:rPr>
              <w:t>Deuda Pública y Obligaciones sobre Ingresos de Libre Disposición Deuda Pública y Obligaciones sobre Ingresos de Libre Disposición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95B3E0" w14:textId="77777777" w:rsidR="00EA7679" w:rsidRDefault="00EA7679" w:rsidP="00322162">
            <w:pPr>
              <w:tabs>
                <w:tab w:val="left" w:pos="4918"/>
              </w:tabs>
              <w:jc w:val="center"/>
              <w:rPr>
                <w:rFonts w:cs="Arial"/>
                <w:bCs/>
                <w:sz w:val="18"/>
                <w:szCs w:val="18"/>
                <w:lang w:eastAsia="en-US"/>
              </w:rPr>
            </w:pPr>
            <w:r>
              <w:rPr>
                <w:rFonts w:cs="Arial"/>
                <w:bCs/>
                <w:sz w:val="18"/>
                <w:szCs w:val="18"/>
                <w:lang w:eastAsia="en-US"/>
              </w:rPr>
              <w:t>&lt; = 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2244F6" w14:textId="77777777" w:rsidR="00EA7679" w:rsidRDefault="00EA7679" w:rsidP="00322162">
            <w:pPr>
              <w:tabs>
                <w:tab w:val="left" w:pos="4918"/>
              </w:tabs>
              <w:jc w:val="center"/>
              <w:rPr>
                <w:rFonts w:cs="Arial"/>
                <w:bCs/>
                <w:sz w:val="18"/>
                <w:szCs w:val="18"/>
                <w:lang w:eastAsia="en-US"/>
              </w:rPr>
            </w:pPr>
            <w:r>
              <w:rPr>
                <w:rFonts w:cs="Arial"/>
                <w:bCs/>
                <w:sz w:val="18"/>
                <w:szCs w:val="18"/>
                <w:lang w:eastAsia="en-US"/>
              </w:rPr>
              <w:t>&lt; = 200%</w:t>
            </w:r>
          </w:p>
        </w:tc>
        <w:tc>
          <w:tcPr>
            <w:tcW w:w="861" w:type="dxa"/>
            <w:tcBorders>
              <w:top w:val="single" w:sz="4" w:space="0" w:color="auto"/>
              <w:left w:val="single" w:sz="4" w:space="0" w:color="auto"/>
              <w:bottom w:val="single" w:sz="4" w:space="0" w:color="auto"/>
              <w:right w:val="single" w:sz="4" w:space="0" w:color="auto"/>
            </w:tcBorders>
            <w:vAlign w:val="center"/>
            <w:hideMark/>
          </w:tcPr>
          <w:p w14:paraId="00BC47C5" w14:textId="77777777" w:rsidR="00EA7679" w:rsidRDefault="00EA7679" w:rsidP="00322162">
            <w:pPr>
              <w:tabs>
                <w:tab w:val="left" w:pos="4918"/>
              </w:tabs>
              <w:jc w:val="center"/>
              <w:rPr>
                <w:rFonts w:cs="Arial"/>
                <w:bCs/>
                <w:sz w:val="18"/>
                <w:szCs w:val="18"/>
                <w:lang w:eastAsia="en-US"/>
              </w:rPr>
            </w:pPr>
            <w:r>
              <w:rPr>
                <w:rFonts w:cs="Arial"/>
                <w:bCs/>
                <w:sz w:val="18"/>
                <w:szCs w:val="18"/>
                <w:lang w:eastAsia="en-US"/>
              </w:rPr>
              <w:t>&gt;200%</w:t>
            </w:r>
          </w:p>
        </w:tc>
      </w:tr>
      <w:tr w:rsidR="00EA7679" w14:paraId="53227663" w14:textId="77777777" w:rsidTr="00322162">
        <w:trPr>
          <w:jc w:val="right"/>
        </w:trPr>
        <w:tc>
          <w:tcPr>
            <w:tcW w:w="5240" w:type="dxa"/>
            <w:tcBorders>
              <w:top w:val="single" w:sz="4" w:space="0" w:color="auto"/>
              <w:left w:val="single" w:sz="4" w:space="0" w:color="auto"/>
              <w:bottom w:val="single" w:sz="4" w:space="0" w:color="auto"/>
              <w:right w:val="single" w:sz="4" w:space="0" w:color="auto"/>
            </w:tcBorders>
            <w:hideMark/>
          </w:tcPr>
          <w:p w14:paraId="4A5C3434" w14:textId="77777777" w:rsidR="00EA7679" w:rsidRDefault="00EA7679" w:rsidP="00322162">
            <w:pPr>
              <w:tabs>
                <w:tab w:val="left" w:pos="4918"/>
              </w:tabs>
              <w:rPr>
                <w:rFonts w:cs="Arial"/>
                <w:bCs/>
                <w:sz w:val="18"/>
                <w:szCs w:val="18"/>
                <w:lang w:eastAsia="en-US"/>
              </w:rPr>
            </w:pPr>
            <w:r>
              <w:rPr>
                <w:rFonts w:cs="Arial"/>
                <w:bCs/>
                <w:sz w:val="18"/>
                <w:szCs w:val="18"/>
                <w:lang w:eastAsia="en-US"/>
              </w:rPr>
              <w:t>Servicio de la Deuda y de Obligaciones sobre Ingresos de Libre Disposición</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4B9731" w14:textId="77777777" w:rsidR="00EA7679" w:rsidRDefault="00EA7679" w:rsidP="00322162">
            <w:pPr>
              <w:tabs>
                <w:tab w:val="left" w:pos="4918"/>
              </w:tabs>
              <w:jc w:val="center"/>
              <w:rPr>
                <w:rFonts w:cs="Arial"/>
                <w:bCs/>
                <w:sz w:val="18"/>
                <w:szCs w:val="18"/>
                <w:lang w:eastAsia="en-US"/>
              </w:rPr>
            </w:pPr>
            <w:r>
              <w:rPr>
                <w:rFonts w:cs="Arial"/>
                <w:bCs/>
                <w:sz w:val="18"/>
                <w:szCs w:val="18"/>
                <w:lang w:eastAsia="en-US"/>
              </w:rPr>
              <w:t>&lt; = 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F406A5" w14:textId="77777777" w:rsidR="00EA7679" w:rsidRDefault="00EA7679" w:rsidP="00322162">
            <w:pPr>
              <w:tabs>
                <w:tab w:val="left" w:pos="4918"/>
              </w:tabs>
              <w:jc w:val="center"/>
              <w:rPr>
                <w:rFonts w:cs="Arial"/>
                <w:bCs/>
                <w:sz w:val="18"/>
                <w:szCs w:val="18"/>
                <w:lang w:eastAsia="en-US"/>
              </w:rPr>
            </w:pPr>
            <w:r>
              <w:rPr>
                <w:rFonts w:cs="Arial"/>
                <w:bCs/>
                <w:sz w:val="18"/>
                <w:szCs w:val="18"/>
                <w:lang w:eastAsia="en-US"/>
              </w:rPr>
              <w:t>&lt; = 15%</w:t>
            </w:r>
          </w:p>
        </w:tc>
        <w:tc>
          <w:tcPr>
            <w:tcW w:w="861" w:type="dxa"/>
            <w:tcBorders>
              <w:top w:val="single" w:sz="4" w:space="0" w:color="auto"/>
              <w:left w:val="single" w:sz="4" w:space="0" w:color="auto"/>
              <w:bottom w:val="single" w:sz="4" w:space="0" w:color="auto"/>
              <w:right w:val="single" w:sz="4" w:space="0" w:color="auto"/>
            </w:tcBorders>
            <w:vAlign w:val="center"/>
            <w:hideMark/>
          </w:tcPr>
          <w:p w14:paraId="60AFCB98" w14:textId="77777777" w:rsidR="00EA7679" w:rsidRDefault="00EA7679" w:rsidP="00322162">
            <w:pPr>
              <w:tabs>
                <w:tab w:val="left" w:pos="4918"/>
              </w:tabs>
              <w:jc w:val="center"/>
              <w:rPr>
                <w:rFonts w:cs="Arial"/>
                <w:bCs/>
                <w:sz w:val="18"/>
                <w:szCs w:val="18"/>
                <w:lang w:eastAsia="en-US"/>
              </w:rPr>
            </w:pPr>
            <w:r>
              <w:rPr>
                <w:rFonts w:cs="Arial"/>
                <w:bCs/>
                <w:sz w:val="18"/>
                <w:szCs w:val="18"/>
                <w:lang w:eastAsia="en-US"/>
              </w:rPr>
              <w:t>&gt;15%</w:t>
            </w:r>
          </w:p>
        </w:tc>
      </w:tr>
      <w:tr w:rsidR="00EA7679" w14:paraId="613C32E6" w14:textId="77777777" w:rsidTr="00322162">
        <w:trPr>
          <w:jc w:val="right"/>
        </w:trPr>
        <w:tc>
          <w:tcPr>
            <w:tcW w:w="5240" w:type="dxa"/>
            <w:tcBorders>
              <w:top w:val="single" w:sz="4" w:space="0" w:color="auto"/>
              <w:left w:val="single" w:sz="4" w:space="0" w:color="auto"/>
              <w:bottom w:val="single" w:sz="4" w:space="0" w:color="auto"/>
              <w:right w:val="single" w:sz="4" w:space="0" w:color="auto"/>
            </w:tcBorders>
            <w:hideMark/>
          </w:tcPr>
          <w:p w14:paraId="6C248A94" w14:textId="77777777" w:rsidR="00EA7679" w:rsidRDefault="00EA7679" w:rsidP="00322162">
            <w:pPr>
              <w:tabs>
                <w:tab w:val="left" w:pos="4918"/>
              </w:tabs>
              <w:rPr>
                <w:rFonts w:cs="Arial"/>
                <w:bCs/>
                <w:sz w:val="18"/>
                <w:szCs w:val="18"/>
                <w:lang w:eastAsia="en-US"/>
              </w:rPr>
            </w:pPr>
            <w:r>
              <w:rPr>
                <w:rFonts w:cs="Arial"/>
                <w:bCs/>
                <w:sz w:val="18"/>
                <w:szCs w:val="18"/>
                <w:lang w:eastAsia="en-US"/>
              </w:rPr>
              <w:t xml:space="preserve">Obligaciones a Corto Plazo y Proveedores y Contratistas, menos los montos de efectivo, bancos e inversiones temporales, sobre Ingresos Totales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E54F11" w14:textId="77777777" w:rsidR="00EA7679" w:rsidRDefault="00EA7679" w:rsidP="00322162">
            <w:pPr>
              <w:tabs>
                <w:tab w:val="left" w:pos="4918"/>
              </w:tabs>
              <w:jc w:val="center"/>
              <w:rPr>
                <w:rFonts w:cs="Arial"/>
                <w:bCs/>
                <w:sz w:val="18"/>
                <w:szCs w:val="18"/>
                <w:lang w:eastAsia="en-US"/>
              </w:rPr>
            </w:pPr>
            <w:r>
              <w:rPr>
                <w:rFonts w:cs="Arial"/>
                <w:bCs/>
                <w:sz w:val="18"/>
                <w:szCs w:val="18"/>
                <w:lang w:eastAsia="en-US"/>
              </w:rPr>
              <w:t>&lt; = 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173065" w14:textId="77777777" w:rsidR="00EA7679" w:rsidRDefault="00EA7679" w:rsidP="00322162">
            <w:pPr>
              <w:tabs>
                <w:tab w:val="left" w:pos="4918"/>
              </w:tabs>
              <w:jc w:val="center"/>
              <w:rPr>
                <w:rFonts w:cs="Arial"/>
                <w:bCs/>
                <w:sz w:val="18"/>
                <w:szCs w:val="18"/>
                <w:lang w:eastAsia="en-US"/>
              </w:rPr>
            </w:pPr>
            <w:r>
              <w:rPr>
                <w:rFonts w:cs="Arial"/>
                <w:bCs/>
                <w:sz w:val="18"/>
                <w:szCs w:val="18"/>
                <w:lang w:eastAsia="en-US"/>
              </w:rPr>
              <w:t>&lt; = 12.5%</w:t>
            </w:r>
          </w:p>
        </w:tc>
        <w:tc>
          <w:tcPr>
            <w:tcW w:w="861" w:type="dxa"/>
            <w:tcBorders>
              <w:top w:val="single" w:sz="4" w:space="0" w:color="auto"/>
              <w:left w:val="single" w:sz="4" w:space="0" w:color="auto"/>
              <w:bottom w:val="single" w:sz="4" w:space="0" w:color="auto"/>
              <w:right w:val="single" w:sz="4" w:space="0" w:color="auto"/>
            </w:tcBorders>
            <w:vAlign w:val="center"/>
            <w:hideMark/>
          </w:tcPr>
          <w:p w14:paraId="7CA857C6" w14:textId="77777777" w:rsidR="00EA7679" w:rsidRDefault="00EA7679" w:rsidP="00322162">
            <w:pPr>
              <w:tabs>
                <w:tab w:val="left" w:pos="4918"/>
              </w:tabs>
              <w:jc w:val="center"/>
              <w:rPr>
                <w:rFonts w:cs="Arial"/>
                <w:bCs/>
                <w:sz w:val="18"/>
                <w:szCs w:val="18"/>
                <w:lang w:eastAsia="en-US"/>
              </w:rPr>
            </w:pPr>
            <w:r>
              <w:rPr>
                <w:rFonts w:cs="Arial"/>
                <w:bCs/>
                <w:sz w:val="18"/>
                <w:szCs w:val="18"/>
                <w:lang w:eastAsia="en-US"/>
              </w:rPr>
              <w:t>&gt;12.5%</w:t>
            </w:r>
          </w:p>
        </w:tc>
      </w:tr>
    </w:tbl>
    <w:p w14:paraId="5D799804" w14:textId="38D81EE1" w:rsidR="00EA7679" w:rsidRDefault="00EA7679" w:rsidP="00EA7679">
      <w:pPr>
        <w:tabs>
          <w:tab w:val="left" w:pos="4918"/>
        </w:tabs>
        <w:rPr>
          <w:rFonts w:cs="Arial"/>
          <w:b/>
          <w:bCs/>
        </w:rPr>
      </w:pPr>
    </w:p>
    <w:p w14:paraId="562563A5" w14:textId="77777777" w:rsidR="00702C1C" w:rsidRDefault="00702C1C" w:rsidP="00EA7679">
      <w:pPr>
        <w:tabs>
          <w:tab w:val="left" w:pos="4918"/>
        </w:tabs>
        <w:rPr>
          <w:rFonts w:cs="Arial"/>
          <w:b/>
          <w:bCs/>
        </w:rPr>
      </w:pPr>
    </w:p>
    <w:p w14:paraId="1CC9B1F7" w14:textId="63512F08" w:rsidR="00EA7679" w:rsidRDefault="00EA7679" w:rsidP="00EA7679">
      <w:pPr>
        <w:tabs>
          <w:tab w:val="left" w:pos="4918"/>
        </w:tabs>
        <w:rPr>
          <w:rFonts w:cs="Arial"/>
        </w:rPr>
      </w:pPr>
      <w:r>
        <w:rPr>
          <w:rFonts w:cs="Arial"/>
        </w:rPr>
        <w:lastRenderedPageBreak/>
        <w:t xml:space="preserve">De acuerdo con la Secretaría de Hacienda y Crédito Público, en el sitio “Sistema de Alertas”, con información de la Cuenta Pública del ejercicio fiscal 2023, </w:t>
      </w:r>
      <w:r w:rsidR="00F8110A">
        <w:rPr>
          <w:rFonts w:cs="Arial"/>
        </w:rPr>
        <w:t>en el reporte d</w:t>
      </w:r>
      <w:r>
        <w:rPr>
          <w:rFonts w:cs="Arial"/>
        </w:rPr>
        <w:t>el 28 de junio de 2024; los resultados obtenidos</w:t>
      </w:r>
      <w:r w:rsidR="00F8110A">
        <w:rPr>
          <w:rFonts w:cs="Arial"/>
        </w:rPr>
        <w:t xml:space="preserve"> para el Estado de Colima</w:t>
      </w:r>
      <w:r>
        <w:rPr>
          <w:rFonts w:cs="Arial"/>
        </w:rPr>
        <w:t xml:space="preserve"> son:</w:t>
      </w:r>
    </w:p>
    <w:p w14:paraId="00BD026A" w14:textId="77777777" w:rsidR="00EA7679" w:rsidRDefault="00EA7679" w:rsidP="00EA7679">
      <w:pPr>
        <w:tabs>
          <w:tab w:val="left" w:pos="4918"/>
        </w:tabs>
        <w:rPr>
          <w:rFonts w:cs="Arial"/>
        </w:rPr>
      </w:pPr>
    </w:p>
    <w:p w14:paraId="27819D5F" w14:textId="77F5F535" w:rsidR="00EA7679" w:rsidRDefault="00EA7679" w:rsidP="00EA7679">
      <w:pPr>
        <w:tabs>
          <w:tab w:val="left" w:pos="4918"/>
        </w:tabs>
        <w:rPr>
          <w:rFonts w:cs="Arial"/>
        </w:rPr>
      </w:pPr>
      <w:r w:rsidRPr="004B696F">
        <w:rPr>
          <w:rFonts w:cs="Arial"/>
          <w:i/>
          <w:iCs/>
        </w:rPr>
        <w:t>Indicador 1: Deuda Pública y Obligaciones Sobre Ingresos de Libre Disposición</w:t>
      </w:r>
      <w:r>
        <w:rPr>
          <w:rFonts w:cs="Arial"/>
          <w:i/>
          <w:iCs/>
        </w:rPr>
        <w:t>.</w:t>
      </w:r>
      <w:r w:rsidR="00F8110A">
        <w:rPr>
          <w:rFonts w:cs="Arial"/>
          <w:i/>
          <w:iCs/>
        </w:rPr>
        <w:t xml:space="preserve"> </w:t>
      </w:r>
      <w:r>
        <w:rPr>
          <w:rFonts w:cs="Arial"/>
        </w:rPr>
        <w:t xml:space="preserve">El indicador 1 presenta un resultado de 60.8 por ciento, tomando en cuenta los rangos establecidos para el indicador 1 anteriormente vistos en este apartado, nuestro estado se encuentra en el </w:t>
      </w:r>
      <w:r w:rsidRPr="003A7505">
        <w:rPr>
          <w:rFonts w:cs="Arial"/>
          <w:b/>
          <w:bCs/>
        </w:rPr>
        <w:t xml:space="preserve">rango </w:t>
      </w:r>
      <w:r>
        <w:rPr>
          <w:rFonts w:cs="Arial"/>
          <w:b/>
          <w:bCs/>
        </w:rPr>
        <w:t>bajo</w:t>
      </w:r>
      <w:r>
        <w:rPr>
          <w:rFonts w:cs="Arial"/>
        </w:rPr>
        <w:t xml:space="preserve">, correspondiente al </w:t>
      </w:r>
      <w:r w:rsidRPr="003A7505">
        <w:rPr>
          <w:rFonts w:cs="Arial"/>
          <w:b/>
          <w:bCs/>
        </w:rPr>
        <w:t>color verde</w:t>
      </w:r>
      <w:r>
        <w:rPr>
          <w:rFonts w:cs="Arial"/>
        </w:rPr>
        <w:t>. Lo anterior quiere decir que por cada peso de Ingreso de Libre Disposición que tiene el Gobierno de Colima, 0.608 pesos están comprometidos para el pago y cumplimiento de los créditos contratados, emisiones bursátiles, deudas respaldadas por éste ente público a través de una fuente de pago propia, Obligaciones derivadas de Asociaciones Público-Privadas así como cualquier otra obligación que implique pagos financieros programados; por lo tanto, la gestión financiera de la administración estatal es sostenible en materia de deuda</w:t>
      </w:r>
      <w:r w:rsidR="00C5752D">
        <w:rPr>
          <w:rFonts w:cs="Arial"/>
        </w:rPr>
        <w:t>.</w:t>
      </w:r>
      <w:r>
        <w:rPr>
          <w:rFonts w:cs="Arial"/>
        </w:rPr>
        <w:t xml:space="preserve"> </w:t>
      </w:r>
    </w:p>
    <w:p w14:paraId="327F0D25" w14:textId="77777777" w:rsidR="00EA7679" w:rsidRDefault="00EA7679" w:rsidP="00EA7679">
      <w:pPr>
        <w:tabs>
          <w:tab w:val="left" w:pos="4918"/>
        </w:tabs>
        <w:rPr>
          <w:rFonts w:cs="Arial"/>
        </w:rPr>
      </w:pPr>
      <w:r>
        <w:rPr>
          <w:rFonts w:cs="Arial"/>
        </w:rPr>
        <w:tab/>
        <w:t xml:space="preserve"> </w:t>
      </w:r>
    </w:p>
    <w:p w14:paraId="682C910F" w14:textId="22CE3D30" w:rsidR="00EA7679" w:rsidRDefault="00EA7679" w:rsidP="00EA7679">
      <w:pPr>
        <w:tabs>
          <w:tab w:val="left" w:pos="4918"/>
        </w:tabs>
        <w:rPr>
          <w:rFonts w:cs="Arial"/>
        </w:rPr>
      </w:pPr>
      <w:r w:rsidRPr="00F6653E">
        <w:rPr>
          <w:rFonts w:cs="Arial"/>
          <w:i/>
          <w:iCs/>
        </w:rPr>
        <w:t>Indicador 2: Servicios de la Deuda y Obligaciones sobre los Ingresos de Libre Disposición.</w:t>
      </w:r>
      <w:r w:rsidR="00F8110A">
        <w:rPr>
          <w:rFonts w:cs="Arial"/>
          <w:i/>
          <w:iCs/>
        </w:rPr>
        <w:t xml:space="preserve"> </w:t>
      </w:r>
      <w:r>
        <w:rPr>
          <w:rFonts w:cs="Arial"/>
        </w:rPr>
        <w:t xml:space="preserve">Se tiene un resultado de 9.5 por ciento, lo que nos coloca en el </w:t>
      </w:r>
      <w:r w:rsidRPr="003A7505">
        <w:rPr>
          <w:rFonts w:cs="Arial"/>
          <w:b/>
          <w:bCs/>
        </w:rPr>
        <w:t>rango medio</w:t>
      </w:r>
      <w:r>
        <w:rPr>
          <w:rFonts w:cs="Arial"/>
        </w:rPr>
        <w:t xml:space="preserve"> correspondiente al </w:t>
      </w:r>
      <w:r w:rsidRPr="003A7505">
        <w:rPr>
          <w:rFonts w:cs="Arial"/>
          <w:b/>
          <w:bCs/>
        </w:rPr>
        <w:t>color amarillo</w:t>
      </w:r>
      <w:r>
        <w:rPr>
          <w:rFonts w:cs="Arial"/>
        </w:rPr>
        <w:t xml:space="preserve"> en este rubro. Estos resultados reflejan que por cada peso de Ingreso de Libre Disposición que tiene nuestro Gobierno, 0.095 pesos deberán ser destinado para las </w:t>
      </w:r>
      <w:r w:rsidRPr="00140DAE">
        <w:rPr>
          <w:rFonts w:cs="Arial"/>
        </w:rPr>
        <w:t xml:space="preserve">amortizaciones, intereses, comisiones y demás costos financieros </w:t>
      </w:r>
      <w:r>
        <w:rPr>
          <w:rFonts w:cs="Arial"/>
        </w:rPr>
        <w:t xml:space="preserve">derivados </w:t>
      </w:r>
      <w:r w:rsidRPr="00AE40C2">
        <w:rPr>
          <w:rFonts w:cs="Arial"/>
        </w:rPr>
        <w:t>de Financiamientos y Obligaciones incluidos en el indicador</w:t>
      </w:r>
      <w:r>
        <w:rPr>
          <w:rFonts w:cs="Arial"/>
        </w:rPr>
        <w:t xml:space="preserve"> anterior (a excepción de </w:t>
      </w:r>
      <w:r w:rsidRPr="00AE40C2">
        <w:rPr>
          <w:rFonts w:cs="Arial"/>
        </w:rPr>
        <w:t>aquellas amortizaciones de</w:t>
      </w:r>
      <w:r>
        <w:rPr>
          <w:rFonts w:cs="Arial"/>
        </w:rPr>
        <w:t xml:space="preserve"> </w:t>
      </w:r>
      <w:r w:rsidRPr="00AE40C2">
        <w:rPr>
          <w:rFonts w:cs="Arial"/>
        </w:rPr>
        <w:t>refinanciamientos, las realizadas de manera</w:t>
      </w:r>
      <w:r>
        <w:rPr>
          <w:rFonts w:cs="Arial"/>
        </w:rPr>
        <w:t xml:space="preserve"> </w:t>
      </w:r>
      <w:r w:rsidRPr="00AE40C2">
        <w:rPr>
          <w:rFonts w:cs="Arial"/>
        </w:rPr>
        <w:t>anticipada y de Obligaciones a Corto Plazo</w:t>
      </w:r>
      <w:r>
        <w:rPr>
          <w:rFonts w:cs="Arial"/>
        </w:rPr>
        <w:t xml:space="preserve">), por lo que la capacidad de pago es aceptable. </w:t>
      </w:r>
    </w:p>
    <w:p w14:paraId="10C5D281" w14:textId="77777777" w:rsidR="00EA7679" w:rsidRDefault="00EA7679" w:rsidP="00EA7679">
      <w:pPr>
        <w:tabs>
          <w:tab w:val="left" w:pos="4918"/>
        </w:tabs>
        <w:rPr>
          <w:rFonts w:cs="Arial"/>
        </w:rPr>
      </w:pPr>
    </w:p>
    <w:p w14:paraId="4B7B7943" w14:textId="1D2975B2" w:rsidR="00EA7679" w:rsidRDefault="00EA7679" w:rsidP="00EA7679">
      <w:pPr>
        <w:tabs>
          <w:tab w:val="left" w:pos="4918"/>
        </w:tabs>
        <w:rPr>
          <w:rFonts w:cs="Arial"/>
        </w:rPr>
      </w:pPr>
      <w:r w:rsidRPr="003A7505">
        <w:rPr>
          <w:rFonts w:cs="Arial"/>
          <w:i/>
          <w:iCs/>
        </w:rPr>
        <w:t xml:space="preserve">Indicador 3: Obligaciones a Corto Plazo y Proveedores y Contratistas, menos los montos de efectivo, bancos e inversiones temporales, sobre Ingresos Totales. </w:t>
      </w:r>
      <w:r>
        <w:rPr>
          <w:rFonts w:cs="Arial"/>
        </w:rPr>
        <w:t xml:space="preserve">Se presenta un resultado del 3 por ciento, por lo que tomando en cuenta los rangos establecidos para este indicador, nuestro estado se encuentra en el </w:t>
      </w:r>
      <w:r w:rsidRPr="003A7505">
        <w:rPr>
          <w:rFonts w:cs="Arial"/>
          <w:b/>
          <w:bCs/>
        </w:rPr>
        <w:t xml:space="preserve">rango </w:t>
      </w:r>
      <w:r>
        <w:rPr>
          <w:rFonts w:cs="Arial"/>
          <w:b/>
          <w:bCs/>
        </w:rPr>
        <w:t>bajo</w:t>
      </w:r>
      <w:r>
        <w:rPr>
          <w:rFonts w:cs="Arial"/>
        </w:rPr>
        <w:t xml:space="preserve">, correspondiente al </w:t>
      </w:r>
      <w:r w:rsidRPr="003A7505">
        <w:rPr>
          <w:rFonts w:cs="Arial"/>
          <w:b/>
          <w:bCs/>
        </w:rPr>
        <w:t>color verde</w:t>
      </w:r>
      <w:r>
        <w:rPr>
          <w:rFonts w:cs="Arial"/>
        </w:rPr>
        <w:t>.  Lo anterior quiere decir que de cada peso de los Ingreso totales que tiene el Gobierno de Colima, tan solo 0.03 pesos están comprometidos para él cumplimiento de sus obligaciones en el corto plazo incluyendo a los contraídos con los proveedores y contratistas</w:t>
      </w:r>
      <w:r w:rsidR="00C5752D">
        <w:rPr>
          <w:rFonts w:cs="Arial"/>
        </w:rPr>
        <w:t>.</w:t>
      </w:r>
      <w:r>
        <w:rPr>
          <w:rFonts w:cs="Arial"/>
        </w:rPr>
        <w:t xml:space="preserve"> </w:t>
      </w:r>
    </w:p>
    <w:p w14:paraId="5AE7DEB9" w14:textId="77777777" w:rsidR="00EA7679" w:rsidRPr="003A7505" w:rsidRDefault="00EA7679" w:rsidP="00EA7679">
      <w:pPr>
        <w:tabs>
          <w:tab w:val="left" w:pos="4918"/>
        </w:tabs>
        <w:rPr>
          <w:rFonts w:cs="Arial"/>
        </w:rPr>
      </w:pPr>
    </w:p>
    <w:p w14:paraId="0C5841D1" w14:textId="588B8FAB" w:rsidR="00EA7679" w:rsidRDefault="00EA7679" w:rsidP="00EA7679">
      <w:pPr>
        <w:rPr>
          <w:rFonts w:cs="Arial"/>
          <w:bCs/>
        </w:rPr>
      </w:pPr>
      <w:r>
        <w:rPr>
          <w:rFonts w:cs="Arial"/>
          <w:bCs/>
        </w:rPr>
        <w:t xml:space="preserve">En conclusión, se determina un nivel </w:t>
      </w:r>
      <w:r>
        <w:rPr>
          <w:rFonts w:cs="Arial"/>
          <w:b/>
        </w:rPr>
        <w:t>Endeudamiento Sostenible</w:t>
      </w:r>
      <w:r>
        <w:rPr>
          <w:rFonts w:cs="Arial"/>
          <w:bCs/>
        </w:rPr>
        <w:t xml:space="preserve">. Esto implica que, de conformidad con lo dispuesto en el artículo 46, fracción II, de la Ley de Disciplina Financiera de las Entidades Federativas y los Municipios, el Techo de Financiamiento Neto es el equivalente al </w:t>
      </w:r>
      <w:r w:rsidRPr="003039C1">
        <w:rPr>
          <w:rFonts w:cs="Arial"/>
          <w:b/>
        </w:rPr>
        <w:t>15 por ciento de los Ingresos de Libre Disposición</w:t>
      </w:r>
      <w:r>
        <w:rPr>
          <w:rFonts w:cs="Arial"/>
          <w:bCs/>
        </w:rPr>
        <w:t>.</w:t>
      </w:r>
    </w:p>
    <w:p w14:paraId="7D1371E7" w14:textId="736C9CD6" w:rsidR="00EA7679" w:rsidRDefault="00EA7679" w:rsidP="00EA7679">
      <w:pPr>
        <w:rPr>
          <w:rFonts w:cs="Arial"/>
          <w:bCs/>
        </w:rPr>
      </w:pPr>
    </w:p>
    <w:p w14:paraId="28C9AD2A" w14:textId="5C04DBA1" w:rsidR="00702C1C" w:rsidRDefault="00702C1C" w:rsidP="00EA7679">
      <w:pPr>
        <w:rPr>
          <w:rFonts w:cs="Arial"/>
          <w:bCs/>
        </w:rPr>
      </w:pPr>
    </w:p>
    <w:p w14:paraId="416A923E" w14:textId="30793DCD" w:rsidR="00702C1C" w:rsidRDefault="00702C1C" w:rsidP="00EA7679">
      <w:pPr>
        <w:rPr>
          <w:rFonts w:cs="Arial"/>
          <w:bCs/>
        </w:rPr>
      </w:pPr>
    </w:p>
    <w:p w14:paraId="36449CD1" w14:textId="0140D260" w:rsidR="00702C1C" w:rsidRDefault="00702C1C" w:rsidP="00EA7679">
      <w:pPr>
        <w:rPr>
          <w:rFonts w:cs="Arial"/>
          <w:bCs/>
        </w:rPr>
      </w:pPr>
    </w:p>
    <w:p w14:paraId="2ED35530" w14:textId="77777777" w:rsidR="00702C1C" w:rsidRDefault="00702C1C" w:rsidP="00EA7679">
      <w:pPr>
        <w:rPr>
          <w:rFonts w:cs="Arial"/>
          <w:bCs/>
        </w:rPr>
      </w:pPr>
    </w:p>
    <w:p w14:paraId="24A4FF33" w14:textId="77777777" w:rsidR="00F40C0F" w:rsidRPr="00516AFF" w:rsidRDefault="00D604A9" w:rsidP="00A65C89">
      <w:pPr>
        <w:pStyle w:val="Ttulo2"/>
        <w:rPr>
          <w:rFonts w:cs="Arial"/>
        </w:rPr>
      </w:pPr>
      <w:r w:rsidRPr="00516AFF">
        <w:rPr>
          <w:rFonts w:cs="Arial"/>
        </w:rPr>
        <w:lastRenderedPageBreak/>
        <w:t>2.</w:t>
      </w:r>
      <w:r w:rsidR="00F40C0F" w:rsidRPr="00516AFF">
        <w:rPr>
          <w:rFonts w:cs="Arial"/>
        </w:rPr>
        <w:t>IX. Balance Presupuestario</w:t>
      </w:r>
    </w:p>
    <w:p w14:paraId="68DF0D82" w14:textId="77777777" w:rsidR="00A77C2D" w:rsidRPr="00516AFF" w:rsidRDefault="00A77C2D" w:rsidP="00A3747F">
      <w:pPr>
        <w:autoSpaceDE w:val="0"/>
        <w:autoSpaceDN w:val="0"/>
        <w:adjustRightInd w:val="0"/>
        <w:rPr>
          <w:rFonts w:cs="Arial"/>
          <w:bCs/>
        </w:rPr>
      </w:pPr>
    </w:p>
    <w:p w14:paraId="50162717" w14:textId="77777777" w:rsidR="00F40C0F" w:rsidRPr="00516AFF" w:rsidRDefault="00F40C0F" w:rsidP="00A3747F">
      <w:pPr>
        <w:autoSpaceDE w:val="0"/>
        <w:autoSpaceDN w:val="0"/>
        <w:adjustRightInd w:val="0"/>
        <w:rPr>
          <w:rFonts w:cs="Arial"/>
          <w:bCs/>
        </w:rPr>
      </w:pPr>
      <w:r w:rsidRPr="00516AFF">
        <w:rPr>
          <w:rFonts w:cs="Arial"/>
          <w:bCs/>
        </w:rPr>
        <w:t>De acuerdo al artículo 2 fracción II y III, de la Ley de Disciplina Financiera de Entidades Federativas y los Municipios, el Balance Presupuestario y al Balance Presupuestario de Recursos Disponibles se define de la siguiente manera:</w:t>
      </w:r>
    </w:p>
    <w:p w14:paraId="33154CB4" w14:textId="77777777" w:rsidR="00F40C0F" w:rsidRPr="00EC341D" w:rsidRDefault="001539DC" w:rsidP="00A3747F">
      <w:pPr>
        <w:autoSpaceDE w:val="0"/>
        <w:autoSpaceDN w:val="0"/>
        <w:adjustRightInd w:val="0"/>
        <w:ind w:left="284" w:hanging="284"/>
        <w:rPr>
          <w:rFonts w:cs="Arial"/>
          <w:bCs/>
          <w:iCs/>
        </w:rPr>
      </w:pPr>
      <w:r w:rsidRPr="00516AFF">
        <w:rPr>
          <w:rFonts w:cs="Arial"/>
          <w:bCs/>
          <w:i/>
        </w:rPr>
        <w:t>“</w:t>
      </w:r>
      <w:r w:rsidR="00F40C0F" w:rsidRPr="00EC341D">
        <w:rPr>
          <w:rFonts w:cs="Arial"/>
          <w:bCs/>
          <w:iCs/>
        </w:rPr>
        <w:t>II</w:t>
      </w:r>
      <w:r w:rsidR="00F40C0F" w:rsidRPr="00516AFF">
        <w:rPr>
          <w:rFonts w:cs="Arial"/>
          <w:bCs/>
          <w:i/>
        </w:rPr>
        <w:t xml:space="preserve">. </w:t>
      </w:r>
      <w:r w:rsidR="00F40C0F" w:rsidRPr="00EC341D">
        <w:rPr>
          <w:rFonts w:cs="Arial"/>
          <w:bCs/>
          <w:iCs/>
        </w:rPr>
        <w:t>Balance presupuestario: la diferencia entre los Ingresos totales incluidos en la Ley de Ingresos, y los Gastos totales considerados en el Presupuesto de Egresos, con excepción de la amortización de la deuda;</w:t>
      </w:r>
    </w:p>
    <w:p w14:paraId="6A7A7EB1" w14:textId="77777777" w:rsidR="00F40C0F" w:rsidRPr="00EC341D" w:rsidRDefault="00F40C0F" w:rsidP="00A3747F">
      <w:pPr>
        <w:autoSpaceDE w:val="0"/>
        <w:autoSpaceDN w:val="0"/>
        <w:adjustRightInd w:val="0"/>
        <w:ind w:left="284" w:hanging="284"/>
        <w:rPr>
          <w:rFonts w:cs="Arial"/>
          <w:bCs/>
          <w:iCs/>
        </w:rPr>
      </w:pPr>
      <w:r w:rsidRPr="00EC341D">
        <w:rPr>
          <w:rFonts w:cs="Arial"/>
          <w:bCs/>
          <w:iCs/>
        </w:rPr>
        <w:t>III. Balance presupuestario de recursos disponibles: la diferencia entre los Ingresos de libre disposición, incluidos en la Ley de Ingresos, más el Financiamiento Neto y los Gastos no etiquetados considerados en el</w:t>
      </w:r>
      <w:r w:rsidR="001539DC" w:rsidRPr="00EC341D">
        <w:rPr>
          <w:rFonts w:cs="Arial"/>
          <w:bCs/>
          <w:iCs/>
        </w:rPr>
        <w:t xml:space="preserve"> </w:t>
      </w:r>
      <w:r w:rsidRPr="00EC341D">
        <w:rPr>
          <w:rFonts w:cs="Arial"/>
          <w:bCs/>
          <w:iCs/>
        </w:rPr>
        <w:t>Presupuesto de Egresos, con excepción de la amortización de la deuda…”</w:t>
      </w:r>
    </w:p>
    <w:p w14:paraId="785B2B62" w14:textId="77777777" w:rsidR="00F40C0F" w:rsidRPr="00516AFF" w:rsidRDefault="00F40C0F" w:rsidP="00A3747F">
      <w:pPr>
        <w:autoSpaceDE w:val="0"/>
        <w:autoSpaceDN w:val="0"/>
        <w:adjustRightInd w:val="0"/>
        <w:rPr>
          <w:rFonts w:cs="Arial"/>
          <w:bCs/>
        </w:rPr>
      </w:pPr>
    </w:p>
    <w:p w14:paraId="5C9C3BB2" w14:textId="77777777" w:rsidR="00F40C0F" w:rsidRPr="00516AFF" w:rsidRDefault="00F40C0F" w:rsidP="00A3747F">
      <w:pPr>
        <w:autoSpaceDE w:val="0"/>
        <w:autoSpaceDN w:val="0"/>
        <w:adjustRightInd w:val="0"/>
        <w:rPr>
          <w:rFonts w:cs="Arial"/>
          <w:bCs/>
        </w:rPr>
      </w:pPr>
      <w:r w:rsidRPr="00516AFF">
        <w:rPr>
          <w:rFonts w:cs="Arial"/>
          <w:bCs/>
        </w:rPr>
        <w:t>No atender debidamente a lo que está ocurriendo en el escenario económico puede afectar la estabilidad fiscal en la forma de desbalances entre ingresos y gastos; y cuando estos desbalances son significativos y frecuentes en el tiempo se crea un ambiente de indisciplina fiscal.</w:t>
      </w:r>
    </w:p>
    <w:p w14:paraId="70AB077C" w14:textId="77777777" w:rsidR="00F40C0F" w:rsidRPr="00516AFF" w:rsidRDefault="00F40C0F" w:rsidP="00A3747F">
      <w:pPr>
        <w:autoSpaceDE w:val="0"/>
        <w:autoSpaceDN w:val="0"/>
        <w:adjustRightInd w:val="0"/>
        <w:rPr>
          <w:rFonts w:cs="Arial"/>
          <w:bCs/>
        </w:rPr>
      </w:pPr>
    </w:p>
    <w:p w14:paraId="6C4B087F" w14:textId="51ED9A28" w:rsidR="00F40C0F" w:rsidRPr="00516AFF" w:rsidRDefault="00F40C0F" w:rsidP="00A3747F">
      <w:pPr>
        <w:rPr>
          <w:rFonts w:cs="Arial"/>
          <w:bCs/>
        </w:rPr>
      </w:pPr>
      <w:r w:rsidRPr="00516AFF">
        <w:rPr>
          <w:rFonts w:cs="Arial"/>
          <w:bCs/>
        </w:rPr>
        <w:t xml:space="preserve">En función de lo previsto en los Criterios para la elaboración y presentación homogénea de la información financiera y de los formatos a que hace referencia la Ley de Disciplina Financiera de las Entidades Federativas y los Municipios, emitidos por el CONAC; el formato 4 Balance Presupuestario–LDF se presentará en el </w:t>
      </w:r>
      <w:r w:rsidR="008A62A2" w:rsidRPr="00516AFF">
        <w:rPr>
          <w:rFonts w:cs="Arial"/>
          <w:bCs/>
        </w:rPr>
        <w:t xml:space="preserve">ejercicio fiscal </w:t>
      </w:r>
      <w:r w:rsidR="00610D9F" w:rsidRPr="00516AFF">
        <w:rPr>
          <w:rFonts w:cs="Arial"/>
          <w:bCs/>
        </w:rPr>
        <w:t>202</w:t>
      </w:r>
      <w:r w:rsidR="0046027E">
        <w:rPr>
          <w:rFonts w:cs="Arial"/>
          <w:bCs/>
        </w:rPr>
        <w:t>5</w:t>
      </w:r>
      <w:r w:rsidRPr="00516AFF">
        <w:rPr>
          <w:rFonts w:cs="Arial"/>
          <w:bCs/>
        </w:rPr>
        <w:t xml:space="preserve"> de forma trimestral, acumulando cada periodo del mismo, con la desagregación de la información financiera ocurrida entre el inicio y el final del periodo, así como de manera anual en la Cuenta Pública.</w:t>
      </w:r>
    </w:p>
    <w:p w14:paraId="1591D212" w14:textId="77777777" w:rsidR="001539DC" w:rsidRPr="00516AFF" w:rsidRDefault="001539DC" w:rsidP="00A3747F">
      <w:pPr>
        <w:rPr>
          <w:rFonts w:cs="Arial"/>
          <w:bCs/>
        </w:rPr>
      </w:pPr>
    </w:p>
    <w:p w14:paraId="1634BF9A" w14:textId="5DB81668" w:rsidR="00F40C0F" w:rsidRDefault="00F40C0F" w:rsidP="00A3747F">
      <w:pPr>
        <w:rPr>
          <w:rFonts w:cs="Arial"/>
          <w:bCs/>
        </w:rPr>
      </w:pPr>
      <w:r w:rsidRPr="00516AFF">
        <w:rPr>
          <w:rFonts w:cs="Arial"/>
          <w:bCs/>
        </w:rPr>
        <w:t xml:space="preserve">De esta manera, para el </w:t>
      </w:r>
      <w:r w:rsidR="008A62A2" w:rsidRPr="00516AFF">
        <w:rPr>
          <w:rFonts w:cs="Arial"/>
          <w:bCs/>
        </w:rPr>
        <w:t xml:space="preserve">ejercicio fiscal </w:t>
      </w:r>
      <w:r w:rsidR="00610D9F" w:rsidRPr="00516AFF">
        <w:rPr>
          <w:rFonts w:cs="Arial"/>
          <w:bCs/>
        </w:rPr>
        <w:t>202</w:t>
      </w:r>
      <w:r w:rsidR="000F1B6B">
        <w:rPr>
          <w:rFonts w:cs="Arial"/>
          <w:bCs/>
        </w:rPr>
        <w:t>5</w:t>
      </w:r>
      <w:r w:rsidRPr="00516AFF">
        <w:rPr>
          <w:rFonts w:cs="Arial"/>
          <w:bCs/>
        </w:rPr>
        <w:t xml:space="preserve">, se prevé un balance presupuestario sostenible, toda vez que los ingresos totales contenidos en la Iniciativa de Ley con Proyecto de Decreto por la que se expide la Ley Ingresos del Estado de Colima para el </w:t>
      </w:r>
      <w:r w:rsidR="004503F5" w:rsidRPr="00516AFF">
        <w:rPr>
          <w:rFonts w:cs="Arial"/>
          <w:bCs/>
        </w:rPr>
        <w:t>Ejercicio Fiscal</w:t>
      </w:r>
      <w:r w:rsidRPr="00516AFF">
        <w:rPr>
          <w:rFonts w:cs="Arial"/>
          <w:bCs/>
        </w:rPr>
        <w:t xml:space="preserve"> </w:t>
      </w:r>
      <w:r w:rsidR="00610D9F" w:rsidRPr="00516AFF">
        <w:rPr>
          <w:rFonts w:cs="Arial"/>
          <w:bCs/>
        </w:rPr>
        <w:t>202</w:t>
      </w:r>
      <w:r w:rsidR="000F1B6B">
        <w:rPr>
          <w:rFonts w:cs="Arial"/>
          <w:bCs/>
        </w:rPr>
        <w:t>5</w:t>
      </w:r>
      <w:r w:rsidRPr="00516AFF">
        <w:rPr>
          <w:rFonts w:cs="Arial"/>
          <w:bCs/>
        </w:rPr>
        <w:t xml:space="preserve"> igualan a la totalidad de Gastos que se consideran en la presente Iniciativa con Proyecto de Decreto por </w:t>
      </w:r>
      <w:r w:rsidR="008A62A2">
        <w:rPr>
          <w:rFonts w:cs="Arial"/>
          <w:bCs/>
        </w:rPr>
        <w:t>el</w:t>
      </w:r>
      <w:r w:rsidRPr="00516AFF">
        <w:rPr>
          <w:rFonts w:cs="Arial"/>
          <w:bCs/>
        </w:rPr>
        <w:t xml:space="preserve"> que se </w:t>
      </w:r>
      <w:r w:rsidR="008A62A2" w:rsidRPr="00516AFF">
        <w:rPr>
          <w:rFonts w:cs="Arial"/>
          <w:bCs/>
        </w:rPr>
        <w:t xml:space="preserve">expide </w:t>
      </w:r>
      <w:r w:rsidRPr="00516AFF">
        <w:rPr>
          <w:rFonts w:cs="Arial"/>
          <w:bCs/>
        </w:rPr>
        <w:t xml:space="preserve">el Presupuesto de Egresos del Estado de Colima para el </w:t>
      </w:r>
      <w:r w:rsidR="004503F5" w:rsidRPr="00516AFF">
        <w:rPr>
          <w:rFonts w:cs="Arial"/>
          <w:bCs/>
        </w:rPr>
        <w:t>Ejercicio Fiscal</w:t>
      </w:r>
      <w:r w:rsidRPr="00516AFF">
        <w:rPr>
          <w:rFonts w:cs="Arial"/>
          <w:bCs/>
        </w:rPr>
        <w:t xml:space="preserve"> </w:t>
      </w:r>
      <w:r w:rsidR="00610D9F" w:rsidRPr="00516AFF">
        <w:rPr>
          <w:rFonts w:cs="Arial"/>
          <w:bCs/>
        </w:rPr>
        <w:t>202</w:t>
      </w:r>
      <w:r w:rsidR="000F1B6B">
        <w:rPr>
          <w:rFonts w:cs="Arial"/>
          <w:bCs/>
        </w:rPr>
        <w:t>5</w:t>
      </w:r>
      <w:r w:rsidRPr="00516AFF">
        <w:rPr>
          <w:rFonts w:cs="Arial"/>
          <w:bCs/>
        </w:rPr>
        <w:t>, como se muestra a continuación:</w:t>
      </w:r>
    </w:p>
    <w:p w14:paraId="7A408E96" w14:textId="77777777" w:rsidR="00382F53" w:rsidRDefault="00382F53" w:rsidP="00A3747F">
      <w:pPr>
        <w:rPr>
          <w:rFonts w:cs="Arial"/>
          <w:bCs/>
        </w:rPr>
      </w:pPr>
    </w:p>
    <w:tbl>
      <w:tblPr>
        <w:tblW w:w="5000" w:type="pct"/>
        <w:tblCellMar>
          <w:left w:w="70" w:type="dxa"/>
          <w:right w:w="70" w:type="dxa"/>
        </w:tblCellMar>
        <w:tblLook w:val="04A0" w:firstRow="1" w:lastRow="0" w:firstColumn="1" w:lastColumn="0" w:noHBand="0" w:noVBand="1"/>
      </w:tblPr>
      <w:tblGrid>
        <w:gridCol w:w="181"/>
        <w:gridCol w:w="6915"/>
        <w:gridCol w:w="1587"/>
        <w:gridCol w:w="145"/>
      </w:tblGrid>
      <w:tr w:rsidR="000A4E2D" w:rsidRPr="000A4E2D" w14:paraId="5B3FF489" w14:textId="77777777" w:rsidTr="00382F53">
        <w:trPr>
          <w:gridAfter w:val="1"/>
          <w:wAfter w:w="82" w:type="pct"/>
          <w:trHeight w:val="20"/>
          <w:tblHeader/>
        </w:trPr>
        <w:tc>
          <w:tcPr>
            <w:tcW w:w="4918" w:type="pct"/>
            <w:gridSpan w:val="3"/>
            <w:tcBorders>
              <w:top w:val="single" w:sz="4" w:space="0" w:color="auto"/>
              <w:left w:val="single" w:sz="4" w:space="0" w:color="auto"/>
              <w:right w:val="single" w:sz="4" w:space="0" w:color="auto"/>
            </w:tcBorders>
            <w:shd w:val="clear" w:color="000000" w:fill="DBDBDB"/>
            <w:vAlign w:val="center"/>
            <w:hideMark/>
          </w:tcPr>
          <w:p w14:paraId="4370D8F5" w14:textId="77777777" w:rsidR="000A4E2D" w:rsidRPr="000A4E2D" w:rsidRDefault="000A4E2D" w:rsidP="00382F53">
            <w:pPr>
              <w:jc w:val="center"/>
              <w:rPr>
                <w:rFonts w:eastAsia="Times New Roman" w:cs="Arial"/>
                <w:b/>
                <w:bCs/>
                <w:color w:val="000000"/>
                <w:sz w:val="18"/>
                <w:szCs w:val="18"/>
              </w:rPr>
            </w:pPr>
            <w:bookmarkStart w:id="4" w:name="RANGE!C2:E55"/>
            <w:r w:rsidRPr="000A4E2D">
              <w:rPr>
                <w:rFonts w:eastAsia="Times New Roman" w:cs="Arial"/>
                <w:b/>
                <w:bCs/>
                <w:color w:val="000000"/>
                <w:sz w:val="18"/>
                <w:szCs w:val="18"/>
              </w:rPr>
              <w:t>Gobierno del Estado de Colima</w:t>
            </w:r>
            <w:bookmarkEnd w:id="4"/>
          </w:p>
        </w:tc>
      </w:tr>
      <w:tr w:rsidR="000A4E2D" w:rsidRPr="000A4E2D" w14:paraId="5640DE19" w14:textId="77777777" w:rsidTr="00382F53">
        <w:trPr>
          <w:gridAfter w:val="1"/>
          <w:wAfter w:w="82" w:type="pct"/>
          <w:trHeight w:val="20"/>
          <w:tblHeader/>
        </w:trPr>
        <w:tc>
          <w:tcPr>
            <w:tcW w:w="4918" w:type="pct"/>
            <w:gridSpan w:val="3"/>
            <w:tcBorders>
              <w:left w:val="single" w:sz="4" w:space="0" w:color="auto"/>
              <w:right w:val="single" w:sz="4" w:space="0" w:color="auto"/>
            </w:tcBorders>
            <w:shd w:val="clear" w:color="000000" w:fill="DBDBDB"/>
            <w:vAlign w:val="center"/>
            <w:hideMark/>
          </w:tcPr>
          <w:p w14:paraId="3F951B30" w14:textId="0C5FFC62" w:rsidR="000A4E2D" w:rsidRPr="000A4E2D" w:rsidRDefault="000A4E2D" w:rsidP="00382F53">
            <w:pPr>
              <w:jc w:val="center"/>
              <w:rPr>
                <w:rFonts w:eastAsia="Times New Roman" w:cs="Arial"/>
                <w:b/>
                <w:bCs/>
                <w:color w:val="000000"/>
                <w:sz w:val="18"/>
                <w:szCs w:val="18"/>
              </w:rPr>
            </w:pPr>
            <w:r w:rsidRPr="000A4E2D">
              <w:rPr>
                <w:rFonts w:eastAsia="Times New Roman" w:cs="Arial"/>
                <w:b/>
                <w:bCs/>
                <w:color w:val="000000"/>
                <w:sz w:val="18"/>
                <w:szCs w:val="18"/>
              </w:rPr>
              <w:t xml:space="preserve">Balance Presupuestario </w:t>
            </w:r>
            <w:r w:rsidR="00DB0940" w:rsidRPr="00DB0940">
              <w:rPr>
                <w:rFonts w:eastAsia="Times New Roman" w:cs="Arial"/>
                <w:b/>
                <w:bCs/>
                <w:color w:val="000000"/>
                <w:sz w:val="18"/>
                <w:szCs w:val="18"/>
              </w:rPr>
              <w:t>–</w:t>
            </w:r>
            <w:r w:rsidRPr="000A4E2D">
              <w:rPr>
                <w:rFonts w:eastAsia="Times New Roman" w:cs="Arial"/>
                <w:b/>
                <w:bCs/>
                <w:color w:val="000000"/>
                <w:sz w:val="18"/>
                <w:szCs w:val="18"/>
              </w:rPr>
              <w:t xml:space="preserve"> LDF</w:t>
            </w:r>
            <w:r w:rsidR="00DB0940" w:rsidRPr="00DB0940">
              <w:rPr>
                <w:rFonts w:eastAsia="Times New Roman" w:cs="Arial"/>
                <w:b/>
                <w:bCs/>
                <w:color w:val="000000"/>
                <w:sz w:val="18"/>
                <w:szCs w:val="18"/>
              </w:rPr>
              <w:br/>
            </w:r>
            <w:r w:rsidRPr="000A4E2D">
              <w:rPr>
                <w:rFonts w:eastAsia="Times New Roman" w:cs="Arial"/>
                <w:b/>
                <w:bCs/>
                <w:color w:val="000000"/>
                <w:sz w:val="18"/>
                <w:szCs w:val="18"/>
              </w:rPr>
              <w:t>Del 01 de enero al 31 de diciembre de 2025</w:t>
            </w:r>
          </w:p>
        </w:tc>
      </w:tr>
      <w:tr w:rsidR="000A4E2D" w:rsidRPr="000A4E2D" w14:paraId="25E6720C" w14:textId="77777777" w:rsidTr="00382F53">
        <w:trPr>
          <w:gridAfter w:val="1"/>
          <w:wAfter w:w="82" w:type="pct"/>
          <w:trHeight w:val="20"/>
          <w:tblHeader/>
        </w:trPr>
        <w:tc>
          <w:tcPr>
            <w:tcW w:w="4918" w:type="pct"/>
            <w:gridSpan w:val="3"/>
            <w:tcBorders>
              <w:left w:val="single" w:sz="4" w:space="0" w:color="auto"/>
              <w:bottom w:val="single" w:sz="4" w:space="0" w:color="auto"/>
              <w:right w:val="single" w:sz="4" w:space="0" w:color="auto"/>
            </w:tcBorders>
            <w:shd w:val="clear" w:color="000000" w:fill="DBDBDB"/>
            <w:vAlign w:val="center"/>
            <w:hideMark/>
          </w:tcPr>
          <w:p w14:paraId="119540DF" w14:textId="77777777" w:rsidR="000A4E2D" w:rsidRPr="000A4E2D" w:rsidRDefault="000A4E2D" w:rsidP="00382F53">
            <w:pPr>
              <w:jc w:val="center"/>
              <w:rPr>
                <w:rFonts w:eastAsia="Times New Roman" w:cs="Arial"/>
                <w:b/>
                <w:bCs/>
                <w:color w:val="000000"/>
                <w:sz w:val="18"/>
                <w:szCs w:val="18"/>
              </w:rPr>
            </w:pPr>
            <w:r w:rsidRPr="000A4E2D">
              <w:rPr>
                <w:rFonts w:eastAsia="Times New Roman" w:cs="Arial"/>
                <w:b/>
                <w:bCs/>
                <w:color w:val="000000"/>
                <w:sz w:val="18"/>
                <w:szCs w:val="18"/>
              </w:rPr>
              <w:t>(PESOS)</w:t>
            </w:r>
          </w:p>
        </w:tc>
      </w:tr>
      <w:tr w:rsidR="000A4E2D" w:rsidRPr="000A4E2D" w14:paraId="275380F7" w14:textId="77777777" w:rsidTr="00382F53">
        <w:trPr>
          <w:gridAfter w:val="1"/>
          <w:wAfter w:w="82" w:type="pct"/>
          <w:trHeight w:val="433"/>
        </w:trPr>
        <w:tc>
          <w:tcPr>
            <w:tcW w:w="4019" w:type="pct"/>
            <w:gridSpan w:val="2"/>
            <w:vMerge w:val="restart"/>
            <w:tcBorders>
              <w:top w:val="single" w:sz="4" w:space="0" w:color="auto"/>
              <w:left w:val="single" w:sz="8" w:space="0" w:color="auto"/>
              <w:bottom w:val="single" w:sz="8" w:space="0" w:color="auto"/>
              <w:right w:val="single" w:sz="8" w:space="0" w:color="auto"/>
            </w:tcBorders>
            <w:shd w:val="clear" w:color="000000" w:fill="EDEDED"/>
            <w:noWrap/>
            <w:vAlign w:val="center"/>
            <w:hideMark/>
          </w:tcPr>
          <w:p w14:paraId="14B1F155" w14:textId="77777777" w:rsidR="000A4E2D" w:rsidRPr="000A4E2D" w:rsidRDefault="000A4E2D" w:rsidP="00382F53">
            <w:pPr>
              <w:jc w:val="center"/>
              <w:rPr>
                <w:rFonts w:eastAsia="Times New Roman" w:cs="Arial"/>
                <w:b/>
                <w:bCs/>
                <w:color w:val="000000"/>
                <w:sz w:val="18"/>
                <w:szCs w:val="18"/>
              </w:rPr>
            </w:pPr>
            <w:r w:rsidRPr="000A4E2D">
              <w:rPr>
                <w:rFonts w:eastAsia="Times New Roman" w:cs="Arial"/>
                <w:b/>
                <w:bCs/>
                <w:color w:val="000000"/>
                <w:sz w:val="18"/>
                <w:szCs w:val="18"/>
              </w:rPr>
              <w:t>Concepto (c)</w:t>
            </w:r>
          </w:p>
        </w:tc>
        <w:tc>
          <w:tcPr>
            <w:tcW w:w="899" w:type="pct"/>
            <w:vMerge w:val="restart"/>
            <w:tcBorders>
              <w:top w:val="single" w:sz="4" w:space="0" w:color="auto"/>
              <w:left w:val="single" w:sz="8" w:space="0" w:color="auto"/>
              <w:bottom w:val="single" w:sz="8" w:space="0" w:color="auto"/>
              <w:right w:val="single" w:sz="8" w:space="0" w:color="auto"/>
            </w:tcBorders>
            <w:shd w:val="clear" w:color="000000" w:fill="EDEDED"/>
            <w:vAlign w:val="center"/>
            <w:hideMark/>
          </w:tcPr>
          <w:p w14:paraId="0983FB7C" w14:textId="77777777" w:rsidR="000A4E2D" w:rsidRPr="000A4E2D" w:rsidRDefault="000A4E2D" w:rsidP="00382F53">
            <w:pPr>
              <w:jc w:val="center"/>
              <w:rPr>
                <w:rFonts w:eastAsia="Times New Roman" w:cs="Arial"/>
                <w:b/>
                <w:bCs/>
                <w:color w:val="000000"/>
                <w:sz w:val="18"/>
                <w:szCs w:val="18"/>
              </w:rPr>
            </w:pPr>
            <w:r w:rsidRPr="000A4E2D">
              <w:rPr>
                <w:rFonts w:eastAsia="Times New Roman" w:cs="Arial"/>
                <w:b/>
                <w:bCs/>
                <w:color w:val="000000"/>
                <w:sz w:val="18"/>
                <w:szCs w:val="18"/>
              </w:rPr>
              <w:t>Estimado/ Aprobado</w:t>
            </w:r>
          </w:p>
        </w:tc>
      </w:tr>
      <w:tr w:rsidR="000A4E2D" w:rsidRPr="000A4E2D" w14:paraId="5779CD97" w14:textId="77777777" w:rsidTr="00382F53">
        <w:trPr>
          <w:trHeight w:val="20"/>
        </w:trPr>
        <w:tc>
          <w:tcPr>
            <w:tcW w:w="4019" w:type="pct"/>
            <w:gridSpan w:val="2"/>
            <w:vMerge/>
            <w:tcBorders>
              <w:top w:val="single" w:sz="8" w:space="0" w:color="auto"/>
              <w:left w:val="single" w:sz="8" w:space="0" w:color="auto"/>
              <w:bottom w:val="single" w:sz="8" w:space="0" w:color="auto"/>
              <w:right w:val="single" w:sz="8" w:space="0" w:color="auto"/>
            </w:tcBorders>
            <w:vAlign w:val="center"/>
            <w:hideMark/>
          </w:tcPr>
          <w:p w14:paraId="4987510E" w14:textId="77777777" w:rsidR="000A4E2D" w:rsidRPr="000A4E2D" w:rsidRDefault="000A4E2D" w:rsidP="00382F53">
            <w:pPr>
              <w:jc w:val="left"/>
              <w:rPr>
                <w:rFonts w:eastAsia="Times New Roman" w:cs="Arial"/>
                <w:b/>
                <w:bCs/>
                <w:color w:val="000000"/>
                <w:sz w:val="18"/>
                <w:szCs w:val="18"/>
              </w:rPr>
            </w:pPr>
          </w:p>
        </w:tc>
        <w:tc>
          <w:tcPr>
            <w:tcW w:w="899" w:type="pct"/>
            <w:vMerge/>
            <w:tcBorders>
              <w:top w:val="nil"/>
              <w:left w:val="single" w:sz="8" w:space="0" w:color="auto"/>
              <w:bottom w:val="single" w:sz="8" w:space="0" w:color="auto"/>
              <w:right w:val="single" w:sz="8" w:space="0" w:color="auto"/>
            </w:tcBorders>
            <w:vAlign w:val="center"/>
            <w:hideMark/>
          </w:tcPr>
          <w:p w14:paraId="673D714E" w14:textId="77777777" w:rsidR="000A4E2D" w:rsidRPr="000A4E2D" w:rsidRDefault="000A4E2D" w:rsidP="00382F53">
            <w:pPr>
              <w:jc w:val="left"/>
              <w:rPr>
                <w:rFonts w:eastAsia="Times New Roman" w:cs="Arial"/>
                <w:b/>
                <w:bCs/>
                <w:color w:val="000000"/>
                <w:sz w:val="18"/>
                <w:szCs w:val="18"/>
              </w:rPr>
            </w:pPr>
          </w:p>
        </w:tc>
        <w:tc>
          <w:tcPr>
            <w:tcW w:w="82" w:type="pct"/>
            <w:tcBorders>
              <w:top w:val="nil"/>
              <w:left w:val="nil"/>
              <w:bottom w:val="nil"/>
              <w:right w:val="nil"/>
            </w:tcBorders>
            <w:shd w:val="clear" w:color="auto" w:fill="auto"/>
            <w:noWrap/>
            <w:vAlign w:val="bottom"/>
            <w:hideMark/>
          </w:tcPr>
          <w:p w14:paraId="3B30BAC4" w14:textId="77777777" w:rsidR="000A4E2D" w:rsidRPr="000A4E2D" w:rsidRDefault="000A4E2D" w:rsidP="000A4E2D">
            <w:pPr>
              <w:jc w:val="center"/>
              <w:rPr>
                <w:rFonts w:eastAsia="Times New Roman" w:cs="Arial"/>
                <w:b/>
                <w:bCs/>
                <w:color w:val="000000"/>
                <w:sz w:val="18"/>
                <w:szCs w:val="18"/>
              </w:rPr>
            </w:pPr>
          </w:p>
        </w:tc>
      </w:tr>
      <w:tr w:rsidR="00DB0940" w:rsidRPr="000A4E2D" w14:paraId="228E4EE7"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76D0F245"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48EB27CB"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A. Ingresos Totales (A = A1+A2+A3)</w:t>
            </w:r>
          </w:p>
        </w:tc>
        <w:tc>
          <w:tcPr>
            <w:tcW w:w="899" w:type="pct"/>
            <w:tcBorders>
              <w:top w:val="nil"/>
              <w:left w:val="nil"/>
              <w:bottom w:val="single" w:sz="8" w:space="0" w:color="auto"/>
              <w:right w:val="single" w:sz="8" w:space="0" w:color="auto"/>
            </w:tcBorders>
            <w:shd w:val="clear" w:color="000000" w:fill="FFFFFF"/>
            <w:vAlign w:val="center"/>
            <w:hideMark/>
          </w:tcPr>
          <w:p w14:paraId="006271CA" w14:textId="77777777" w:rsidR="000A4E2D" w:rsidRPr="000A4E2D" w:rsidRDefault="000A4E2D" w:rsidP="00382F53">
            <w:pPr>
              <w:jc w:val="right"/>
              <w:rPr>
                <w:rFonts w:eastAsia="Times New Roman" w:cs="Arial"/>
                <w:b/>
                <w:bCs/>
                <w:color w:val="000000"/>
                <w:sz w:val="18"/>
                <w:szCs w:val="18"/>
              </w:rPr>
            </w:pPr>
            <w:r w:rsidRPr="000A4E2D">
              <w:rPr>
                <w:rFonts w:eastAsia="Times New Roman" w:cs="Arial"/>
                <w:b/>
                <w:bCs/>
                <w:color w:val="000000"/>
                <w:sz w:val="18"/>
                <w:szCs w:val="18"/>
              </w:rPr>
              <w:t>22,681,355,999</w:t>
            </w:r>
          </w:p>
        </w:tc>
        <w:tc>
          <w:tcPr>
            <w:tcW w:w="82" w:type="pct"/>
            <w:vAlign w:val="center"/>
            <w:hideMark/>
          </w:tcPr>
          <w:p w14:paraId="5BB3FA18"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3D5E0954"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4875B029"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65F3F03B" w14:textId="77777777" w:rsidR="000A4E2D" w:rsidRPr="000A4E2D" w:rsidRDefault="000A4E2D" w:rsidP="00382F53">
            <w:pPr>
              <w:ind w:firstLineChars="500" w:firstLine="900"/>
              <w:jc w:val="left"/>
              <w:rPr>
                <w:rFonts w:eastAsia="Times New Roman" w:cs="Arial"/>
                <w:color w:val="000000"/>
                <w:sz w:val="18"/>
                <w:szCs w:val="18"/>
              </w:rPr>
            </w:pPr>
            <w:r w:rsidRPr="000A4E2D">
              <w:rPr>
                <w:rFonts w:eastAsia="Times New Roman" w:cs="Arial"/>
                <w:color w:val="000000"/>
                <w:sz w:val="18"/>
                <w:szCs w:val="18"/>
              </w:rPr>
              <w:t>A1. Ingresos de Libre Disposición</w:t>
            </w:r>
          </w:p>
        </w:tc>
        <w:tc>
          <w:tcPr>
            <w:tcW w:w="899" w:type="pct"/>
            <w:tcBorders>
              <w:top w:val="nil"/>
              <w:left w:val="nil"/>
              <w:bottom w:val="single" w:sz="8" w:space="0" w:color="auto"/>
              <w:right w:val="single" w:sz="8" w:space="0" w:color="auto"/>
            </w:tcBorders>
            <w:shd w:val="clear" w:color="000000" w:fill="FFFFFF"/>
            <w:vAlign w:val="center"/>
            <w:hideMark/>
          </w:tcPr>
          <w:p w14:paraId="5A53F162" w14:textId="77777777" w:rsidR="000A4E2D" w:rsidRPr="000A4E2D" w:rsidRDefault="000A4E2D" w:rsidP="00382F53">
            <w:pPr>
              <w:jc w:val="right"/>
              <w:rPr>
                <w:rFonts w:eastAsia="Times New Roman" w:cs="Arial"/>
                <w:color w:val="000000"/>
                <w:sz w:val="18"/>
                <w:szCs w:val="18"/>
              </w:rPr>
            </w:pPr>
            <w:r w:rsidRPr="000A4E2D">
              <w:rPr>
                <w:rFonts w:eastAsia="Times New Roman" w:cs="Arial"/>
                <w:color w:val="000000"/>
                <w:sz w:val="18"/>
                <w:szCs w:val="18"/>
              </w:rPr>
              <w:t>10,661,115,845</w:t>
            </w:r>
          </w:p>
        </w:tc>
        <w:tc>
          <w:tcPr>
            <w:tcW w:w="82" w:type="pct"/>
            <w:vAlign w:val="center"/>
            <w:hideMark/>
          </w:tcPr>
          <w:p w14:paraId="6160104B"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08807C9E"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5B98AD90"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0B47432F" w14:textId="77777777" w:rsidR="000A4E2D" w:rsidRPr="000A4E2D" w:rsidRDefault="000A4E2D" w:rsidP="00382F53">
            <w:pPr>
              <w:ind w:firstLineChars="500" w:firstLine="900"/>
              <w:jc w:val="left"/>
              <w:rPr>
                <w:rFonts w:eastAsia="Times New Roman" w:cs="Arial"/>
                <w:color w:val="000000"/>
                <w:sz w:val="18"/>
                <w:szCs w:val="18"/>
              </w:rPr>
            </w:pPr>
            <w:r w:rsidRPr="000A4E2D">
              <w:rPr>
                <w:rFonts w:eastAsia="Times New Roman" w:cs="Arial"/>
                <w:color w:val="000000"/>
                <w:sz w:val="18"/>
                <w:szCs w:val="18"/>
              </w:rPr>
              <w:t>A2. Transferencias Federales Etiquetadas</w:t>
            </w:r>
          </w:p>
        </w:tc>
        <w:tc>
          <w:tcPr>
            <w:tcW w:w="899" w:type="pct"/>
            <w:tcBorders>
              <w:top w:val="nil"/>
              <w:left w:val="nil"/>
              <w:bottom w:val="single" w:sz="8" w:space="0" w:color="auto"/>
              <w:right w:val="single" w:sz="8" w:space="0" w:color="auto"/>
            </w:tcBorders>
            <w:shd w:val="clear" w:color="000000" w:fill="FFFFFF"/>
            <w:vAlign w:val="center"/>
            <w:hideMark/>
          </w:tcPr>
          <w:p w14:paraId="47E91BB2" w14:textId="77777777" w:rsidR="000A4E2D" w:rsidRPr="000A4E2D" w:rsidRDefault="000A4E2D" w:rsidP="00382F53">
            <w:pPr>
              <w:jc w:val="right"/>
              <w:rPr>
                <w:rFonts w:eastAsia="Times New Roman" w:cs="Arial"/>
                <w:color w:val="000000"/>
                <w:sz w:val="18"/>
                <w:szCs w:val="18"/>
              </w:rPr>
            </w:pPr>
            <w:r w:rsidRPr="000A4E2D">
              <w:rPr>
                <w:rFonts w:eastAsia="Times New Roman" w:cs="Arial"/>
                <w:color w:val="000000"/>
                <w:sz w:val="18"/>
                <w:szCs w:val="18"/>
              </w:rPr>
              <w:t>12,009,772,961</w:t>
            </w:r>
          </w:p>
        </w:tc>
        <w:tc>
          <w:tcPr>
            <w:tcW w:w="82" w:type="pct"/>
            <w:vAlign w:val="center"/>
            <w:hideMark/>
          </w:tcPr>
          <w:p w14:paraId="54D8494A"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143AD8AB"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44397FFB"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6CEF9E11" w14:textId="77777777" w:rsidR="000A4E2D" w:rsidRPr="000A4E2D" w:rsidRDefault="000A4E2D" w:rsidP="00382F53">
            <w:pPr>
              <w:ind w:firstLineChars="500" w:firstLine="900"/>
              <w:jc w:val="left"/>
              <w:rPr>
                <w:rFonts w:eastAsia="Times New Roman" w:cs="Arial"/>
                <w:color w:val="000000"/>
                <w:sz w:val="18"/>
                <w:szCs w:val="18"/>
              </w:rPr>
            </w:pPr>
            <w:r w:rsidRPr="000A4E2D">
              <w:rPr>
                <w:rFonts w:eastAsia="Times New Roman" w:cs="Arial"/>
                <w:color w:val="000000"/>
                <w:sz w:val="18"/>
                <w:szCs w:val="18"/>
              </w:rPr>
              <w:t>A3. Financiamiento Neto</w:t>
            </w:r>
          </w:p>
        </w:tc>
        <w:tc>
          <w:tcPr>
            <w:tcW w:w="899" w:type="pct"/>
            <w:tcBorders>
              <w:top w:val="nil"/>
              <w:left w:val="nil"/>
              <w:bottom w:val="single" w:sz="8" w:space="0" w:color="auto"/>
              <w:right w:val="single" w:sz="8" w:space="0" w:color="auto"/>
            </w:tcBorders>
            <w:shd w:val="clear" w:color="000000" w:fill="FFFFFF"/>
            <w:vAlign w:val="center"/>
            <w:hideMark/>
          </w:tcPr>
          <w:p w14:paraId="3F8FE2DE" w14:textId="77777777" w:rsidR="000A4E2D" w:rsidRPr="000A4E2D" w:rsidRDefault="000A4E2D" w:rsidP="00382F53">
            <w:pPr>
              <w:jc w:val="right"/>
              <w:rPr>
                <w:rFonts w:eastAsia="Times New Roman" w:cs="Arial"/>
                <w:color w:val="000000"/>
                <w:sz w:val="18"/>
                <w:szCs w:val="18"/>
              </w:rPr>
            </w:pPr>
            <w:r w:rsidRPr="000A4E2D">
              <w:rPr>
                <w:rFonts w:eastAsia="Times New Roman" w:cs="Arial"/>
                <w:color w:val="000000"/>
                <w:sz w:val="18"/>
                <w:szCs w:val="18"/>
              </w:rPr>
              <w:t>10,467,193</w:t>
            </w:r>
          </w:p>
        </w:tc>
        <w:tc>
          <w:tcPr>
            <w:tcW w:w="82" w:type="pct"/>
            <w:vAlign w:val="center"/>
            <w:hideMark/>
          </w:tcPr>
          <w:p w14:paraId="0DFF3FAF"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045E2B49"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3096E586"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27F01182"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B. Egresos Presupuestarios (B = B1+B2)</w:t>
            </w:r>
          </w:p>
        </w:tc>
        <w:tc>
          <w:tcPr>
            <w:tcW w:w="899" w:type="pct"/>
            <w:tcBorders>
              <w:top w:val="nil"/>
              <w:left w:val="nil"/>
              <w:bottom w:val="single" w:sz="8" w:space="0" w:color="auto"/>
              <w:right w:val="single" w:sz="8" w:space="0" w:color="auto"/>
            </w:tcBorders>
            <w:shd w:val="clear" w:color="000000" w:fill="FFFFFF"/>
            <w:vAlign w:val="center"/>
            <w:hideMark/>
          </w:tcPr>
          <w:p w14:paraId="3FDC7B2C" w14:textId="77777777" w:rsidR="000A4E2D" w:rsidRPr="000A4E2D" w:rsidRDefault="000A4E2D" w:rsidP="00382F53">
            <w:pPr>
              <w:jc w:val="right"/>
              <w:rPr>
                <w:rFonts w:eastAsia="Times New Roman" w:cs="Arial"/>
                <w:b/>
                <w:bCs/>
                <w:color w:val="000000"/>
                <w:sz w:val="18"/>
                <w:szCs w:val="18"/>
              </w:rPr>
            </w:pPr>
            <w:r w:rsidRPr="000A4E2D">
              <w:rPr>
                <w:rFonts w:eastAsia="Times New Roman" w:cs="Arial"/>
                <w:b/>
                <w:bCs/>
                <w:color w:val="000000"/>
                <w:sz w:val="18"/>
                <w:szCs w:val="18"/>
              </w:rPr>
              <w:t>22,681,355,999</w:t>
            </w:r>
          </w:p>
        </w:tc>
        <w:tc>
          <w:tcPr>
            <w:tcW w:w="82" w:type="pct"/>
            <w:vAlign w:val="center"/>
            <w:hideMark/>
          </w:tcPr>
          <w:p w14:paraId="086E23C0"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6B0DB29D"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2BAF3B47"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lastRenderedPageBreak/>
              <w:t> </w:t>
            </w:r>
          </w:p>
        </w:tc>
        <w:tc>
          <w:tcPr>
            <w:tcW w:w="3917" w:type="pct"/>
            <w:tcBorders>
              <w:top w:val="nil"/>
              <w:left w:val="nil"/>
              <w:bottom w:val="single" w:sz="8" w:space="0" w:color="auto"/>
              <w:right w:val="single" w:sz="8" w:space="0" w:color="auto"/>
            </w:tcBorders>
            <w:shd w:val="clear" w:color="000000" w:fill="FFFFFF"/>
            <w:vAlign w:val="center"/>
            <w:hideMark/>
          </w:tcPr>
          <w:p w14:paraId="7C81EFA0" w14:textId="77777777" w:rsidR="000A4E2D" w:rsidRPr="000A4E2D" w:rsidRDefault="000A4E2D" w:rsidP="00382F53">
            <w:pPr>
              <w:ind w:firstLineChars="500" w:firstLine="900"/>
              <w:jc w:val="left"/>
              <w:rPr>
                <w:rFonts w:eastAsia="Times New Roman" w:cs="Arial"/>
                <w:color w:val="000000"/>
                <w:sz w:val="18"/>
                <w:szCs w:val="18"/>
              </w:rPr>
            </w:pPr>
            <w:r w:rsidRPr="000A4E2D">
              <w:rPr>
                <w:rFonts w:eastAsia="Times New Roman" w:cs="Arial"/>
                <w:color w:val="000000"/>
                <w:sz w:val="18"/>
                <w:szCs w:val="18"/>
              </w:rPr>
              <w:t>B1. Gasto No Etiquetado (sin incluir Amortización de la Deuda Pública)</w:t>
            </w:r>
          </w:p>
        </w:tc>
        <w:tc>
          <w:tcPr>
            <w:tcW w:w="899" w:type="pct"/>
            <w:tcBorders>
              <w:top w:val="nil"/>
              <w:left w:val="nil"/>
              <w:bottom w:val="single" w:sz="8" w:space="0" w:color="auto"/>
              <w:right w:val="single" w:sz="8" w:space="0" w:color="auto"/>
            </w:tcBorders>
            <w:shd w:val="clear" w:color="000000" w:fill="FFFFFF"/>
            <w:vAlign w:val="center"/>
            <w:hideMark/>
          </w:tcPr>
          <w:p w14:paraId="1FD2CF5A" w14:textId="77777777" w:rsidR="000A4E2D" w:rsidRPr="000A4E2D" w:rsidRDefault="000A4E2D" w:rsidP="00382F53">
            <w:pPr>
              <w:jc w:val="right"/>
              <w:rPr>
                <w:rFonts w:eastAsia="Times New Roman" w:cs="Arial"/>
                <w:color w:val="000000"/>
                <w:sz w:val="18"/>
                <w:szCs w:val="18"/>
              </w:rPr>
            </w:pPr>
            <w:r w:rsidRPr="000A4E2D">
              <w:rPr>
                <w:rFonts w:eastAsia="Times New Roman" w:cs="Arial"/>
                <w:color w:val="000000"/>
                <w:sz w:val="18"/>
                <w:szCs w:val="18"/>
              </w:rPr>
              <w:t>10,744,357,318</w:t>
            </w:r>
          </w:p>
        </w:tc>
        <w:tc>
          <w:tcPr>
            <w:tcW w:w="82" w:type="pct"/>
            <w:vAlign w:val="center"/>
            <w:hideMark/>
          </w:tcPr>
          <w:p w14:paraId="75697DD8"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12F6AD79"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078A27A7"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5A1FD376" w14:textId="77777777" w:rsidR="000A4E2D" w:rsidRPr="000A4E2D" w:rsidRDefault="000A4E2D" w:rsidP="00382F53">
            <w:pPr>
              <w:ind w:firstLineChars="500" w:firstLine="900"/>
              <w:jc w:val="left"/>
              <w:rPr>
                <w:rFonts w:eastAsia="Times New Roman" w:cs="Arial"/>
                <w:color w:val="000000"/>
                <w:sz w:val="18"/>
                <w:szCs w:val="18"/>
              </w:rPr>
            </w:pPr>
            <w:r w:rsidRPr="000A4E2D">
              <w:rPr>
                <w:rFonts w:eastAsia="Times New Roman" w:cs="Arial"/>
                <w:color w:val="000000"/>
                <w:sz w:val="18"/>
                <w:szCs w:val="18"/>
              </w:rPr>
              <w:t xml:space="preserve">B2. Gasto Etiquetado (sin incluir Amortización de la Deuda Pública)  </w:t>
            </w:r>
          </w:p>
        </w:tc>
        <w:tc>
          <w:tcPr>
            <w:tcW w:w="899" w:type="pct"/>
            <w:tcBorders>
              <w:top w:val="nil"/>
              <w:left w:val="nil"/>
              <w:bottom w:val="single" w:sz="8" w:space="0" w:color="auto"/>
              <w:right w:val="single" w:sz="8" w:space="0" w:color="auto"/>
            </w:tcBorders>
            <w:shd w:val="clear" w:color="000000" w:fill="FFFFFF"/>
            <w:vAlign w:val="center"/>
            <w:hideMark/>
          </w:tcPr>
          <w:p w14:paraId="12002CA3" w14:textId="77777777" w:rsidR="000A4E2D" w:rsidRPr="000A4E2D" w:rsidRDefault="000A4E2D" w:rsidP="00382F53">
            <w:pPr>
              <w:jc w:val="right"/>
              <w:rPr>
                <w:rFonts w:eastAsia="Times New Roman" w:cs="Arial"/>
                <w:color w:val="000000"/>
                <w:sz w:val="18"/>
                <w:szCs w:val="18"/>
              </w:rPr>
            </w:pPr>
            <w:r w:rsidRPr="000A4E2D">
              <w:rPr>
                <w:rFonts w:eastAsia="Times New Roman" w:cs="Arial"/>
                <w:color w:val="000000"/>
                <w:sz w:val="18"/>
                <w:szCs w:val="18"/>
              </w:rPr>
              <w:t>11,936,998,681</w:t>
            </w:r>
          </w:p>
        </w:tc>
        <w:tc>
          <w:tcPr>
            <w:tcW w:w="82" w:type="pct"/>
            <w:vAlign w:val="center"/>
            <w:hideMark/>
          </w:tcPr>
          <w:p w14:paraId="2BBD29BB"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34AA4068"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1C69B9D3"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1F0A9657"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C. Remanentes del Ejercicio Anterior (C=C1+C2)</w:t>
            </w:r>
          </w:p>
        </w:tc>
        <w:tc>
          <w:tcPr>
            <w:tcW w:w="899" w:type="pct"/>
            <w:tcBorders>
              <w:top w:val="nil"/>
              <w:left w:val="nil"/>
              <w:bottom w:val="single" w:sz="8" w:space="0" w:color="auto"/>
              <w:right w:val="single" w:sz="8" w:space="0" w:color="auto"/>
            </w:tcBorders>
            <w:shd w:val="clear" w:color="000000" w:fill="FFFFFF"/>
            <w:vAlign w:val="center"/>
            <w:hideMark/>
          </w:tcPr>
          <w:p w14:paraId="74365467" w14:textId="77777777" w:rsidR="000A4E2D" w:rsidRPr="000A4E2D" w:rsidRDefault="000A4E2D" w:rsidP="00382F53">
            <w:pPr>
              <w:jc w:val="right"/>
              <w:rPr>
                <w:rFonts w:eastAsia="Times New Roman" w:cs="Arial"/>
                <w:b/>
                <w:bCs/>
                <w:color w:val="000000"/>
                <w:sz w:val="18"/>
                <w:szCs w:val="18"/>
              </w:rPr>
            </w:pPr>
            <w:r w:rsidRPr="000A4E2D">
              <w:rPr>
                <w:rFonts w:eastAsia="Times New Roman" w:cs="Arial"/>
                <w:b/>
                <w:bCs/>
                <w:color w:val="000000"/>
                <w:sz w:val="18"/>
                <w:szCs w:val="18"/>
              </w:rPr>
              <w:t>0</w:t>
            </w:r>
          </w:p>
        </w:tc>
        <w:tc>
          <w:tcPr>
            <w:tcW w:w="82" w:type="pct"/>
            <w:vAlign w:val="center"/>
            <w:hideMark/>
          </w:tcPr>
          <w:p w14:paraId="6350FA96"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2446294F"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0275AF8D"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77DC588F" w14:textId="77777777" w:rsidR="000A4E2D" w:rsidRPr="000A4E2D" w:rsidRDefault="000A4E2D" w:rsidP="00382F53">
            <w:pPr>
              <w:ind w:firstLineChars="500" w:firstLine="900"/>
              <w:jc w:val="left"/>
              <w:rPr>
                <w:rFonts w:eastAsia="Times New Roman" w:cs="Arial"/>
                <w:color w:val="000000"/>
                <w:sz w:val="18"/>
                <w:szCs w:val="18"/>
              </w:rPr>
            </w:pPr>
            <w:r w:rsidRPr="000A4E2D">
              <w:rPr>
                <w:rFonts w:eastAsia="Times New Roman" w:cs="Arial"/>
                <w:color w:val="000000"/>
                <w:sz w:val="18"/>
                <w:szCs w:val="18"/>
              </w:rPr>
              <w:t>C1. Remanentes de Ingresos de Libre Disposición aplicados en el periodo</w:t>
            </w:r>
          </w:p>
        </w:tc>
        <w:tc>
          <w:tcPr>
            <w:tcW w:w="899" w:type="pct"/>
            <w:tcBorders>
              <w:top w:val="nil"/>
              <w:left w:val="nil"/>
              <w:bottom w:val="single" w:sz="8" w:space="0" w:color="auto"/>
              <w:right w:val="single" w:sz="8" w:space="0" w:color="auto"/>
            </w:tcBorders>
            <w:shd w:val="clear" w:color="000000" w:fill="FFFFFF"/>
            <w:vAlign w:val="center"/>
            <w:hideMark/>
          </w:tcPr>
          <w:p w14:paraId="5B3E69D3" w14:textId="77777777" w:rsidR="000A4E2D" w:rsidRPr="000A4E2D" w:rsidRDefault="000A4E2D" w:rsidP="00382F53">
            <w:pPr>
              <w:jc w:val="right"/>
              <w:rPr>
                <w:rFonts w:eastAsia="Times New Roman" w:cs="Arial"/>
                <w:color w:val="000000"/>
                <w:sz w:val="18"/>
                <w:szCs w:val="18"/>
              </w:rPr>
            </w:pPr>
            <w:r w:rsidRPr="000A4E2D">
              <w:rPr>
                <w:rFonts w:eastAsia="Times New Roman" w:cs="Arial"/>
                <w:color w:val="000000"/>
                <w:sz w:val="18"/>
                <w:szCs w:val="18"/>
              </w:rPr>
              <w:t>0</w:t>
            </w:r>
          </w:p>
        </w:tc>
        <w:tc>
          <w:tcPr>
            <w:tcW w:w="82" w:type="pct"/>
            <w:vAlign w:val="center"/>
            <w:hideMark/>
          </w:tcPr>
          <w:p w14:paraId="046EA896"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5D0EC047"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32AB729F"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76591D11" w14:textId="77777777" w:rsidR="000A4E2D" w:rsidRPr="000A4E2D" w:rsidRDefault="000A4E2D" w:rsidP="00382F53">
            <w:pPr>
              <w:ind w:firstLineChars="500" w:firstLine="900"/>
              <w:jc w:val="left"/>
              <w:rPr>
                <w:rFonts w:eastAsia="Times New Roman" w:cs="Arial"/>
                <w:color w:val="000000"/>
                <w:sz w:val="18"/>
                <w:szCs w:val="18"/>
              </w:rPr>
            </w:pPr>
            <w:r w:rsidRPr="000A4E2D">
              <w:rPr>
                <w:rFonts w:eastAsia="Times New Roman" w:cs="Arial"/>
                <w:color w:val="000000"/>
                <w:sz w:val="18"/>
                <w:szCs w:val="18"/>
              </w:rPr>
              <w:t>C2. Remanentes de Transferencias Federales Etiquetadas aplicados en el periodo</w:t>
            </w:r>
          </w:p>
        </w:tc>
        <w:tc>
          <w:tcPr>
            <w:tcW w:w="899" w:type="pct"/>
            <w:tcBorders>
              <w:top w:val="nil"/>
              <w:left w:val="nil"/>
              <w:bottom w:val="single" w:sz="8" w:space="0" w:color="auto"/>
              <w:right w:val="single" w:sz="8" w:space="0" w:color="auto"/>
            </w:tcBorders>
            <w:shd w:val="clear" w:color="000000" w:fill="FFFFFF"/>
            <w:vAlign w:val="center"/>
            <w:hideMark/>
          </w:tcPr>
          <w:p w14:paraId="53BD172D" w14:textId="77777777" w:rsidR="000A4E2D" w:rsidRPr="000A4E2D" w:rsidRDefault="000A4E2D" w:rsidP="00382F53">
            <w:pPr>
              <w:jc w:val="right"/>
              <w:rPr>
                <w:rFonts w:eastAsia="Times New Roman" w:cs="Arial"/>
                <w:color w:val="000000"/>
                <w:sz w:val="18"/>
                <w:szCs w:val="18"/>
              </w:rPr>
            </w:pPr>
            <w:r w:rsidRPr="000A4E2D">
              <w:rPr>
                <w:rFonts w:eastAsia="Times New Roman" w:cs="Arial"/>
                <w:color w:val="000000"/>
                <w:sz w:val="18"/>
                <w:szCs w:val="18"/>
              </w:rPr>
              <w:t>0</w:t>
            </w:r>
          </w:p>
        </w:tc>
        <w:tc>
          <w:tcPr>
            <w:tcW w:w="82" w:type="pct"/>
            <w:vAlign w:val="center"/>
            <w:hideMark/>
          </w:tcPr>
          <w:p w14:paraId="182EF8E2"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5018D3AC" w14:textId="77777777" w:rsidTr="00382F53">
        <w:trPr>
          <w:trHeight w:val="20"/>
        </w:trPr>
        <w:tc>
          <w:tcPr>
            <w:tcW w:w="103" w:type="pct"/>
            <w:tcBorders>
              <w:top w:val="nil"/>
              <w:left w:val="single" w:sz="8" w:space="0" w:color="auto"/>
              <w:bottom w:val="single" w:sz="8" w:space="0" w:color="auto"/>
              <w:right w:val="nil"/>
            </w:tcBorders>
            <w:shd w:val="clear" w:color="000000" w:fill="FFFFFF"/>
            <w:noWrap/>
            <w:vAlign w:val="center"/>
            <w:hideMark/>
          </w:tcPr>
          <w:p w14:paraId="19F35D41"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284D4AF3"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I. Balance Presupuestario (I = A – B + C)</w:t>
            </w:r>
          </w:p>
        </w:tc>
        <w:tc>
          <w:tcPr>
            <w:tcW w:w="899" w:type="pct"/>
            <w:tcBorders>
              <w:top w:val="nil"/>
              <w:left w:val="nil"/>
              <w:bottom w:val="single" w:sz="8" w:space="0" w:color="auto"/>
              <w:right w:val="single" w:sz="8" w:space="0" w:color="auto"/>
            </w:tcBorders>
            <w:shd w:val="clear" w:color="000000" w:fill="FFFFFF"/>
            <w:vAlign w:val="center"/>
            <w:hideMark/>
          </w:tcPr>
          <w:p w14:paraId="384118EE" w14:textId="77777777" w:rsidR="000A4E2D" w:rsidRPr="000A4E2D" w:rsidRDefault="000A4E2D" w:rsidP="00382F53">
            <w:pPr>
              <w:jc w:val="right"/>
              <w:rPr>
                <w:rFonts w:eastAsia="Times New Roman" w:cs="Arial"/>
                <w:b/>
                <w:bCs/>
                <w:color w:val="000000"/>
                <w:sz w:val="18"/>
                <w:szCs w:val="18"/>
              </w:rPr>
            </w:pPr>
            <w:r w:rsidRPr="000A4E2D">
              <w:rPr>
                <w:rFonts w:eastAsia="Times New Roman" w:cs="Arial"/>
                <w:b/>
                <w:bCs/>
                <w:color w:val="000000"/>
                <w:sz w:val="18"/>
                <w:szCs w:val="18"/>
              </w:rPr>
              <w:t>0</w:t>
            </w:r>
          </w:p>
        </w:tc>
        <w:tc>
          <w:tcPr>
            <w:tcW w:w="82" w:type="pct"/>
            <w:vAlign w:val="center"/>
            <w:hideMark/>
          </w:tcPr>
          <w:p w14:paraId="34663555"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5444AD66" w14:textId="77777777" w:rsidTr="00382F53">
        <w:trPr>
          <w:trHeight w:val="20"/>
        </w:trPr>
        <w:tc>
          <w:tcPr>
            <w:tcW w:w="103" w:type="pct"/>
            <w:tcBorders>
              <w:top w:val="nil"/>
              <w:left w:val="single" w:sz="8" w:space="0" w:color="auto"/>
              <w:bottom w:val="single" w:sz="8" w:space="0" w:color="auto"/>
              <w:right w:val="nil"/>
            </w:tcBorders>
            <w:shd w:val="clear" w:color="000000" w:fill="FFFFFF"/>
            <w:noWrap/>
            <w:vAlign w:val="center"/>
            <w:hideMark/>
          </w:tcPr>
          <w:p w14:paraId="637D467F"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58066E3F"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II. Balance Presupuestario sin Financiamiento Neto (II = I - A3)</w:t>
            </w:r>
          </w:p>
        </w:tc>
        <w:tc>
          <w:tcPr>
            <w:tcW w:w="899" w:type="pct"/>
            <w:tcBorders>
              <w:top w:val="nil"/>
              <w:left w:val="nil"/>
              <w:bottom w:val="single" w:sz="8" w:space="0" w:color="auto"/>
              <w:right w:val="single" w:sz="8" w:space="0" w:color="auto"/>
            </w:tcBorders>
            <w:shd w:val="clear" w:color="000000" w:fill="FFFFFF"/>
            <w:vAlign w:val="center"/>
            <w:hideMark/>
          </w:tcPr>
          <w:p w14:paraId="09C04740" w14:textId="77777777" w:rsidR="000A4E2D" w:rsidRPr="000A4E2D" w:rsidRDefault="000A4E2D" w:rsidP="00382F53">
            <w:pPr>
              <w:jc w:val="right"/>
              <w:rPr>
                <w:rFonts w:eastAsia="Times New Roman" w:cs="Arial"/>
                <w:b/>
                <w:bCs/>
                <w:color w:val="000000"/>
                <w:sz w:val="18"/>
                <w:szCs w:val="18"/>
              </w:rPr>
            </w:pPr>
            <w:r w:rsidRPr="000A4E2D">
              <w:rPr>
                <w:rFonts w:eastAsia="Times New Roman" w:cs="Arial"/>
                <w:b/>
                <w:bCs/>
                <w:color w:val="000000"/>
                <w:sz w:val="18"/>
                <w:szCs w:val="18"/>
              </w:rPr>
              <w:t>-10,467,193</w:t>
            </w:r>
          </w:p>
        </w:tc>
        <w:tc>
          <w:tcPr>
            <w:tcW w:w="82" w:type="pct"/>
            <w:vAlign w:val="center"/>
            <w:hideMark/>
          </w:tcPr>
          <w:p w14:paraId="307A05FE"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2402A6FA"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69BD10DF"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153D2DA8"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III. Balance Presupuestario sin Financiamiento Neto y sin Remanentes del Ejercicio Anterior (III= II - C)</w:t>
            </w:r>
          </w:p>
        </w:tc>
        <w:tc>
          <w:tcPr>
            <w:tcW w:w="899" w:type="pct"/>
            <w:tcBorders>
              <w:top w:val="nil"/>
              <w:left w:val="nil"/>
              <w:bottom w:val="single" w:sz="8" w:space="0" w:color="auto"/>
              <w:right w:val="single" w:sz="8" w:space="0" w:color="auto"/>
            </w:tcBorders>
            <w:shd w:val="clear" w:color="000000" w:fill="FFFFFF"/>
            <w:vAlign w:val="center"/>
            <w:hideMark/>
          </w:tcPr>
          <w:p w14:paraId="670D360F" w14:textId="77777777" w:rsidR="000A4E2D" w:rsidRPr="000A4E2D" w:rsidRDefault="000A4E2D" w:rsidP="00382F53">
            <w:pPr>
              <w:jc w:val="right"/>
              <w:rPr>
                <w:rFonts w:eastAsia="Times New Roman" w:cs="Arial"/>
                <w:b/>
                <w:bCs/>
                <w:color w:val="000000"/>
                <w:sz w:val="18"/>
                <w:szCs w:val="18"/>
              </w:rPr>
            </w:pPr>
            <w:r w:rsidRPr="000A4E2D">
              <w:rPr>
                <w:rFonts w:eastAsia="Times New Roman" w:cs="Arial"/>
                <w:b/>
                <w:bCs/>
                <w:color w:val="000000"/>
                <w:sz w:val="18"/>
                <w:szCs w:val="18"/>
              </w:rPr>
              <w:t>-10,467,193</w:t>
            </w:r>
          </w:p>
        </w:tc>
        <w:tc>
          <w:tcPr>
            <w:tcW w:w="82" w:type="pct"/>
            <w:vAlign w:val="center"/>
            <w:hideMark/>
          </w:tcPr>
          <w:p w14:paraId="00DFC7DA" w14:textId="77777777" w:rsidR="000A4E2D" w:rsidRPr="000A4E2D" w:rsidRDefault="000A4E2D" w:rsidP="000A4E2D">
            <w:pPr>
              <w:jc w:val="left"/>
              <w:rPr>
                <w:rFonts w:ascii="Times New Roman" w:eastAsia="Times New Roman" w:hAnsi="Times New Roman" w:cs="Times New Roman"/>
                <w:sz w:val="20"/>
                <w:szCs w:val="20"/>
              </w:rPr>
            </w:pPr>
          </w:p>
        </w:tc>
      </w:tr>
      <w:tr w:rsidR="000A4E2D" w:rsidRPr="000A4E2D" w14:paraId="74DF3D0D" w14:textId="77777777" w:rsidTr="00382F53">
        <w:trPr>
          <w:trHeight w:val="20"/>
        </w:trPr>
        <w:tc>
          <w:tcPr>
            <w:tcW w:w="4019" w:type="pct"/>
            <w:gridSpan w:val="2"/>
            <w:vMerge w:val="restart"/>
            <w:tcBorders>
              <w:top w:val="single" w:sz="8" w:space="0" w:color="auto"/>
              <w:left w:val="single" w:sz="8" w:space="0" w:color="auto"/>
              <w:bottom w:val="single" w:sz="8" w:space="0" w:color="auto"/>
              <w:right w:val="single" w:sz="8" w:space="0" w:color="auto"/>
            </w:tcBorders>
            <w:shd w:val="clear" w:color="000000" w:fill="EDEDED"/>
            <w:noWrap/>
            <w:vAlign w:val="center"/>
            <w:hideMark/>
          </w:tcPr>
          <w:p w14:paraId="14CC81D1" w14:textId="77777777" w:rsidR="000A4E2D" w:rsidRPr="000A4E2D" w:rsidRDefault="000A4E2D" w:rsidP="00382F53">
            <w:pPr>
              <w:jc w:val="center"/>
              <w:rPr>
                <w:rFonts w:eastAsia="Times New Roman" w:cs="Arial"/>
                <w:b/>
                <w:bCs/>
                <w:color w:val="000000"/>
                <w:sz w:val="18"/>
                <w:szCs w:val="18"/>
              </w:rPr>
            </w:pPr>
            <w:r w:rsidRPr="000A4E2D">
              <w:rPr>
                <w:rFonts w:eastAsia="Times New Roman" w:cs="Arial"/>
                <w:b/>
                <w:bCs/>
                <w:color w:val="000000"/>
                <w:sz w:val="18"/>
                <w:szCs w:val="18"/>
              </w:rPr>
              <w:t>Concepto (c)</w:t>
            </w:r>
          </w:p>
        </w:tc>
        <w:tc>
          <w:tcPr>
            <w:tcW w:w="899" w:type="pct"/>
            <w:vMerge w:val="restart"/>
            <w:tcBorders>
              <w:top w:val="nil"/>
              <w:left w:val="single" w:sz="8" w:space="0" w:color="auto"/>
              <w:bottom w:val="single" w:sz="8" w:space="0" w:color="auto"/>
              <w:right w:val="single" w:sz="8" w:space="0" w:color="auto"/>
            </w:tcBorders>
            <w:shd w:val="clear" w:color="000000" w:fill="EDEDED"/>
            <w:vAlign w:val="center"/>
            <w:hideMark/>
          </w:tcPr>
          <w:p w14:paraId="049CE85D" w14:textId="77777777" w:rsidR="000A4E2D" w:rsidRPr="000A4E2D" w:rsidRDefault="000A4E2D" w:rsidP="00382F53">
            <w:pPr>
              <w:jc w:val="center"/>
              <w:rPr>
                <w:rFonts w:eastAsia="Times New Roman" w:cs="Arial"/>
                <w:b/>
                <w:bCs/>
                <w:color w:val="000000"/>
                <w:sz w:val="18"/>
                <w:szCs w:val="18"/>
              </w:rPr>
            </w:pPr>
            <w:r w:rsidRPr="000A4E2D">
              <w:rPr>
                <w:rFonts w:eastAsia="Times New Roman" w:cs="Arial"/>
                <w:b/>
                <w:bCs/>
                <w:color w:val="000000"/>
                <w:sz w:val="18"/>
                <w:szCs w:val="18"/>
              </w:rPr>
              <w:t>Estimado/ Aprobado</w:t>
            </w:r>
          </w:p>
        </w:tc>
        <w:tc>
          <w:tcPr>
            <w:tcW w:w="82" w:type="pct"/>
            <w:vAlign w:val="center"/>
            <w:hideMark/>
          </w:tcPr>
          <w:p w14:paraId="128AE0D0" w14:textId="77777777" w:rsidR="000A4E2D" w:rsidRPr="000A4E2D" w:rsidRDefault="000A4E2D" w:rsidP="000A4E2D">
            <w:pPr>
              <w:jc w:val="left"/>
              <w:rPr>
                <w:rFonts w:ascii="Times New Roman" w:eastAsia="Times New Roman" w:hAnsi="Times New Roman" w:cs="Times New Roman"/>
                <w:sz w:val="20"/>
                <w:szCs w:val="20"/>
              </w:rPr>
            </w:pPr>
          </w:p>
        </w:tc>
      </w:tr>
      <w:tr w:rsidR="000A4E2D" w:rsidRPr="000A4E2D" w14:paraId="3AB0B588" w14:textId="77777777" w:rsidTr="00382F53">
        <w:trPr>
          <w:trHeight w:val="20"/>
        </w:trPr>
        <w:tc>
          <w:tcPr>
            <w:tcW w:w="4019" w:type="pct"/>
            <w:gridSpan w:val="2"/>
            <w:vMerge/>
            <w:tcBorders>
              <w:top w:val="single" w:sz="8" w:space="0" w:color="auto"/>
              <w:left w:val="single" w:sz="8" w:space="0" w:color="auto"/>
              <w:bottom w:val="single" w:sz="8" w:space="0" w:color="auto"/>
              <w:right w:val="single" w:sz="8" w:space="0" w:color="auto"/>
            </w:tcBorders>
            <w:vAlign w:val="center"/>
            <w:hideMark/>
          </w:tcPr>
          <w:p w14:paraId="333607BC" w14:textId="77777777" w:rsidR="000A4E2D" w:rsidRPr="000A4E2D" w:rsidRDefault="000A4E2D" w:rsidP="00382F53">
            <w:pPr>
              <w:jc w:val="left"/>
              <w:rPr>
                <w:rFonts w:eastAsia="Times New Roman" w:cs="Arial"/>
                <w:b/>
                <w:bCs/>
                <w:color w:val="000000"/>
                <w:sz w:val="18"/>
                <w:szCs w:val="18"/>
              </w:rPr>
            </w:pPr>
          </w:p>
        </w:tc>
        <w:tc>
          <w:tcPr>
            <w:tcW w:w="899" w:type="pct"/>
            <w:vMerge/>
            <w:tcBorders>
              <w:top w:val="nil"/>
              <w:left w:val="single" w:sz="8" w:space="0" w:color="auto"/>
              <w:bottom w:val="single" w:sz="8" w:space="0" w:color="auto"/>
              <w:right w:val="single" w:sz="8" w:space="0" w:color="auto"/>
            </w:tcBorders>
            <w:vAlign w:val="center"/>
            <w:hideMark/>
          </w:tcPr>
          <w:p w14:paraId="3AD377A9" w14:textId="77777777" w:rsidR="000A4E2D" w:rsidRPr="000A4E2D" w:rsidRDefault="000A4E2D" w:rsidP="00382F53">
            <w:pPr>
              <w:jc w:val="left"/>
              <w:rPr>
                <w:rFonts w:eastAsia="Times New Roman" w:cs="Arial"/>
                <w:b/>
                <w:bCs/>
                <w:color w:val="000000"/>
                <w:sz w:val="18"/>
                <w:szCs w:val="18"/>
              </w:rPr>
            </w:pPr>
          </w:p>
        </w:tc>
        <w:tc>
          <w:tcPr>
            <w:tcW w:w="82" w:type="pct"/>
            <w:tcBorders>
              <w:top w:val="nil"/>
              <w:left w:val="nil"/>
              <w:bottom w:val="nil"/>
              <w:right w:val="nil"/>
            </w:tcBorders>
            <w:shd w:val="clear" w:color="auto" w:fill="auto"/>
            <w:noWrap/>
            <w:vAlign w:val="bottom"/>
            <w:hideMark/>
          </w:tcPr>
          <w:p w14:paraId="5DA2695B" w14:textId="77777777" w:rsidR="000A4E2D" w:rsidRPr="000A4E2D" w:rsidRDefault="000A4E2D" w:rsidP="000A4E2D">
            <w:pPr>
              <w:jc w:val="center"/>
              <w:rPr>
                <w:rFonts w:eastAsia="Times New Roman" w:cs="Arial"/>
                <w:b/>
                <w:bCs/>
                <w:color w:val="000000"/>
                <w:sz w:val="18"/>
                <w:szCs w:val="18"/>
              </w:rPr>
            </w:pPr>
          </w:p>
        </w:tc>
      </w:tr>
      <w:tr w:rsidR="000A4E2D" w:rsidRPr="000A4E2D" w14:paraId="72C8F829" w14:textId="77777777" w:rsidTr="00382F53">
        <w:trPr>
          <w:trHeight w:val="20"/>
        </w:trPr>
        <w:tc>
          <w:tcPr>
            <w:tcW w:w="103" w:type="pct"/>
            <w:tcBorders>
              <w:top w:val="nil"/>
              <w:left w:val="single" w:sz="8" w:space="0" w:color="auto"/>
              <w:bottom w:val="single" w:sz="8" w:space="0" w:color="auto"/>
              <w:right w:val="nil"/>
            </w:tcBorders>
            <w:shd w:val="clear" w:color="auto" w:fill="auto"/>
            <w:noWrap/>
            <w:vAlign w:val="center"/>
            <w:hideMark/>
          </w:tcPr>
          <w:p w14:paraId="2830E458"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 </w:t>
            </w:r>
          </w:p>
        </w:tc>
        <w:tc>
          <w:tcPr>
            <w:tcW w:w="3917" w:type="pct"/>
            <w:tcBorders>
              <w:top w:val="nil"/>
              <w:left w:val="nil"/>
              <w:bottom w:val="single" w:sz="8" w:space="0" w:color="auto"/>
              <w:right w:val="single" w:sz="8" w:space="0" w:color="auto"/>
            </w:tcBorders>
            <w:shd w:val="clear" w:color="auto" w:fill="auto"/>
            <w:vAlign w:val="center"/>
            <w:hideMark/>
          </w:tcPr>
          <w:p w14:paraId="76B4D7CF"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E. Intereses, Comisiones y Gastos de la Deuda (E = E1+E2)</w:t>
            </w:r>
          </w:p>
        </w:tc>
        <w:tc>
          <w:tcPr>
            <w:tcW w:w="899" w:type="pct"/>
            <w:tcBorders>
              <w:top w:val="nil"/>
              <w:left w:val="nil"/>
              <w:bottom w:val="single" w:sz="8" w:space="0" w:color="auto"/>
              <w:right w:val="single" w:sz="8" w:space="0" w:color="auto"/>
            </w:tcBorders>
            <w:shd w:val="clear" w:color="auto" w:fill="auto"/>
            <w:vAlign w:val="center"/>
            <w:hideMark/>
          </w:tcPr>
          <w:p w14:paraId="12C82A38" w14:textId="77777777" w:rsidR="000A4E2D" w:rsidRPr="000A4E2D" w:rsidRDefault="000A4E2D" w:rsidP="00382F53">
            <w:pPr>
              <w:jc w:val="right"/>
              <w:rPr>
                <w:rFonts w:eastAsia="Times New Roman" w:cs="Arial"/>
                <w:b/>
                <w:bCs/>
                <w:color w:val="000000"/>
                <w:sz w:val="18"/>
                <w:szCs w:val="18"/>
              </w:rPr>
            </w:pPr>
            <w:r w:rsidRPr="000A4E2D">
              <w:rPr>
                <w:rFonts w:eastAsia="Times New Roman" w:cs="Arial"/>
                <w:b/>
                <w:bCs/>
                <w:color w:val="000000"/>
                <w:sz w:val="18"/>
                <w:szCs w:val="18"/>
              </w:rPr>
              <w:t>443,256,135</w:t>
            </w:r>
          </w:p>
        </w:tc>
        <w:tc>
          <w:tcPr>
            <w:tcW w:w="82" w:type="pct"/>
            <w:vAlign w:val="center"/>
            <w:hideMark/>
          </w:tcPr>
          <w:p w14:paraId="2408704D" w14:textId="77777777" w:rsidR="000A4E2D" w:rsidRPr="000A4E2D" w:rsidRDefault="000A4E2D" w:rsidP="000A4E2D">
            <w:pPr>
              <w:jc w:val="left"/>
              <w:rPr>
                <w:rFonts w:ascii="Times New Roman" w:eastAsia="Times New Roman" w:hAnsi="Times New Roman" w:cs="Times New Roman"/>
                <w:sz w:val="20"/>
                <w:szCs w:val="20"/>
              </w:rPr>
            </w:pPr>
          </w:p>
        </w:tc>
      </w:tr>
      <w:tr w:rsidR="000A4E2D" w:rsidRPr="000A4E2D" w14:paraId="3B55EC5E" w14:textId="77777777" w:rsidTr="00382F53">
        <w:trPr>
          <w:trHeight w:val="20"/>
        </w:trPr>
        <w:tc>
          <w:tcPr>
            <w:tcW w:w="103" w:type="pct"/>
            <w:tcBorders>
              <w:top w:val="nil"/>
              <w:left w:val="single" w:sz="8" w:space="0" w:color="auto"/>
              <w:bottom w:val="single" w:sz="8" w:space="0" w:color="auto"/>
              <w:right w:val="nil"/>
            </w:tcBorders>
            <w:shd w:val="clear" w:color="auto" w:fill="auto"/>
            <w:noWrap/>
            <w:vAlign w:val="center"/>
            <w:hideMark/>
          </w:tcPr>
          <w:p w14:paraId="22E533F5"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 </w:t>
            </w:r>
          </w:p>
        </w:tc>
        <w:tc>
          <w:tcPr>
            <w:tcW w:w="3917" w:type="pct"/>
            <w:tcBorders>
              <w:top w:val="nil"/>
              <w:left w:val="nil"/>
              <w:bottom w:val="single" w:sz="8" w:space="0" w:color="auto"/>
              <w:right w:val="single" w:sz="8" w:space="0" w:color="auto"/>
            </w:tcBorders>
            <w:shd w:val="clear" w:color="auto" w:fill="auto"/>
            <w:vAlign w:val="center"/>
            <w:hideMark/>
          </w:tcPr>
          <w:p w14:paraId="4E07099B" w14:textId="77777777" w:rsidR="000A4E2D" w:rsidRPr="000A4E2D" w:rsidRDefault="000A4E2D" w:rsidP="00382F53">
            <w:pPr>
              <w:ind w:firstLineChars="500" w:firstLine="900"/>
              <w:jc w:val="left"/>
              <w:rPr>
                <w:rFonts w:eastAsia="Times New Roman" w:cs="Arial"/>
                <w:color w:val="000000"/>
                <w:sz w:val="18"/>
                <w:szCs w:val="18"/>
              </w:rPr>
            </w:pPr>
            <w:r w:rsidRPr="000A4E2D">
              <w:rPr>
                <w:rFonts w:eastAsia="Times New Roman" w:cs="Arial"/>
                <w:color w:val="000000"/>
                <w:sz w:val="18"/>
                <w:szCs w:val="18"/>
              </w:rPr>
              <w:t>E1. Intereses, Comisiones y Gastos de la Deuda con Gasto No Etiquetado</w:t>
            </w:r>
          </w:p>
        </w:tc>
        <w:tc>
          <w:tcPr>
            <w:tcW w:w="899" w:type="pct"/>
            <w:tcBorders>
              <w:top w:val="nil"/>
              <w:left w:val="nil"/>
              <w:bottom w:val="single" w:sz="8" w:space="0" w:color="auto"/>
              <w:right w:val="single" w:sz="8" w:space="0" w:color="auto"/>
            </w:tcBorders>
            <w:shd w:val="clear" w:color="auto" w:fill="auto"/>
            <w:vAlign w:val="center"/>
            <w:hideMark/>
          </w:tcPr>
          <w:p w14:paraId="7F0863B5" w14:textId="77777777" w:rsidR="000A4E2D" w:rsidRPr="000A4E2D" w:rsidRDefault="000A4E2D" w:rsidP="00382F53">
            <w:pPr>
              <w:jc w:val="right"/>
              <w:rPr>
                <w:rFonts w:eastAsia="Times New Roman" w:cs="Arial"/>
                <w:color w:val="000000"/>
                <w:sz w:val="18"/>
                <w:szCs w:val="18"/>
              </w:rPr>
            </w:pPr>
            <w:r w:rsidRPr="000A4E2D">
              <w:rPr>
                <w:rFonts w:eastAsia="Times New Roman" w:cs="Arial"/>
                <w:color w:val="000000"/>
                <w:sz w:val="18"/>
                <w:szCs w:val="18"/>
              </w:rPr>
              <w:t>145,118,526</w:t>
            </w:r>
          </w:p>
        </w:tc>
        <w:tc>
          <w:tcPr>
            <w:tcW w:w="82" w:type="pct"/>
            <w:vAlign w:val="center"/>
            <w:hideMark/>
          </w:tcPr>
          <w:p w14:paraId="7FE6263D" w14:textId="77777777" w:rsidR="000A4E2D" w:rsidRPr="000A4E2D" w:rsidRDefault="000A4E2D" w:rsidP="000A4E2D">
            <w:pPr>
              <w:jc w:val="left"/>
              <w:rPr>
                <w:rFonts w:ascii="Times New Roman" w:eastAsia="Times New Roman" w:hAnsi="Times New Roman" w:cs="Times New Roman"/>
                <w:sz w:val="20"/>
                <w:szCs w:val="20"/>
              </w:rPr>
            </w:pPr>
          </w:p>
        </w:tc>
      </w:tr>
      <w:tr w:rsidR="000A4E2D" w:rsidRPr="000A4E2D" w14:paraId="28CB8FF5" w14:textId="77777777" w:rsidTr="00382F53">
        <w:trPr>
          <w:trHeight w:val="20"/>
        </w:trPr>
        <w:tc>
          <w:tcPr>
            <w:tcW w:w="103" w:type="pct"/>
            <w:tcBorders>
              <w:top w:val="nil"/>
              <w:left w:val="single" w:sz="8" w:space="0" w:color="auto"/>
              <w:bottom w:val="single" w:sz="8" w:space="0" w:color="auto"/>
              <w:right w:val="nil"/>
            </w:tcBorders>
            <w:shd w:val="clear" w:color="auto" w:fill="auto"/>
            <w:noWrap/>
            <w:vAlign w:val="center"/>
            <w:hideMark/>
          </w:tcPr>
          <w:p w14:paraId="6A59B5E0"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 </w:t>
            </w:r>
          </w:p>
        </w:tc>
        <w:tc>
          <w:tcPr>
            <w:tcW w:w="3917" w:type="pct"/>
            <w:tcBorders>
              <w:top w:val="nil"/>
              <w:left w:val="nil"/>
              <w:bottom w:val="single" w:sz="8" w:space="0" w:color="auto"/>
              <w:right w:val="single" w:sz="8" w:space="0" w:color="auto"/>
            </w:tcBorders>
            <w:shd w:val="clear" w:color="auto" w:fill="auto"/>
            <w:vAlign w:val="center"/>
            <w:hideMark/>
          </w:tcPr>
          <w:p w14:paraId="0EA34984" w14:textId="77777777" w:rsidR="000A4E2D" w:rsidRPr="000A4E2D" w:rsidRDefault="000A4E2D" w:rsidP="00382F53">
            <w:pPr>
              <w:ind w:firstLineChars="500" w:firstLine="900"/>
              <w:jc w:val="left"/>
              <w:rPr>
                <w:rFonts w:eastAsia="Times New Roman" w:cs="Arial"/>
                <w:color w:val="000000"/>
                <w:sz w:val="18"/>
                <w:szCs w:val="18"/>
              </w:rPr>
            </w:pPr>
            <w:r w:rsidRPr="000A4E2D">
              <w:rPr>
                <w:rFonts w:eastAsia="Times New Roman" w:cs="Arial"/>
                <w:color w:val="000000"/>
                <w:sz w:val="18"/>
                <w:szCs w:val="18"/>
              </w:rPr>
              <w:t>E2. Intereses, Comisiones y Gastos de la Deuda con Gasto Etiquetado</w:t>
            </w:r>
          </w:p>
        </w:tc>
        <w:tc>
          <w:tcPr>
            <w:tcW w:w="899" w:type="pct"/>
            <w:tcBorders>
              <w:top w:val="nil"/>
              <w:left w:val="nil"/>
              <w:bottom w:val="single" w:sz="8" w:space="0" w:color="auto"/>
              <w:right w:val="single" w:sz="8" w:space="0" w:color="auto"/>
            </w:tcBorders>
            <w:shd w:val="clear" w:color="auto" w:fill="auto"/>
            <w:vAlign w:val="center"/>
            <w:hideMark/>
          </w:tcPr>
          <w:p w14:paraId="2947F916" w14:textId="77777777" w:rsidR="000A4E2D" w:rsidRPr="000A4E2D" w:rsidRDefault="000A4E2D" w:rsidP="00382F53">
            <w:pPr>
              <w:jc w:val="right"/>
              <w:rPr>
                <w:rFonts w:eastAsia="Times New Roman" w:cs="Arial"/>
                <w:color w:val="000000"/>
                <w:sz w:val="18"/>
                <w:szCs w:val="18"/>
              </w:rPr>
            </w:pPr>
            <w:r w:rsidRPr="000A4E2D">
              <w:rPr>
                <w:rFonts w:eastAsia="Times New Roman" w:cs="Arial"/>
                <w:color w:val="000000"/>
                <w:sz w:val="18"/>
                <w:szCs w:val="18"/>
              </w:rPr>
              <w:t>298,137,609</w:t>
            </w:r>
          </w:p>
        </w:tc>
        <w:tc>
          <w:tcPr>
            <w:tcW w:w="82" w:type="pct"/>
            <w:vAlign w:val="center"/>
            <w:hideMark/>
          </w:tcPr>
          <w:p w14:paraId="492B9A4E" w14:textId="77777777" w:rsidR="000A4E2D" w:rsidRPr="000A4E2D" w:rsidRDefault="000A4E2D" w:rsidP="000A4E2D">
            <w:pPr>
              <w:jc w:val="left"/>
              <w:rPr>
                <w:rFonts w:ascii="Times New Roman" w:eastAsia="Times New Roman" w:hAnsi="Times New Roman" w:cs="Times New Roman"/>
                <w:sz w:val="20"/>
                <w:szCs w:val="20"/>
              </w:rPr>
            </w:pPr>
          </w:p>
        </w:tc>
      </w:tr>
      <w:tr w:rsidR="000A4E2D" w:rsidRPr="000A4E2D" w14:paraId="0DF9F60B" w14:textId="77777777" w:rsidTr="00382F53">
        <w:trPr>
          <w:trHeight w:val="20"/>
        </w:trPr>
        <w:tc>
          <w:tcPr>
            <w:tcW w:w="103" w:type="pct"/>
            <w:tcBorders>
              <w:top w:val="nil"/>
              <w:left w:val="single" w:sz="8" w:space="0" w:color="auto"/>
              <w:bottom w:val="single" w:sz="8" w:space="0" w:color="auto"/>
              <w:right w:val="nil"/>
            </w:tcBorders>
            <w:shd w:val="clear" w:color="auto" w:fill="auto"/>
            <w:vAlign w:val="center"/>
            <w:hideMark/>
          </w:tcPr>
          <w:p w14:paraId="245E79E1"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 </w:t>
            </w:r>
          </w:p>
        </w:tc>
        <w:tc>
          <w:tcPr>
            <w:tcW w:w="3917" w:type="pct"/>
            <w:tcBorders>
              <w:top w:val="nil"/>
              <w:left w:val="nil"/>
              <w:bottom w:val="single" w:sz="8" w:space="0" w:color="auto"/>
              <w:right w:val="single" w:sz="8" w:space="0" w:color="auto"/>
            </w:tcBorders>
            <w:shd w:val="clear" w:color="auto" w:fill="auto"/>
            <w:vAlign w:val="center"/>
            <w:hideMark/>
          </w:tcPr>
          <w:p w14:paraId="57767857"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IV. Balance Primario (IV = III + E)</w:t>
            </w:r>
          </w:p>
        </w:tc>
        <w:tc>
          <w:tcPr>
            <w:tcW w:w="899" w:type="pct"/>
            <w:tcBorders>
              <w:top w:val="nil"/>
              <w:left w:val="nil"/>
              <w:bottom w:val="single" w:sz="8" w:space="0" w:color="auto"/>
              <w:right w:val="single" w:sz="8" w:space="0" w:color="auto"/>
            </w:tcBorders>
            <w:shd w:val="clear" w:color="auto" w:fill="auto"/>
            <w:vAlign w:val="center"/>
            <w:hideMark/>
          </w:tcPr>
          <w:p w14:paraId="76F38602" w14:textId="77777777" w:rsidR="000A4E2D" w:rsidRPr="000A4E2D" w:rsidRDefault="000A4E2D" w:rsidP="00382F53">
            <w:pPr>
              <w:jc w:val="right"/>
              <w:rPr>
                <w:rFonts w:eastAsia="Times New Roman" w:cs="Arial"/>
                <w:b/>
                <w:bCs/>
                <w:sz w:val="18"/>
                <w:szCs w:val="18"/>
              </w:rPr>
            </w:pPr>
            <w:r w:rsidRPr="000A4E2D">
              <w:rPr>
                <w:rFonts w:eastAsia="Times New Roman" w:cs="Arial"/>
                <w:b/>
                <w:bCs/>
                <w:sz w:val="18"/>
                <w:szCs w:val="18"/>
              </w:rPr>
              <w:t>432,788,942</w:t>
            </w:r>
          </w:p>
        </w:tc>
        <w:tc>
          <w:tcPr>
            <w:tcW w:w="82" w:type="pct"/>
            <w:vAlign w:val="center"/>
            <w:hideMark/>
          </w:tcPr>
          <w:p w14:paraId="7768E3D9" w14:textId="77777777" w:rsidR="000A4E2D" w:rsidRPr="000A4E2D" w:rsidRDefault="000A4E2D" w:rsidP="000A4E2D">
            <w:pPr>
              <w:jc w:val="left"/>
              <w:rPr>
                <w:rFonts w:ascii="Times New Roman" w:eastAsia="Times New Roman" w:hAnsi="Times New Roman" w:cs="Times New Roman"/>
                <w:sz w:val="20"/>
                <w:szCs w:val="20"/>
              </w:rPr>
            </w:pPr>
          </w:p>
        </w:tc>
      </w:tr>
      <w:tr w:rsidR="000A4E2D" w:rsidRPr="000A4E2D" w14:paraId="6C7BB3BA" w14:textId="77777777" w:rsidTr="00382F53">
        <w:trPr>
          <w:trHeight w:val="20"/>
        </w:trPr>
        <w:tc>
          <w:tcPr>
            <w:tcW w:w="4019" w:type="pct"/>
            <w:gridSpan w:val="2"/>
            <w:vMerge w:val="restart"/>
            <w:tcBorders>
              <w:top w:val="single" w:sz="8" w:space="0" w:color="auto"/>
              <w:left w:val="single" w:sz="8" w:space="0" w:color="auto"/>
              <w:bottom w:val="single" w:sz="8" w:space="0" w:color="auto"/>
              <w:right w:val="single" w:sz="8" w:space="0" w:color="auto"/>
            </w:tcBorders>
            <w:shd w:val="clear" w:color="000000" w:fill="EDEDED"/>
            <w:noWrap/>
            <w:vAlign w:val="center"/>
            <w:hideMark/>
          </w:tcPr>
          <w:p w14:paraId="4960C15D" w14:textId="77777777" w:rsidR="000A4E2D" w:rsidRPr="000A4E2D" w:rsidRDefault="000A4E2D" w:rsidP="00382F53">
            <w:pPr>
              <w:jc w:val="center"/>
              <w:rPr>
                <w:rFonts w:eastAsia="Times New Roman" w:cs="Arial"/>
                <w:b/>
                <w:bCs/>
                <w:color w:val="000000"/>
                <w:sz w:val="18"/>
                <w:szCs w:val="18"/>
              </w:rPr>
            </w:pPr>
            <w:r w:rsidRPr="000A4E2D">
              <w:rPr>
                <w:rFonts w:eastAsia="Times New Roman" w:cs="Arial"/>
                <w:b/>
                <w:bCs/>
                <w:color w:val="000000"/>
                <w:sz w:val="18"/>
                <w:szCs w:val="18"/>
              </w:rPr>
              <w:t>Concepto (c)</w:t>
            </w:r>
          </w:p>
        </w:tc>
        <w:tc>
          <w:tcPr>
            <w:tcW w:w="899" w:type="pct"/>
            <w:vMerge w:val="restart"/>
            <w:tcBorders>
              <w:top w:val="nil"/>
              <w:left w:val="single" w:sz="8" w:space="0" w:color="auto"/>
              <w:bottom w:val="single" w:sz="8" w:space="0" w:color="auto"/>
              <w:right w:val="single" w:sz="8" w:space="0" w:color="auto"/>
            </w:tcBorders>
            <w:shd w:val="clear" w:color="000000" w:fill="EDEDED"/>
            <w:vAlign w:val="center"/>
            <w:hideMark/>
          </w:tcPr>
          <w:p w14:paraId="1FE6DD8F" w14:textId="77777777" w:rsidR="000A4E2D" w:rsidRPr="000A4E2D" w:rsidRDefault="000A4E2D" w:rsidP="00382F53">
            <w:pPr>
              <w:jc w:val="center"/>
              <w:rPr>
                <w:rFonts w:eastAsia="Times New Roman" w:cs="Arial"/>
                <w:b/>
                <w:bCs/>
                <w:color w:val="000000"/>
                <w:sz w:val="18"/>
                <w:szCs w:val="18"/>
              </w:rPr>
            </w:pPr>
            <w:r w:rsidRPr="000A4E2D">
              <w:rPr>
                <w:rFonts w:eastAsia="Times New Roman" w:cs="Arial"/>
                <w:b/>
                <w:bCs/>
                <w:color w:val="000000"/>
                <w:sz w:val="18"/>
                <w:szCs w:val="18"/>
              </w:rPr>
              <w:t>Estimado/ Aprobado</w:t>
            </w:r>
          </w:p>
        </w:tc>
        <w:tc>
          <w:tcPr>
            <w:tcW w:w="82" w:type="pct"/>
            <w:vAlign w:val="center"/>
            <w:hideMark/>
          </w:tcPr>
          <w:p w14:paraId="76CE8971" w14:textId="77777777" w:rsidR="000A4E2D" w:rsidRPr="000A4E2D" w:rsidRDefault="000A4E2D" w:rsidP="000A4E2D">
            <w:pPr>
              <w:jc w:val="left"/>
              <w:rPr>
                <w:rFonts w:ascii="Times New Roman" w:eastAsia="Times New Roman" w:hAnsi="Times New Roman" w:cs="Times New Roman"/>
                <w:sz w:val="20"/>
                <w:szCs w:val="20"/>
              </w:rPr>
            </w:pPr>
          </w:p>
        </w:tc>
      </w:tr>
      <w:tr w:rsidR="000A4E2D" w:rsidRPr="000A4E2D" w14:paraId="77592512" w14:textId="77777777" w:rsidTr="00382F53">
        <w:trPr>
          <w:trHeight w:val="20"/>
        </w:trPr>
        <w:tc>
          <w:tcPr>
            <w:tcW w:w="4019" w:type="pct"/>
            <w:gridSpan w:val="2"/>
            <w:vMerge/>
            <w:tcBorders>
              <w:top w:val="single" w:sz="8" w:space="0" w:color="auto"/>
              <w:left w:val="single" w:sz="8" w:space="0" w:color="auto"/>
              <w:bottom w:val="single" w:sz="8" w:space="0" w:color="auto"/>
              <w:right w:val="single" w:sz="8" w:space="0" w:color="auto"/>
            </w:tcBorders>
            <w:vAlign w:val="center"/>
            <w:hideMark/>
          </w:tcPr>
          <w:p w14:paraId="60AAD430" w14:textId="77777777" w:rsidR="000A4E2D" w:rsidRPr="000A4E2D" w:rsidRDefault="000A4E2D" w:rsidP="00382F53">
            <w:pPr>
              <w:jc w:val="left"/>
              <w:rPr>
                <w:rFonts w:eastAsia="Times New Roman" w:cs="Arial"/>
                <w:b/>
                <w:bCs/>
                <w:color w:val="000000"/>
                <w:sz w:val="18"/>
                <w:szCs w:val="18"/>
              </w:rPr>
            </w:pPr>
          </w:p>
        </w:tc>
        <w:tc>
          <w:tcPr>
            <w:tcW w:w="899" w:type="pct"/>
            <w:vMerge/>
            <w:tcBorders>
              <w:top w:val="nil"/>
              <w:left w:val="single" w:sz="8" w:space="0" w:color="auto"/>
              <w:bottom w:val="single" w:sz="8" w:space="0" w:color="auto"/>
              <w:right w:val="single" w:sz="8" w:space="0" w:color="auto"/>
            </w:tcBorders>
            <w:vAlign w:val="center"/>
            <w:hideMark/>
          </w:tcPr>
          <w:p w14:paraId="149B2BC1" w14:textId="77777777" w:rsidR="000A4E2D" w:rsidRPr="000A4E2D" w:rsidRDefault="000A4E2D" w:rsidP="00382F53">
            <w:pPr>
              <w:jc w:val="left"/>
              <w:rPr>
                <w:rFonts w:eastAsia="Times New Roman" w:cs="Arial"/>
                <w:b/>
                <w:bCs/>
                <w:color w:val="000000"/>
                <w:sz w:val="18"/>
                <w:szCs w:val="18"/>
              </w:rPr>
            </w:pPr>
          </w:p>
        </w:tc>
        <w:tc>
          <w:tcPr>
            <w:tcW w:w="82" w:type="pct"/>
            <w:tcBorders>
              <w:top w:val="nil"/>
              <w:left w:val="nil"/>
              <w:bottom w:val="nil"/>
              <w:right w:val="nil"/>
            </w:tcBorders>
            <w:shd w:val="clear" w:color="auto" w:fill="auto"/>
            <w:noWrap/>
            <w:vAlign w:val="bottom"/>
            <w:hideMark/>
          </w:tcPr>
          <w:p w14:paraId="1FEA3753" w14:textId="77777777" w:rsidR="000A4E2D" w:rsidRPr="000A4E2D" w:rsidRDefault="000A4E2D" w:rsidP="000A4E2D">
            <w:pPr>
              <w:jc w:val="center"/>
              <w:rPr>
                <w:rFonts w:eastAsia="Times New Roman" w:cs="Arial"/>
                <w:b/>
                <w:bCs/>
                <w:color w:val="000000"/>
                <w:sz w:val="18"/>
                <w:szCs w:val="18"/>
              </w:rPr>
            </w:pPr>
          </w:p>
        </w:tc>
      </w:tr>
      <w:tr w:rsidR="00DB0940" w:rsidRPr="000A4E2D" w14:paraId="52240602"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31F00D0A"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613108E1"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F. Financiamiento (F = F1 + F2)</w:t>
            </w:r>
          </w:p>
        </w:tc>
        <w:tc>
          <w:tcPr>
            <w:tcW w:w="899" w:type="pct"/>
            <w:tcBorders>
              <w:top w:val="nil"/>
              <w:left w:val="nil"/>
              <w:bottom w:val="single" w:sz="8" w:space="0" w:color="auto"/>
              <w:right w:val="single" w:sz="8" w:space="0" w:color="auto"/>
            </w:tcBorders>
            <w:shd w:val="clear" w:color="000000" w:fill="FFFFFF"/>
            <w:vAlign w:val="center"/>
            <w:hideMark/>
          </w:tcPr>
          <w:p w14:paraId="312E8E2F" w14:textId="77777777" w:rsidR="000A4E2D" w:rsidRPr="000A4E2D" w:rsidRDefault="000A4E2D" w:rsidP="00382F53">
            <w:pPr>
              <w:jc w:val="right"/>
              <w:rPr>
                <w:rFonts w:eastAsia="Times New Roman" w:cs="Arial"/>
                <w:b/>
                <w:bCs/>
                <w:color w:val="000000"/>
                <w:sz w:val="18"/>
                <w:szCs w:val="18"/>
              </w:rPr>
            </w:pPr>
            <w:r w:rsidRPr="000A4E2D">
              <w:rPr>
                <w:rFonts w:eastAsia="Times New Roman" w:cs="Arial"/>
                <w:b/>
                <w:bCs/>
                <w:color w:val="000000"/>
                <w:sz w:val="18"/>
                <w:szCs w:val="18"/>
              </w:rPr>
              <w:t>333,241,473</w:t>
            </w:r>
          </w:p>
        </w:tc>
        <w:tc>
          <w:tcPr>
            <w:tcW w:w="82" w:type="pct"/>
            <w:vAlign w:val="center"/>
            <w:hideMark/>
          </w:tcPr>
          <w:p w14:paraId="621170DF"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5A1E7446" w14:textId="77777777" w:rsidTr="00382F53">
        <w:trPr>
          <w:trHeight w:val="20"/>
        </w:trPr>
        <w:tc>
          <w:tcPr>
            <w:tcW w:w="103" w:type="pct"/>
            <w:tcBorders>
              <w:top w:val="nil"/>
              <w:left w:val="single" w:sz="8" w:space="0" w:color="auto"/>
              <w:bottom w:val="single" w:sz="8" w:space="0" w:color="auto"/>
              <w:right w:val="nil"/>
            </w:tcBorders>
            <w:shd w:val="clear" w:color="000000" w:fill="FFFFFF"/>
            <w:noWrap/>
            <w:vAlign w:val="center"/>
            <w:hideMark/>
          </w:tcPr>
          <w:p w14:paraId="4B076340"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757776FF" w14:textId="77777777" w:rsidR="000A4E2D" w:rsidRPr="000A4E2D" w:rsidRDefault="000A4E2D" w:rsidP="00382F53">
            <w:pPr>
              <w:ind w:firstLineChars="500" w:firstLine="900"/>
              <w:jc w:val="left"/>
              <w:rPr>
                <w:rFonts w:eastAsia="Times New Roman" w:cs="Arial"/>
                <w:color w:val="000000"/>
                <w:sz w:val="18"/>
                <w:szCs w:val="18"/>
              </w:rPr>
            </w:pPr>
            <w:r w:rsidRPr="000A4E2D">
              <w:rPr>
                <w:rFonts w:eastAsia="Times New Roman" w:cs="Arial"/>
                <w:color w:val="000000"/>
                <w:sz w:val="18"/>
                <w:szCs w:val="18"/>
              </w:rPr>
              <w:t>F1. Financiamiento con Fuente de Pago de Ingresos de Libre Disposición</w:t>
            </w:r>
          </w:p>
        </w:tc>
        <w:tc>
          <w:tcPr>
            <w:tcW w:w="899" w:type="pct"/>
            <w:tcBorders>
              <w:top w:val="nil"/>
              <w:left w:val="nil"/>
              <w:bottom w:val="single" w:sz="8" w:space="0" w:color="auto"/>
              <w:right w:val="single" w:sz="8" w:space="0" w:color="auto"/>
            </w:tcBorders>
            <w:shd w:val="clear" w:color="000000" w:fill="FFFFFF"/>
            <w:vAlign w:val="center"/>
            <w:hideMark/>
          </w:tcPr>
          <w:p w14:paraId="031D124C" w14:textId="77777777" w:rsidR="000A4E2D" w:rsidRPr="000A4E2D" w:rsidRDefault="000A4E2D" w:rsidP="00382F53">
            <w:pPr>
              <w:jc w:val="right"/>
              <w:rPr>
                <w:rFonts w:eastAsia="Times New Roman" w:cs="Arial"/>
                <w:color w:val="000000"/>
                <w:sz w:val="18"/>
                <w:szCs w:val="18"/>
              </w:rPr>
            </w:pPr>
            <w:r w:rsidRPr="000A4E2D">
              <w:rPr>
                <w:rFonts w:eastAsia="Times New Roman" w:cs="Arial"/>
                <w:color w:val="000000"/>
                <w:sz w:val="18"/>
                <w:szCs w:val="18"/>
              </w:rPr>
              <w:t>333,241,473</w:t>
            </w:r>
          </w:p>
        </w:tc>
        <w:tc>
          <w:tcPr>
            <w:tcW w:w="82" w:type="pct"/>
            <w:vAlign w:val="center"/>
            <w:hideMark/>
          </w:tcPr>
          <w:p w14:paraId="0D539241"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1312922D" w14:textId="77777777" w:rsidTr="00382F53">
        <w:trPr>
          <w:trHeight w:val="20"/>
        </w:trPr>
        <w:tc>
          <w:tcPr>
            <w:tcW w:w="103" w:type="pct"/>
            <w:tcBorders>
              <w:top w:val="nil"/>
              <w:left w:val="single" w:sz="8" w:space="0" w:color="auto"/>
              <w:bottom w:val="single" w:sz="8" w:space="0" w:color="auto"/>
              <w:right w:val="nil"/>
            </w:tcBorders>
            <w:shd w:val="clear" w:color="000000" w:fill="FFFFFF"/>
            <w:noWrap/>
            <w:vAlign w:val="center"/>
            <w:hideMark/>
          </w:tcPr>
          <w:p w14:paraId="5D5F75CA"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3236A52B" w14:textId="77777777" w:rsidR="000A4E2D" w:rsidRPr="000A4E2D" w:rsidRDefault="000A4E2D" w:rsidP="00382F53">
            <w:pPr>
              <w:ind w:firstLineChars="500" w:firstLine="900"/>
              <w:jc w:val="left"/>
              <w:rPr>
                <w:rFonts w:eastAsia="Times New Roman" w:cs="Arial"/>
                <w:color w:val="000000"/>
                <w:sz w:val="18"/>
                <w:szCs w:val="18"/>
              </w:rPr>
            </w:pPr>
            <w:r w:rsidRPr="000A4E2D">
              <w:rPr>
                <w:rFonts w:eastAsia="Times New Roman" w:cs="Arial"/>
                <w:color w:val="000000"/>
                <w:sz w:val="18"/>
                <w:szCs w:val="18"/>
              </w:rPr>
              <w:t>F2. Financiamiento con Fuente de Pago de Transferencias Federales Etiquetadas</w:t>
            </w:r>
          </w:p>
        </w:tc>
        <w:tc>
          <w:tcPr>
            <w:tcW w:w="899" w:type="pct"/>
            <w:tcBorders>
              <w:top w:val="nil"/>
              <w:left w:val="nil"/>
              <w:bottom w:val="single" w:sz="8" w:space="0" w:color="auto"/>
              <w:right w:val="single" w:sz="8" w:space="0" w:color="auto"/>
            </w:tcBorders>
            <w:shd w:val="clear" w:color="000000" w:fill="FFFFFF"/>
            <w:vAlign w:val="center"/>
            <w:hideMark/>
          </w:tcPr>
          <w:p w14:paraId="756B33D7" w14:textId="77777777" w:rsidR="000A4E2D" w:rsidRPr="000A4E2D" w:rsidRDefault="000A4E2D" w:rsidP="00382F53">
            <w:pPr>
              <w:jc w:val="right"/>
              <w:rPr>
                <w:rFonts w:eastAsia="Times New Roman" w:cs="Arial"/>
                <w:color w:val="000000"/>
                <w:sz w:val="18"/>
                <w:szCs w:val="18"/>
              </w:rPr>
            </w:pPr>
            <w:r w:rsidRPr="000A4E2D">
              <w:rPr>
                <w:rFonts w:eastAsia="Times New Roman" w:cs="Arial"/>
                <w:color w:val="000000"/>
                <w:sz w:val="18"/>
                <w:szCs w:val="18"/>
              </w:rPr>
              <w:t>0</w:t>
            </w:r>
          </w:p>
        </w:tc>
        <w:tc>
          <w:tcPr>
            <w:tcW w:w="82" w:type="pct"/>
            <w:vAlign w:val="center"/>
            <w:hideMark/>
          </w:tcPr>
          <w:p w14:paraId="2CB0BB6A"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44C021D6"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4A7E7275"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6FF9CF7D"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G. Amortización de la Deuda (G = G1 + G2)</w:t>
            </w:r>
          </w:p>
        </w:tc>
        <w:tc>
          <w:tcPr>
            <w:tcW w:w="899" w:type="pct"/>
            <w:tcBorders>
              <w:top w:val="nil"/>
              <w:left w:val="nil"/>
              <w:bottom w:val="single" w:sz="8" w:space="0" w:color="auto"/>
              <w:right w:val="single" w:sz="8" w:space="0" w:color="auto"/>
            </w:tcBorders>
            <w:shd w:val="clear" w:color="000000" w:fill="FFFFFF"/>
            <w:vAlign w:val="center"/>
            <w:hideMark/>
          </w:tcPr>
          <w:p w14:paraId="5D99D835" w14:textId="77777777" w:rsidR="000A4E2D" w:rsidRPr="000A4E2D" w:rsidRDefault="000A4E2D" w:rsidP="00382F53">
            <w:pPr>
              <w:jc w:val="right"/>
              <w:rPr>
                <w:rFonts w:eastAsia="Times New Roman" w:cs="Arial"/>
                <w:b/>
                <w:bCs/>
                <w:color w:val="000000"/>
                <w:sz w:val="18"/>
                <w:szCs w:val="18"/>
              </w:rPr>
            </w:pPr>
            <w:r w:rsidRPr="000A4E2D">
              <w:rPr>
                <w:rFonts w:eastAsia="Times New Roman" w:cs="Arial"/>
                <w:b/>
                <w:bCs/>
                <w:color w:val="000000"/>
                <w:sz w:val="18"/>
                <w:szCs w:val="18"/>
              </w:rPr>
              <w:t>322,774,280</w:t>
            </w:r>
          </w:p>
        </w:tc>
        <w:tc>
          <w:tcPr>
            <w:tcW w:w="82" w:type="pct"/>
            <w:vAlign w:val="center"/>
            <w:hideMark/>
          </w:tcPr>
          <w:p w14:paraId="7208555F"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5DA5EA03"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19DEE031"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164B7C4A" w14:textId="77777777" w:rsidR="000A4E2D" w:rsidRPr="000A4E2D" w:rsidRDefault="000A4E2D" w:rsidP="00382F53">
            <w:pPr>
              <w:ind w:firstLineChars="500" w:firstLine="900"/>
              <w:jc w:val="left"/>
              <w:rPr>
                <w:rFonts w:eastAsia="Times New Roman" w:cs="Arial"/>
                <w:color w:val="000000"/>
                <w:sz w:val="18"/>
                <w:szCs w:val="18"/>
              </w:rPr>
            </w:pPr>
            <w:r w:rsidRPr="000A4E2D">
              <w:rPr>
                <w:rFonts w:eastAsia="Times New Roman" w:cs="Arial"/>
                <w:color w:val="000000"/>
                <w:sz w:val="18"/>
                <w:szCs w:val="18"/>
              </w:rPr>
              <w:t>G1. Amortización de la Deuda Pública con Gasto No Etiquetado</w:t>
            </w:r>
          </w:p>
        </w:tc>
        <w:tc>
          <w:tcPr>
            <w:tcW w:w="899" w:type="pct"/>
            <w:tcBorders>
              <w:top w:val="nil"/>
              <w:left w:val="nil"/>
              <w:bottom w:val="single" w:sz="8" w:space="0" w:color="auto"/>
              <w:right w:val="single" w:sz="8" w:space="0" w:color="auto"/>
            </w:tcBorders>
            <w:shd w:val="clear" w:color="000000" w:fill="FFFFFF"/>
            <w:vAlign w:val="center"/>
            <w:hideMark/>
          </w:tcPr>
          <w:p w14:paraId="68EBD71B" w14:textId="77777777" w:rsidR="000A4E2D" w:rsidRPr="000A4E2D" w:rsidRDefault="000A4E2D" w:rsidP="00382F53">
            <w:pPr>
              <w:jc w:val="right"/>
              <w:rPr>
                <w:rFonts w:eastAsia="Times New Roman" w:cs="Arial"/>
                <w:color w:val="000000"/>
                <w:sz w:val="18"/>
                <w:szCs w:val="18"/>
              </w:rPr>
            </w:pPr>
            <w:r w:rsidRPr="000A4E2D">
              <w:rPr>
                <w:rFonts w:eastAsia="Times New Roman" w:cs="Arial"/>
                <w:color w:val="000000"/>
                <w:sz w:val="18"/>
                <w:szCs w:val="18"/>
              </w:rPr>
              <w:t>250,000,000</w:t>
            </w:r>
          </w:p>
        </w:tc>
        <w:tc>
          <w:tcPr>
            <w:tcW w:w="82" w:type="pct"/>
            <w:vAlign w:val="center"/>
            <w:hideMark/>
          </w:tcPr>
          <w:p w14:paraId="3AA817CD"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150BE830"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410F6D6D"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07E5BD80" w14:textId="77777777" w:rsidR="000A4E2D" w:rsidRPr="000A4E2D" w:rsidRDefault="000A4E2D" w:rsidP="00382F53">
            <w:pPr>
              <w:ind w:firstLineChars="500" w:firstLine="900"/>
              <w:jc w:val="left"/>
              <w:rPr>
                <w:rFonts w:eastAsia="Times New Roman" w:cs="Arial"/>
                <w:color w:val="000000"/>
                <w:sz w:val="18"/>
                <w:szCs w:val="18"/>
              </w:rPr>
            </w:pPr>
            <w:r w:rsidRPr="000A4E2D">
              <w:rPr>
                <w:rFonts w:eastAsia="Times New Roman" w:cs="Arial"/>
                <w:color w:val="000000"/>
                <w:sz w:val="18"/>
                <w:szCs w:val="18"/>
              </w:rPr>
              <w:t>G2. Amortización de la Deuda Pública con Gasto Etiquetado</w:t>
            </w:r>
          </w:p>
        </w:tc>
        <w:tc>
          <w:tcPr>
            <w:tcW w:w="899" w:type="pct"/>
            <w:tcBorders>
              <w:top w:val="nil"/>
              <w:left w:val="nil"/>
              <w:bottom w:val="single" w:sz="8" w:space="0" w:color="auto"/>
              <w:right w:val="single" w:sz="8" w:space="0" w:color="auto"/>
            </w:tcBorders>
            <w:shd w:val="clear" w:color="000000" w:fill="FFFFFF"/>
            <w:vAlign w:val="center"/>
            <w:hideMark/>
          </w:tcPr>
          <w:p w14:paraId="13A3953E" w14:textId="77777777" w:rsidR="000A4E2D" w:rsidRPr="000A4E2D" w:rsidRDefault="000A4E2D" w:rsidP="00382F53">
            <w:pPr>
              <w:jc w:val="right"/>
              <w:rPr>
                <w:rFonts w:eastAsia="Times New Roman" w:cs="Arial"/>
                <w:color w:val="000000"/>
                <w:sz w:val="18"/>
                <w:szCs w:val="18"/>
              </w:rPr>
            </w:pPr>
            <w:r w:rsidRPr="000A4E2D">
              <w:rPr>
                <w:rFonts w:eastAsia="Times New Roman" w:cs="Arial"/>
                <w:color w:val="000000"/>
                <w:sz w:val="18"/>
                <w:szCs w:val="18"/>
              </w:rPr>
              <w:t>72,774,280</w:t>
            </w:r>
          </w:p>
        </w:tc>
        <w:tc>
          <w:tcPr>
            <w:tcW w:w="82" w:type="pct"/>
            <w:vAlign w:val="center"/>
            <w:hideMark/>
          </w:tcPr>
          <w:p w14:paraId="05A138C7"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20A14462"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04D72E44"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4E169C5A"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 xml:space="preserve">A3. Financiamiento Neto (A3 = F – </w:t>
            </w:r>
            <w:proofErr w:type="gramStart"/>
            <w:r w:rsidRPr="000A4E2D">
              <w:rPr>
                <w:rFonts w:eastAsia="Times New Roman" w:cs="Arial"/>
                <w:b/>
                <w:bCs/>
                <w:color w:val="000000"/>
                <w:sz w:val="18"/>
                <w:szCs w:val="18"/>
              </w:rPr>
              <w:t>G )</w:t>
            </w:r>
            <w:proofErr w:type="gramEnd"/>
          </w:p>
        </w:tc>
        <w:tc>
          <w:tcPr>
            <w:tcW w:w="899" w:type="pct"/>
            <w:tcBorders>
              <w:top w:val="nil"/>
              <w:left w:val="nil"/>
              <w:bottom w:val="single" w:sz="8" w:space="0" w:color="auto"/>
              <w:right w:val="single" w:sz="8" w:space="0" w:color="auto"/>
            </w:tcBorders>
            <w:shd w:val="clear" w:color="000000" w:fill="FFFFFF"/>
            <w:vAlign w:val="center"/>
            <w:hideMark/>
          </w:tcPr>
          <w:p w14:paraId="547904A2" w14:textId="77777777" w:rsidR="000A4E2D" w:rsidRPr="000A4E2D" w:rsidRDefault="000A4E2D" w:rsidP="00382F53">
            <w:pPr>
              <w:jc w:val="right"/>
              <w:rPr>
                <w:rFonts w:eastAsia="Times New Roman" w:cs="Arial"/>
                <w:b/>
                <w:bCs/>
                <w:color w:val="000000"/>
                <w:sz w:val="18"/>
                <w:szCs w:val="18"/>
              </w:rPr>
            </w:pPr>
            <w:r w:rsidRPr="000A4E2D">
              <w:rPr>
                <w:rFonts w:eastAsia="Times New Roman" w:cs="Arial"/>
                <w:b/>
                <w:bCs/>
                <w:color w:val="000000"/>
                <w:sz w:val="18"/>
                <w:szCs w:val="18"/>
              </w:rPr>
              <w:t>10,467,193</w:t>
            </w:r>
          </w:p>
        </w:tc>
        <w:tc>
          <w:tcPr>
            <w:tcW w:w="82" w:type="pct"/>
            <w:vAlign w:val="center"/>
            <w:hideMark/>
          </w:tcPr>
          <w:p w14:paraId="41B38FD2" w14:textId="77777777" w:rsidR="000A4E2D" w:rsidRPr="000A4E2D" w:rsidRDefault="000A4E2D" w:rsidP="000A4E2D">
            <w:pPr>
              <w:jc w:val="left"/>
              <w:rPr>
                <w:rFonts w:ascii="Times New Roman" w:eastAsia="Times New Roman" w:hAnsi="Times New Roman" w:cs="Times New Roman"/>
                <w:sz w:val="20"/>
                <w:szCs w:val="20"/>
              </w:rPr>
            </w:pPr>
          </w:p>
        </w:tc>
      </w:tr>
      <w:tr w:rsidR="000A4E2D" w:rsidRPr="000A4E2D" w14:paraId="31259C1A" w14:textId="77777777" w:rsidTr="00382F53">
        <w:trPr>
          <w:trHeight w:val="20"/>
        </w:trPr>
        <w:tc>
          <w:tcPr>
            <w:tcW w:w="4019" w:type="pct"/>
            <w:gridSpan w:val="2"/>
            <w:vMerge w:val="restart"/>
            <w:tcBorders>
              <w:top w:val="single" w:sz="8" w:space="0" w:color="auto"/>
              <w:left w:val="single" w:sz="8" w:space="0" w:color="auto"/>
              <w:bottom w:val="single" w:sz="8" w:space="0" w:color="auto"/>
              <w:right w:val="single" w:sz="8" w:space="0" w:color="auto"/>
            </w:tcBorders>
            <w:shd w:val="clear" w:color="000000" w:fill="EDEDED"/>
            <w:noWrap/>
            <w:vAlign w:val="center"/>
            <w:hideMark/>
          </w:tcPr>
          <w:p w14:paraId="65C915F4" w14:textId="77777777" w:rsidR="000A4E2D" w:rsidRPr="000A4E2D" w:rsidRDefault="000A4E2D" w:rsidP="00382F53">
            <w:pPr>
              <w:jc w:val="center"/>
              <w:rPr>
                <w:rFonts w:eastAsia="Times New Roman" w:cs="Arial"/>
                <w:b/>
                <w:bCs/>
                <w:color w:val="000000"/>
                <w:sz w:val="18"/>
                <w:szCs w:val="18"/>
              </w:rPr>
            </w:pPr>
            <w:r w:rsidRPr="000A4E2D">
              <w:rPr>
                <w:rFonts w:eastAsia="Times New Roman" w:cs="Arial"/>
                <w:b/>
                <w:bCs/>
                <w:color w:val="000000"/>
                <w:sz w:val="18"/>
                <w:szCs w:val="18"/>
              </w:rPr>
              <w:t>Concepto (c)</w:t>
            </w:r>
          </w:p>
        </w:tc>
        <w:tc>
          <w:tcPr>
            <w:tcW w:w="899" w:type="pct"/>
            <w:vMerge w:val="restart"/>
            <w:tcBorders>
              <w:top w:val="nil"/>
              <w:left w:val="single" w:sz="8" w:space="0" w:color="auto"/>
              <w:bottom w:val="single" w:sz="8" w:space="0" w:color="auto"/>
              <w:right w:val="single" w:sz="8" w:space="0" w:color="auto"/>
            </w:tcBorders>
            <w:shd w:val="clear" w:color="000000" w:fill="EDEDED"/>
            <w:noWrap/>
            <w:vAlign w:val="center"/>
            <w:hideMark/>
          </w:tcPr>
          <w:p w14:paraId="6E5C0DE0" w14:textId="77777777" w:rsidR="000A4E2D" w:rsidRPr="000A4E2D" w:rsidRDefault="000A4E2D" w:rsidP="00382F53">
            <w:pPr>
              <w:jc w:val="center"/>
              <w:rPr>
                <w:rFonts w:eastAsia="Times New Roman" w:cs="Arial"/>
                <w:b/>
                <w:bCs/>
                <w:color w:val="000000"/>
                <w:sz w:val="18"/>
                <w:szCs w:val="18"/>
              </w:rPr>
            </w:pPr>
            <w:r w:rsidRPr="000A4E2D">
              <w:rPr>
                <w:rFonts w:eastAsia="Times New Roman" w:cs="Arial"/>
                <w:b/>
                <w:bCs/>
                <w:color w:val="000000"/>
                <w:sz w:val="18"/>
                <w:szCs w:val="18"/>
              </w:rPr>
              <w:t>Estimado/ Aprobado</w:t>
            </w:r>
          </w:p>
        </w:tc>
        <w:tc>
          <w:tcPr>
            <w:tcW w:w="82" w:type="pct"/>
            <w:vAlign w:val="center"/>
            <w:hideMark/>
          </w:tcPr>
          <w:p w14:paraId="5C8D3B37" w14:textId="77777777" w:rsidR="000A4E2D" w:rsidRPr="000A4E2D" w:rsidRDefault="000A4E2D" w:rsidP="000A4E2D">
            <w:pPr>
              <w:jc w:val="left"/>
              <w:rPr>
                <w:rFonts w:ascii="Times New Roman" w:eastAsia="Times New Roman" w:hAnsi="Times New Roman" w:cs="Times New Roman"/>
                <w:sz w:val="20"/>
                <w:szCs w:val="20"/>
              </w:rPr>
            </w:pPr>
          </w:p>
        </w:tc>
      </w:tr>
      <w:tr w:rsidR="000A4E2D" w:rsidRPr="000A4E2D" w14:paraId="26E4CAF1" w14:textId="77777777" w:rsidTr="00382F53">
        <w:trPr>
          <w:trHeight w:val="20"/>
        </w:trPr>
        <w:tc>
          <w:tcPr>
            <w:tcW w:w="4019" w:type="pct"/>
            <w:gridSpan w:val="2"/>
            <w:vMerge/>
            <w:tcBorders>
              <w:top w:val="single" w:sz="8" w:space="0" w:color="auto"/>
              <w:left w:val="single" w:sz="8" w:space="0" w:color="auto"/>
              <w:bottom w:val="single" w:sz="8" w:space="0" w:color="auto"/>
              <w:right w:val="single" w:sz="8" w:space="0" w:color="auto"/>
            </w:tcBorders>
            <w:vAlign w:val="center"/>
            <w:hideMark/>
          </w:tcPr>
          <w:p w14:paraId="0AE2533C" w14:textId="77777777" w:rsidR="000A4E2D" w:rsidRPr="000A4E2D" w:rsidRDefault="000A4E2D" w:rsidP="00382F53">
            <w:pPr>
              <w:jc w:val="left"/>
              <w:rPr>
                <w:rFonts w:eastAsia="Times New Roman" w:cs="Arial"/>
                <w:b/>
                <w:bCs/>
                <w:color w:val="000000"/>
                <w:sz w:val="18"/>
                <w:szCs w:val="18"/>
              </w:rPr>
            </w:pPr>
          </w:p>
        </w:tc>
        <w:tc>
          <w:tcPr>
            <w:tcW w:w="899" w:type="pct"/>
            <w:vMerge/>
            <w:tcBorders>
              <w:top w:val="nil"/>
              <w:left w:val="single" w:sz="8" w:space="0" w:color="auto"/>
              <w:bottom w:val="single" w:sz="8" w:space="0" w:color="auto"/>
              <w:right w:val="single" w:sz="8" w:space="0" w:color="auto"/>
            </w:tcBorders>
            <w:vAlign w:val="center"/>
            <w:hideMark/>
          </w:tcPr>
          <w:p w14:paraId="279FEAB5" w14:textId="77777777" w:rsidR="000A4E2D" w:rsidRPr="000A4E2D" w:rsidRDefault="000A4E2D" w:rsidP="00382F53">
            <w:pPr>
              <w:jc w:val="left"/>
              <w:rPr>
                <w:rFonts w:eastAsia="Times New Roman" w:cs="Arial"/>
                <w:b/>
                <w:bCs/>
                <w:color w:val="000000"/>
                <w:sz w:val="18"/>
                <w:szCs w:val="18"/>
              </w:rPr>
            </w:pPr>
          </w:p>
        </w:tc>
        <w:tc>
          <w:tcPr>
            <w:tcW w:w="82" w:type="pct"/>
            <w:tcBorders>
              <w:top w:val="nil"/>
              <w:left w:val="nil"/>
              <w:bottom w:val="nil"/>
              <w:right w:val="nil"/>
            </w:tcBorders>
            <w:shd w:val="clear" w:color="auto" w:fill="auto"/>
            <w:noWrap/>
            <w:vAlign w:val="bottom"/>
            <w:hideMark/>
          </w:tcPr>
          <w:p w14:paraId="3CFBE74A" w14:textId="77777777" w:rsidR="000A4E2D" w:rsidRPr="000A4E2D" w:rsidRDefault="000A4E2D" w:rsidP="000A4E2D">
            <w:pPr>
              <w:jc w:val="center"/>
              <w:rPr>
                <w:rFonts w:eastAsia="Times New Roman" w:cs="Arial"/>
                <w:b/>
                <w:bCs/>
                <w:color w:val="000000"/>
                <w:sz w:val="18"/>
                <w:szCs w:val="18"/>
              </w:rPr>
            </w:pPr>
          </w:p>
        </w:tc>
      </w:tr>
      <w:tr w:rsidR="000A4E2D" w:rsidRPr="000A4E2D" w14:paraId="67DAB03B" w14:textId="77777777" w:rsidTr="00382F53">
        <w:trPr>
          <w:trHeight w:val="20"/>
        </w:trPr>
        <w:tc>
          <w:tcPr>
            <w:tcW w:w="103" w:type="pct"/>
            <w:tcBorders>
              <w:top w:val="nil"/>
              <w:left w:val="single" w:sz="8" w:space="0" w:color="auto"/>
              <w:bottom w:val="single" w:sz="8" w:space="0" w:color="auto"/>
              <w:right w:val="nil"/>
            </w:tcBorders>
            <w:shd w:val="clear" w:color="000000" w:fill="FFFFFF"/>
            <w:noWrap/>
            <w:vAlign w:val="center"/>
            <w:hideMark/>
          </w:tcPr>
          <w:p w14:paraId="324A36D9"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noWrap/>
            <w:vAlign w:val="center"/>
            <w:hideMark/>
          </w:tcPr>
          <w:p w14:paraId="6426FE9E" w14:textId="77777777" w:rsidR="000A4E2D" w:rsidRPr="000A4E2D" w:rsidRDefault="000A4E2D" w:rsidP="00382F53">
            <w:pPr>
              <w:ind w:firstLineChars="100" w:firstLine="181"/>
              <w:jc w:val="left"/>
              <w:rPr>
                <w:rFonts w:eastAsia="Times New Roman" w:cs="Arial"/>
                <w:b/>
                <w:bCs/>
                <w:color w:val="000000"/>
                <w:sz w:val="18"/>
                <w:szCs w:val="18"/>
              </w:rPr>
            </w:pPr>
            <w:r w:rsidRPr="000A4E2D">
              <w:rPr>
                <w:rFonts w:eastAsia="Times New Roman" w:cs="Arial"/>
                <w:b/>
                <w:bCs/>
                <w:color w:val="000000"/>
                <w:sz w:val="18"/>
                <w:szCs w:val="18"/>
              </w:rPr>
              <w:t xml:space="preserve">A1. Ingresos de Libre Disposición </w:t>
            </w:r>
          </w:p>
        </w:tc>
        <w:tc>
          <w:tcPr>
            <w:tcW w:w="899" w:type="pct"/>
            <w:tcBorders>
              <w:top w:val="nil"/>
              <w:left w:val="nil"/>
              <w:bottom w:val="single" w:sz="8" w:space="0" w:color="auto"/>
              <w:right w:val="single" w:sz="8" w:space="0" w:color="auto"/>
            </w:tcBorders>
            <w:shd w:val="clear" w:color="000000" w:fill="FFFFFF"/>
            <w:noWrap/>
            <w:vAlign w:val="center"/>
            <w:hideMark/>
          </w:tcPr>
          <w:p w14:paraId="4702E0CB" w14:textId="77777777" w:rsidR="000A4E2D" w:rsidRPr="000A4E2D" w:rsidRDefault="000A4E2D" w:rsidP="00382F53">
            <w:pPr>
              <w:jc w:val="right"/>
              <w:rPr>
                <w:rFonts w:eastAsia="Times New Roman" w:cs="Arial"/>
                <w:b/>
                <w:bCs/>
                <w:color w:val="000000"/>
                <w:sz w:val="18"/>
                <w:szCs w:val="18"/>
              </w:rPr>
            </w:pPr>
            <w:r w:rsidRPr="000A4E2D">
              <w:rPr>
                <w:rFonts w:eastAsia="Times New Roman" w:cs="Arial"/>
                <w:b/>
                <w:bCs/>
                <w:color w:val="000000"/>
                <w:sz w:val="18"/>
                <w:szCs w:val="18"/>
              </w:rPr>
              <w:t>10,661,115,845</w:t>
            </w:r>
          </w:p>
        </w:tc>
        <w:tc>
          <w:tcPr>
            <w:tcW w:w="82" w:type="pct"/>
            <w:vAlign w:val="center"/>
            <w:hideMark/>
          </w:tcPr>
          <w:p w14:paraId="5476AD14" w14:textId="77777777" w:rsidR="000A4E2D" w:rsidRPr="000A4E2D" w:rsidRDefault="000A4E2D" w:rsidP="000A4E2D">
            <w:pPr>
              <w:jc w:val="left"/>
              <w:rPr>
                <w:rFonts w:ascii="Times New Roman" w:eastAsia="Times New Roman" w:hAnsi="Times New Roman" w:cs="Times New Roman"/>
                <w:sz w:val="20"/>
                <w:szCs w:val="20"/>
              </w:rPr>
            </w:pPr>
          </w:p>
        </w:tc>
      </w:tr>
      <w:tr w:rsidR="000A4E2D" w:rsidRPr="000A4E2D" w14:paraId="74FF0348"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4BA7AAB7"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noWrap/>
            <w:vAlign w:val="center"/>
            <w:hideMark/>
          </w:tcPr>
          <w:p w14:paraId="7A4CFBCE" w14:textId="77777777" w:rsidR="000A4E2D" w:rsidRPr="000A4E2D" w:rsidRDefault="000A4E2D" w:rsidP="00382F53">
            <w:pPr>
              <w:rPr>
                <w:rFonts w:eastAsia="Times New Roman" w:cs="Arial"/>
                <w:b/>
                <w:bCs/>
                <w:color w:val="000000"/>
                <w:sz w:val="18"/>
                <w:szCs w:val="18"/>
              </w:rPr>
            </w:pPr>
            <w:r w:rsidRPr="000A4E2D">
              <w:rPr>
                <w:rFonts w:eastAsia="Times New Roman" w:cs="Arial"/>
                <w:b/>
                <w:bCs/>
                <w:color w:val="000000"/>
                <w:sz w:val="18"/>
                <w:szCs w:val="18"/>
              </w:rPr>
              <w:t>A3.1 Financiamiento Neto con Fuente de Pago de Ingresos de Libre Disposición (A3.1 = F1 – G1)</w:t>
            </w:r>
          </w:p>
        </w:tc>
        <w:tc>
          <w:tcPr>
            <w:tcW w:w="899" w:type="pct"/>
            <w:tcBorders>
              <w:top w:val="nil"/>
              <w:left w:val="nil"/>
              <w:bottom w:val="single" w:sz="8" w:space="0" w:color="auto"/>
              <w:right w:val="single" w:sz="8" w:space="0" w:color="auto"/>
            </w:tcBorders>
            <w:shd w:val="clear" w:color="000000" w:fill="FFFFFF"/>
            <w:noWrap/>
            <w:vAlign w:val="center"/>
            <w:hideMark/>
          </w:tcPr>
          <w:p w14:paraId="7664F90E" w14:textId="77777777" w:rsidR="000A4E2D" w:rsidRPr="000A4E2D" w:rsidRDefault="000A4E2D" w:rsidP="00382F53">
            <w:pPr>
              <w:jc w:val="right"/>
              <w:rPr>
                <w:rFonts w:eastAsia="Times New Roman" w:cs="Arial"/>
                <w:b/>
                <w:bCs/>
                <w:color w:val="000000"/>
                <w:sz w:val="18"/>
                <w:szCs w:val="18"/>
              </w:rPr>
            </w:pPr>
            <w:r w:rsidRPr="000A4E2D">
              <w:rPr>
                <w:rFonts w:eastAsia="Times New Roman" w:cs="Arial"/>
                <w:b/>
                <w:bCs/>
                <w:color w:val="000000"/>
                <w:sz w:val="18"/>
                <w:szCs w:val="18"/>
              </w:rPr>
              <w:t>83,241,473</w:t>
            </w:r>
          </w:p>
        </w:tc>
        <w:tc>
          <w:tcPr>
            <w:tcW w:w="82" w:type="pct"/>
            <w:vAlign w:val="center"/>
            <w:hideMark/>
          </w:tcPr>
          <w:p w14:paraId="1AB38B98" w14:textId="77777777" w:rsidR="000A4E2D" w:rsidRPr="000A4E2D" w:rsidRDefault="000A4E2D" w:rsidP="000A4E2D">
            <w:pPr>
              <w:jc w:val="left"/>
              <w:rPr>
                <w:rFonts w:ascii="Times New Roman" w:eastAsia="Times New Roman" w:hAnsi="Times New Roman" w:cs="Times New Roman"/>
                <w:sz w:val="20"/>
                <w:szCs w:val="20"/>
              </w:rPr>
            </w:pPr>
          </w:p>
        </w:tc>
      </w:tr>
      <w:tr w:rsidR="000A4E2D" w:rsidRPr="000A4E2D" w14:paraId="7DC4551C"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762DE2C7"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5961F5C9" w14:textId="77777777" w:rsidR="000A4E2D" w:rsidRPr="000A4E2D" w:rsidRDefault="000A4E2D" w:rsidP="00382F53">
            <w:pPr>
              <w:ind w:firstLineChars="500" w:firstLine="900"/>
              <w:jc w:val="left"/>
              <w:rPr>
                <w:rFonts w:eastAsia="Times New Roman" w:cs="Arial"/>
                <w:color w:val="000000"/>
                <w:sz w:val="18"/>
                <w:szCs w:val="18"/>
              </w:rPr>
            </w:pPr>
            <w:r w:rsidRPr="000A4E2D">
              <w:rPr>
                <w:rFonts w:eastAsia="Times New Roman" w:cs="Arial"/>
                <w:color w:val="000000"/>
                <w:sz w:val="18"/>
                <w:szCs w:val="18"/>
              </w:rPr>
              <w:t>F1. Financiamiento con Fuente de Pago de Ingresos de Libre Disposición</w:t>
            </w:r>
          </w:p>
        </w:tc>
        <w:tc>
          <w:tcPr>
            <w:tcW w:w="899" w:type="pct"/>
            <w:tcBorders>
              <w:top w:val="nil"/>
              <w:left w:val="nil"/>
              <w:bottom w:val="single" w:sz="8" w:space="0" w:color="auto"/>
              <w:right w:val="single" w:sz="8" w:space="0" w:color="auto"/>
            </w:tcBorders>
            <w:shd w:val="clear" w:color="000000" w:fill="FFFFFF"/>
            <w:noWrap/>
            <w:vAlign w:val="center"/>
            <w:hideMark/>
          </w:tcPr>
          <w:p w14:paraId="1E1F05D9" w14:textId="77777777" w:rsidR="000A4E2D" w:rsidRPr="000A4E2D" w:rsidRDefault="000A4E2D" w:rsidP="00382F53">
            <w:pPr>
              <w:jc w:val="right"/>
              <w:rPr>
                <w:rFonts w:eastAsia="Times New Roman" w:cs="Arial"/>
                <w:color w:val="000000"/>
                <w:sz w:val="18"/>
                <w:szCs w:val="18"/>
              </w:rPr>
            </w:pPr>
            <w:r w:rsidRPr="000A4E2D">
              <w:rPr>
                <w:rFonts w:eastAsia="Times New Roman" w:cs="Arial"/>
                <w:color w:val="000000"/>
                <w:sz w:val="18"/>
                <w:szCs w:val="18"/>
              </w:rPr>
              <w:t>333,241,473</w:t>
            </w:r>
          </w:p>
        </w:tc>
        <w:tc>
          <w:tcPr>
            <w:tcW w:w="82" w:type="pct"/>
            <w:vAlign w:val="center"/>
            <w:hideMark/>
          </w:tcPr>
          <w:p w14:paraId="273029E7" w14:textId="77777777" w:rsidR="000A4E2D" w:rsidRPr="000A4E2D" w:rsidRDefault="000A4E2D" w:rsidP="000A4E2D">
            <w:pPr>
              <w:jc w:val="left"/>
              <w:rPr>
                <w:rFonts w:ascii="Times New Roman" w:eastAsia="Times New Roman" w:hAnsi="Times New Roman" w:cs="Times New Roman"/>
                <w:sz w:val="20"/>
                <w:szCs w:val="20"/>
              </w:rPr>
            </w:pPr>
          </w:p>
        </w:tc>
      </w:tr>
      <w:tr w:rsidR="000A4E2D" w:rsidRPr="000A4E2D" w14:paraId="63A80E30"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70021D56"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1C2C6A59" w14:textId="77777777" w:rsidR="000A4E2D" w:rsidRPr="000A4E2D" w:rsidRDefault="000A4E2D" w:rsidP="00382F53">
            <w:pPr>
              <w:ind w:firstLineChars="500" w:firstLine="900"/>
              <w:jc w:val="left"/>
              <w:rPr>
                <w:rFonts w:eastAsia="Times New Roman" w:cs="Arial"/>
                <w:color w:val="000000"/>
                <w:sz w:val="18"/>
                <w:szCs w:val="18"/>
              </w:rPr>
            </w:pPr>
            <w:r w:rsidRPr="000A4E2D">
              <w:rPr>
                <w:rFonts w:eastAsia="Times New Roman" w:cs="Arial"/>
                <w:color w:val="000000"/>
                <w:sz w:val="18"/>
                <w:szCs w:val="18"/>
              </w:rPr>
              <w:t>G1. Amortización de la Deuda Pública con Gasto No Etiquetado</w:t>
            </w:r>
          </w:p>
        </w:tc>
        <w:tc>
          <w:tcPr>
            <w:tcW w:w="899" w:type="pct"/>
            <w:tcBorders>
              <w:top w:val="nil"/>
              <w:left w:val="nil"/>
              <w:bottom w:val="single" w:sz="8" w:space="0" w:color="auto"/>
              <w:right w:val="single" w:sz="8" w:space="0" w:color="auto"/>
            </w:tcBorders>
            <w:shd w:val="clear" w:color="000000" w:fill="FFFFFF"/>
            <w:noWrap/>
            <w:vAlign w:val="center"/>
            <w:hideMark/>
          </w:tcPr>
          <w:p w14:paraId="6EF8A6C8" w14:textId="77777777" w:rsidR="000A4E2D" w:rsidRPr="000A4E2D" w:rsidRDefault="000A4E2D" w:rsidP="00382F53">
            <w:pPr>
              <w:jc w:val="right"/>
              <w:rPr>
                <w:rFonts w:eastAsia="Times New Roman" w:cs="Arial"/>
                <w:color w:val="000000"/>
                <w:sz w:val="18"/>
                <w:szCs w:val="18"/>
              </w:rPr>
            </w:pPr>
            <w:r w:rsidRPr="000A4E2D">
              <w:rPr>
                <w:rFonts w:eastAsia="Times New Roman" w:cs="Arial"/>
                <w:color w:val="000000"/>
                <w:sz w:val="18"/>
                <w:szCs w:val="18"/>
              </w:rPr>
              <w:t>250,000,000</w:t>
            </w:r>
          </w:p>
        </w:tc>
        <w:tc>
          <w:tcPr>
            <w:tcW w:w="82" w:type="pct"/>
            <w:vAlign w:val="center"/>
            <w:hideMark/>
          </w:tcPr>
          <w:p w14:paraId="54232750" w14:textId="77777777" w:rsidR="000A4E2D" w:rsidRPr="000A4E2D" w:rsidRDefault="000A4E2D" w:rsidP="000A4E2D">
            <w:pPr>
              <w:jc w:val="left"/>
              <w:rPr>
                <w:rFonts w:ascii="Times New Roman" w:eastAsia="Times New Roman" w:hAnsi="Times New Roman" w:cs="Times New Roman"/>
                <w:sz w:val="20"/>
                <w:szCs w:val="20"/>
              </w:rPr>
            </w:pPr>
          </w:p>
        </w:tc>
      </w:tr>
      <w:tr w:rsidR="000A4E2D" w:rsidRPr="000A4E2D" w14:paraId="54D03884" w14:textId="77777777" w:rsidTr="00382F53">
        <w:trPr>
          <w:trHeight w:val="20"/>
        </w:trPr>
        <w:tc>
          <w:tcPr>
            <w:tcW w:w="103" w:type="pct"/>
            <w:tcBorders>
              <w:top w:val="nil"/>
              <w:left w:val="single" w:sz="8" w:space="0" w:color="auto"/>
              <w:bottom w:val="single" w:sz="8" w:space="0" w:color="auto"/>
              <w:right w:val="nil"/>
            </w:tcBorders>
            <w:shd w:val="clear" w:color="000000" w:fill="FFFFFF"/>
            <w:noWrap/>
            <w:vAlign w:val="center"/>
            <w:hideMark/>
          </w:tcPr>
          <w:p w14:paraId="41353761"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319A6C51" w14:textId="77777777" w:rsidR="000A4E2D" w:rsidRPr="000A4E2D" w:rsidRDefault="000A4E2D" w:rsidP="00382F53">
            <w:pPr>
              <w:ind w:firstLineChars="100" w:firstLine="181"/>
              <w:jc w:val="left"/>
              <w:rPr>
                <w:rFonts w:eastAsia="Times New Roman" w:cs="Arial"/>
                <w:b/>
                <w:bCs/>
                <w:color w:val="000000"/>
                <w:sz w:val="18"/>
                <w:szCs w:val="18"/>
              </w:rPr>
            </w:pPr>
            <w:r w:rsidRPr="000A4E2D">
              <w:rPr>
                <w:rFonts w:eastAsia="Times New Roman" w:cs="Arial"/>
                <w:b/>
                <w:bCs/>
                <w:color w:val="000000"/>
                <w:sz w:val="18"/>
                <w:szCs w:val="18"/>
              </w:rPr>
              <w:t>B1. Gasto No Etiquetado (sin incluir Amortización de la Deuda Pública)</w:t>
            </w:r>
          </w:p>
        </w:tc>
        <w:tc>
          <w:tcPr>
            <w:tcW w:w="899" w:type="pct"/>
            <w:tcBorders>
              <w:top w:val="nil"/>
              <w:left w:val="nil"/>
              <w:bottom w:val="single" w:sz="8" w:space="0" w:color="auto"/>
              <w:right w:val="single" w:sz="8" w:space="0" w:color="auto"/>
            </w:tcBorders>
            <w:shd w:val="clear" w:color="000000" w:fill="FFFFFF"/>
            <w:noWrap/>
            <w:vAlign w:val="center"/>
            <w:hideMark/>
          </w:tcPr>
          <w:p w14:paraId="0C3A1E5E" w14:textId="77777777" w:rsidR="000A4E2D" w:rsidRPr="000A4E2D" w:rsidRDefault="000A4E2D" w:rsidP="00382F53">
            <w:pPr>
              <w:jc w:val="right"/>
              <w:rPr>
                <w:rFonts w:eastAsia="Times New Roman" w:cs="Arial"/>
                <w:b/>
                <w:bCs/>
                <w:color w:val="000000"/>
                <w:sz w:val="18"/>
                <w:szCs w:val="18"/>
              </w:rPr>
            </w:pPr>
            <w:r w:rsidRPr="000A4E2D">
              <w:rPr>
                <w:rFonts w:eastAsia="Times New Roman" w:cs="Arial"/>
                <w:b/>
                <w:bCs/>
                <w:color w:val="000000"/>
                <w:sz w:val="18"/>
                <w:szCs w:val="18"/>
              </w:rPr>
              <w:t>10,744,357,318</w:t>
            </w:r>
          </w:p>
        </w:tc>
        <w:tc>
          <w:tcPr>
            <w:tcW w:w="82" w:type="pct"/>
            <w:vAlign w:val="center"/>
            <w:hideMark/>
          </w:tcPr>
          <w:p w14:paraId="2CABC5CE" w14:textId="77777777" w:rsidR="000A4E2D" w:rsidRPr="000A4E2D" w:rsidRDefault="000A4E2D" w:rsidP="000A4E2D">
            <w:pPr>
              <w:jc w:val="left"/>
              <w:rPr>
                <w:rFonts w:ascii="Times New Roman" w:eastAsia="Times New Roman" w:hAnsi="Times New Roman" w:cs="Times New Roman"/>
                <w:sz w:val="20"/>
                <w:szCs w:val="20"/>
              </w:rPr>
            </w:pPr>
          </w:p>
        </w:tc>
      </w:tr>
      <w:tr w:rsidR="000A4E2D" w:rsidRPr="000A4E2D" w14:paraId="15675C98" w14:textId="77777777" w:rsidTr="00382F53">
        <w:trPr>
          <w:trHeight w:val="20"/>
        </w:trPr>
        <w:tc>
          <w:tcPr>
            <w:tcW w:w="103" w:type="pct"/>
            <w:tcBorders>
              <w:top w:val="nil"/>
              <w:left w:val="single" w:sz="8" w:space="0" w:color="auto"/>
              <w:bottom w:val="single" w:sz="8" w:space="0" w:color="auto"/>
              <w:right w:val="nil"/>
            </w:tcBorders>
            <w:shd w:val="clear" w:color="000000" w:fill="FFFFFF"/>
            <w:noWrap/>
            <w:vAlign w:val="center"/>
            <w:hideMark/>
          </w:tcPr>
          <w:p w14:paraId="53150122"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67D965BE" w14:textId="77777777" w:rsidR="000A4E2D" w:rsidRPr="000A4E2D" w:rsidRDefault="000A4E2D" w:rsidP="00382F53">
            <w:pPr>
              <w:ind w:firstLineChars="100" w:firstLine="181"/>
              <w:jc w:val="left"/>
              <w:rPr>
                <w:rFonts w:eastAsia="Times New Roman" w:cs="Arial"/>
                <w:b/>
                <w:bCs/>
                <w:color w:val="000000"/>
                <w:sz w:val="18"/>
                <w:szCs w:val="18"/>
              </w:rPr>
            </w:pPr>
            <w:r w:rsidRPr="000A4E2D">
              <w:rPr>
                <w:rFonts w:eastAsia="Times New Roman" w:cs="Arial"/>
                <w:b/>
                <w:bCs/>
                <w:color w:val="000000"/>
                <w:sz w:val="18"/>
                <w:szCs w:val="18"/>
              </w:rPr>
              <w:t>C1. Remanentes de Ingresos de Libre Disposición aplicados en el periodo</w:t>
            </w:r>
          </w:p>
        </w:tc>
        <w:tc>
          <w:tcPr>
            <w:tcW w:w="899" w:type="pct"/>
            <w:tcBorders>
              <w:top w:val="nil"/>
              <w:left w:val="nil"/>
              <w:bottom w:val="single" w:sz="8" w:space="0" w:color="auto"/>
              <w:right w:val="single" w:sz="8" w:space="0" w:color="auto"/>
            </w:tcBorders>
            <w:shd w:val="clear" w:color="000000" w:fill="FFFFFF"/>
            <w:noWrap/>
            <w:vAlign w:val="center"/>
            <w:hideMark/>
          </w:tcPr>
          <w:p w14:paraId="1A21158C" w14:textId="77777777" w:rsidR="000A4E2D" w:rsidRPr="000A4E2D" w:rsidRDefault="000A4E2D" w:rsidP="00382F53">
            <w:pPr>
              <w:jc w:val="right"/>
              <w:rPr>
                <w:rFonts w:eastAsia="Times New Roman" w:cs="Arial"/>
                <w:b/>
                <w:bCs/>
                <w:color w:val="000000"/>
                <w:sz w:val="18"/>
                <w:szCs w:val="18"/>
              </w:rPr>
            </w:pPr>
            <w:r w:rsidRPr="000A4E2D">
              <w:rPr>
                <w:rFonts w:eastAsia="Times New Roman" w:cs="Arial"/>
                <w:b/>
                <w:bCs/>
                <w:color w:val="000000"/>
                <w:sz w:val="18"/>
                <w:szCs w:val="18"/>
              </w:rPr>
              <w:t>0</w:t>
            </w:r>
          </w:p>
        </w:tc>
        <w:tc>
          <w:tcPr>
            <w:tcW w:w="82" w:type="pct"/>
            <w:vAlign w:val="center"/>
            <w:hideMark/>
          </w:tcPr>
          <w:p w14:paraId="02446871"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29512982"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3957E6C6"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7C3D0335" w14:textId="77777777" w:rsidR="000A4E2D" w:rsidRPr="000A4E2D" w:rsidRDefault="000A4E2D" w:rsidP="00382F53">
            <w:pPr>
              <w:ind w:firstLineChars="100" w:firstLine="181"/>
              <w:jc w:val="left"/>
              <w:rPr>
                <w:rFonts w:eastAsia="Times New Roman" w:cs="Arial"/>
                <w:b/>
                <w:bCs/>
                <w:color w:val="000000"/>
                <w:sz w:val="18"/>
                <w:szCs w:val="18"/>
              </w:rPr>
            </w:pPr>
            <w:r w:rsidRPr="000A4E2D">
              <w:rPr>
                <w:rFonts w:eastAsia="Times New Roman" w:cs="Arial"/>
                <w:b/>
                <w:bCs/>
                <w:color w:val="000000"/>
                <w:sz w:val="18"/>
                <w:szCs w:val="18"/>
              </w:rPr>
              <w:t>V. Balance Presupuestario de Recursos Disponibles (V = A1 + A3.1 – B 1 + C1)</w:t>
            </w:r>
          </w:p>
        </w:tc>
        <w:tc>
          <w:tcPr>
            <w:tcW w:w="899" w:type="pct"/>
            <w:tcBorders>
              <w:top w:val="nil"/>
              <w:left w:val="nil"/>
              <w:bottom w:val="single" w:sz="8" w:space="0" w:color="auto"/>
              <w:right w:val="single" w:sz="8" w:space="0" w:color="auto"/>
            </w:tcBorders>
            <w:shd w:val="clear" w:color="000000" w:fill="FFFFFF"/>
            <w:vAlign w:val="center"/>
            <w:hideMark/>
          </w:tcPr>
          <w:p w14:paraId="4BB0FAD2" w14:textId="77777777" w:rsidR="000A4E2D" w:rsidRPr="000A4E2D" w:rsidRDefault="000A4E2D" w:rsidP="00382F53">
            <w:pPr>
              <w:jc w:val="right"/>
              <w:rPr>
                <w:rFonts w:eastAsia="Times New Roman" w:cs="Arial"/>
                <w:b/>
                <w:bCs/>
                <w:color w:val="000000"/>
                <w:sz w:val="18"/>
                <w:szCs w:val="18"/>
              </w:rPr>
            </w:pPr>
            <w:r w:rsidRPr="000A4E2D">
              <w:rPr>
                <w:rFonts w:eastAsia="Times New Roman" w:cs="Arial"/>
                <w:b/>
                <w:bCs/>
                <w:color w:val="000000"/>
                <w:sz w:val="18"/>
                <w:szCs w:val="18"/>
              </w:rPr>
              <w:t>0</w:t>
            </w:r>
          </w:p>
        </w:tc>
        <w:tc>
          <w:tcPr>
            <w:tcW w:w="82" w:type="pct"/>
            <w:vAlign w:val="center"/>
            <w:hideMark/>
          </w:tcPr>
          <w:p w14:paraId="5F9319C9"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4681CA27"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29B232E0"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34567C44" w14:textId="77777777" w:rsidR="000A4E2D" w:rsidRPr="000A4E2D" w:rsidRDefault="000A4E2D" w:rsidP="00382F53">
            <w:pPr>
              <w:ind w:firstLineChars="100" w:firstLine="181"/>
              <w:jc w:val="left"/>
              <w:rPr>
                <w:rFonts w:eastAsia="Times New Roman" w:cs="Arial"/>
                <w:b/>
                <w:bCs/>
                <w:color w:val="000000"/>
                <w:sz w:val="18"/>
                <w:szCs w:val="18"/>
              </w:rPr>
            </w:pPr>
            <w:r w:rsidRPr="000A4E2D">
              <w:rPr>
                <w:rFonts w:eastAsia="Times New Roman" w:cs="Arial"/>
                <w:b/>
                <w:bCs/>
                <w:color w:val="000000"/>
                <w:sz w:val="18"/>
                <w:szCs w:val="18"/>
              </w:rPr>
              <w:t>VI. Balance Presupuestario de Recursos Disponibles sin Financiamiento Neto (VI = V – A3.1)</w:t>
            </w:r>
          </w:p>
        </w:tc>
        <w:tc>
          <w:tcPr>
            <w:tcW w:w="899" w:type="pct"/>
            <w:tcBorders>
              <w:top w:val="nil"/>
              <w:left w:val="nil"/>
              <w:bottom w:val="single" w:sz="8" w:space="0" w:color="auto"/>
              <w:right w:val="single" w:sz="8" w:space="0" w:color="auto"/>
            </w:tcBorders>
            <w:shd w:val="clear" w:color="000000" w:fill="FFFFFF"/>
            <w:vAlign w:val="center"/>
            <w:hideMark/>
          </w:tcPr>
          <w:p w14:paraId="74E9FBB7" w14:textId="77777777" w:rsidR="000A4E2D" w:rsidRPr="000A4E2D" w:rsidRDefault="000A4E2D" w:rsidP="00382F53">
            <w:pPr>
              <w:jc w:val="right"/>
              <w:rPr>
                <w:rFonts w:eastAsia="Times New Roman" w:cs="Arial"/>
                <w:b/>
                <w:bCs/>
                <w:color w:val="000000"/>
                <w:sz w:val="18"/>
                <w:szCs w:val="18"/>
              </w:rPr>
            </w:pPr>
            <w:r w:rsidRPr="000A4E2D">
              <w:rPr>
                <w:rFonts w:eastAsia="Times New Roman" w:cs="Arial"/>
                <w:b/>
                <w:bCs/>
                <w:color w:val="000000"/>
                <w:sz w:val="18"/>
                <w:szCs w:val="18"/>
              </w:rPr>
              <w:t>-83,241,473</w:t>
            </w:r>
          </w:p>
        </w:tc>
        <w:tc>
          <w:tcPr>
            <w:tcW w:w="82" w:type="pct"/>
            <w:vAlign w:val="center"/>
            <w:hideMark/>
          </w:tcPr>
          <w:p w14:paraId="4F6A9277" w14:textId="77777777" w:rsidR="000A4E2D" w:rsidRPr="000A4E2D" w:rsidRDefault="000A4E2D" w:rsidP="000A4E2D">
            <w:pPr>
              <w:jc w:val="left"/>
              <w:rPr>
                <w:rFonts w:ascii="Times New Roman" w:eastAsia="Times New Roman" w:hAnsi="Times New Roman" w:cs="Times New Roman"/>
                <w:sz w:val="20"/>
                <w:szCs w:val="20"/>
              </w:rPr>
            </w:pPr>
          </w:p>
        </w:tc>
      </w:tr>
      <w:tr w:rsidR="000A4E2D" w:rsidRPr="000A4E2D" w14:paraId="24355466" w14:textId="77777777" w:rsidTr="00382F53">
        <w:trPr>
          <w:trHeight w:val="20"/>
        </w:trPr>
        <w:tc>
          <w:tcPr>
            <w:tcW w:w="4019" w:type="pct"/>
            <w:gridSpan w:val="2"/>
            <w:vMerge w:val="restart"/>
            <w:tcBorders>
              <w:top w:val="single" w:sz="8" w:space="0" w:color="auto"/>
              <w:left w:val="single" w:sz="8" w:space="0" w:color="auto"/>
              <w:bottom w:val="single" w:sz="8" w:space="0" w:color="auto"/>
              <w:right w:val="single" w:sz="8" w:space="0" w:color="auto"/>
            </w:tcBorders>
            <w:shd w:val="clear" w:color="000000" w:fill="EDEDED"/>
            <w:noWrap/>
            <w:vAlign w:val="center"/>
            <w:hideMark/>
          </w:tcPr>
          <w:p w14:paraId="7C351BB9" w14:textId="77777777" w:rsidR="000A4E2D" w:rsidRPr="000A4E2D" w:rsidRDefault="000A4E2D" w:rsidP="00382F53">
            <w:pPr>
              <w:jc w:val="center"/>
              <w:rPr>
                <w:rFonts w:eastAsia="Times New Roman" w:cs="Arial"/>
                <w:b/>
                <w:bCs/>
                <w:color w:val="000000"/>
                <w:sz w:val="18"/>
                <w:szCs w:val="18"/>
              </w:rPr>
            </w:pPr>
            <w:r w:rsidRPr="000A4E2D">
              <w:rPr>
                <w:rFonts w:eastAsia="Times New Roman" w:cs="Arial"/>
                <w:b/>
                <w:bCs/>
                <w:color w:val="000000"/>
                <w:sz w:val="18"/>
                <w:szCs w:val="18"/>
              </w:rPr>
              <w:t>Concepto (c)</w:t>
            </w:r>
          </w:p>
        </w:tc>
        <w:tc>
          <w:tcPr>
            <w:tcW w:w="899" w:type="pct"/>
            <w:vMerge w:val="restart"/>
            <w:tcBorders>
              <w:top w:val="nil"/>
              <w:left w:val="single" w:sz="8" w:space="0" w:color="auto"/>
              <w:bottom w:val="single" w:sz="8" w:space="0" w:color="auto"/>
              <w:right w:val="single" w:sz="8" w:space="0" w:color="auto"/>
            </w:tcBorders>
            <w:shd w:val="clear" w:color="000000" w:fill="EDEDED"/>
            <w:noWrap/>
            <w:vAlign w:val="center"/>
            <w:hideMark/>
          </w:tcPr>
          <w:p w14:paraId="1C757515" w14:textId="77777777" w:rsidR="000A4E2D" w:rsidRPr="000A4E2D" w:rsidRDefault="000A4E2D" w:rsidP="00382F53">
            <w:pPr>
              <w:jc w:val="center"/>
              <w:rPr>
                <w:rFonts w:eastAsia="Times New Roman" w:cs="Arial"/>
                <w:b/>
                <w:bCs/>
                <w:color w:val="000000"/>
                <w:sz w:val="18"/>
                <w:szCs w:val="18"/>
              </w:rPr>
            </w:pPr>
            <w:r w:rsidRPr="000A4E2D">
              <w:rPr>
                <w:rFonts w:eastAsia="Times New Roman" w:cs="Arial"/>
                <w:b/>
                <w:bCs/>
                <w:color w:val="000000"/>
                <w:sz w:val="18"/>
                <w:szCs w:val="18"/>
              </w:rPr>
              <w:t>Estimado/ Aprobado</w:t>
            </w:r>
          </w:p>
        </w:tc>
        <w:tc>
          <w:tcPr>
            <w:tcW w:w="82" w:type="pct"/>
            <w:vAlign w:val="center"/>
            <w:hideMark/>
          </w:tcPr>
          <w:p w14:paraId="61195741" w14:textId="77777777" w:rsidR="000A4E2D" w:rsidRPr="000A4E2D" w:rsidRDefault="000A4E2D" w:rsidP="000A4E2D">
            <w:pPr>
              <w:jc w:val="left"/>
              <w:rPr>
                <w:rFonts w:ascii="Times New Roman" w:eastAsia="Times New Roman" w:hAnsi="Times New Roman" w:cs="Times New Roman"/>
                <w:sz w:val="20"/>
                <w:szCs w:val="20"/>
              </w:rPr>
            </w:pPr>
          </w:p>
        </w:tc>
      </w:tr>
      <w:tr w:rsidR="000A4E2D" w:rsidRPr="000A4E2D" w14:paraId="3A2C458F" w14:textId="77777777" w:rsidTr="00382F53">
        <w:trPr>
          <w:trHeight w:val="20"/>
        </w:trPr>
        <w:tc>
          <w:tcPr>
            <w:tcW w:w="4019" w:type="pct"/>
            <w:gridSpan w:val="2"/>
            <w:vMerge/>
            <w:tcBorders>
              <w:top w:val="single" w:sz="8" w:space="0" w:color="auto"/>
              <w:left w:val="single" w:sz="8" w:space="0" w:color="auto"/>
              <w:bottom w:val="single" w:sz="8" w:space="0" w:color="auto"/>
              <w:right w:val="single" w:sz="8" w:space="0" w:color="auto"/>
            </w:tcBorders>
            <w:vAlign w:val="center"/>
            <w:hideMark/>
          </w:tcPr>
          <w:p w14:paraId="2CF3833B" w14:textId="77777777" w:rsidR="000A4E2D" w:rsidRPr="000A4E2D" w:rsidRDefault="000A4E2D" w:rsidP="00382F53">
            <w:pPr>
              <w:jc w:val="left"/>
              <w:rPr>
                <w:rFonts w:eastAsia="Times New Roman" w:cs="Arial"/>
                <w:b/>
                <w:bCs/>
                <w:color w:val="000000"/>
                <w:sz w:val="18"/>
                <w:szCs w:val="18"/>
              </w:rPr>
            </w:pPr>
          </w:p>
        </w:tc>
        <w:tc>
          <w:tcPr>
            <w:tcW w:w="899" w:type="pct"/>
            <w:vMerge/>
            <w:tcBorders>
              <w:top w:val="nil"/>
              <w:left w:val="single" w:sz="8" w:space="0" w:color="auto"/>
              <w:bottom w:val="single" w:sz="8" w:space="0" w:color="auto"/>
              <w:right w:val="single" w:sz="8" w:space="0" w:color="auto"/>
            </w:tcBorders>
            <w:vAlign w:val="center"/>
            <w:hideMark/>
          </w:tcPr>
          <w:p w14:paraId="14FE2E6D" w14:textId="77777777" w:rsidR="000A4E2D" w:rsidRPr="000A4E2D" w:rsidRDefault="000A4E2D" w:rsidP="00382F53">
            <w:pPr>
              <w:jc w:val="left"/>
              <w:rPr>
                <w:rFonts w:eastAsia="Times New Roman" w:cs="Arial"/>
                <w:b/>
                <w:bCs/>
                <w:color w:val="000000"/>
                <w:sz w:val="18"/>
                <w:szCs w:val="18"/>
              </w:rPr>
            </w:pPr>
          </w:p>
        </w:tc>
        <w:tc>
          <w:tcPr>
            <w:tcW w:w="82" w:type="pct"/>
            <w:tcBorders>
              <w:top w:val="nil"/>
              <w:left w:val="nil"/>
              <w:bottom w:val="nil"/>
              <w:right w:val="nil"/>
            </w:tcBorders>
            <w:shd w:val="clear" w:color="auto" w:fill="auto"/>
            <w:noWrap/>
            <w:vAlign w:val="bottom"/>
            <w:hideMark/>
          </w:tcPr>
          <w:p w14:paraId="7647C3B7" w14:textId="77777777" w:rsidR="000A4E2D" w:rsidRPr="000A4E2D" w:rsidRDefault="000A4E2D" w:rsidP="000A4E2D">
            <w:pPr>
              <w:jc w:val="center"/>
              <w:rPr>
                <w:rFonts w:eastAsia="Times New Roman" w:cs="Arial"/>
                <w:b/>
                <w:bCs/>
                <w:color w:val="000000"/>
                <w:sz w:val="18"/>
                <w:szCs w:val="18"/>
              </w:rPr>
            </w:pPr>
          </w:p>
        </w:tc>
      </w:tr>
      <w:tr w:rsidR="000A4E2D" w:rsidRPr="000A4E2D" w14:paraId="3BF9AAAE" w14:textId="77777777" w:rsidTr="00382F53">
        <w:trPr>
          <w:trHeight w:val="20"/>
        </w:trPr>
        <w:tc>
          <w:tcPr>
            <w:tcW w:w="103" w:type="pct"/>
            <w:tcBorders>
              <w:top w:val="nil"/>
              <w:left w:val="single" w:sz="8" w:space="0" w:color="auto"/>
              <w:bottom w:val="single" w:sz="8" w:space="0" w:color="auto"/>
              <w:right w:val="nil"/>
            </w:tcBorders>
            <w:shd w:val="clear" w:color="000000" w:fill="FFFFFF"/>
            <w:noWrap/>
            <w:vAlign w:val="center"/>
            <w:hideMark/>
          </w:tcPr>
          <w:p w14:paraId="4F753F03"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noWrap/>
            <w:vAlign w:val="center"/>
            <w:hideMark/>
          </w:tcPr>
          <w:p w14:paraId="5FFF3B8B" w14:textId="77777777" w:rsidR="000A4E2D" w:rsidRPr="000A4E2D" w:rsidRDefault="000A4E2D" w:rsidP="00382F53">
            <w:pPr>
              <w:ind w:firstLineChars="100" w:firstLine="181"/>
              <w:jc w:val="left"/>
              <w:rPr>
                <w:rFonts w:eastAsia="Times New Roman" w:cs="Arial"/>
                <w:b/>
                <w:bCs/>
                <w:color w:val="000000"/>
                <w:sz w:val="18"/>
                <w:szCs w:val="18"/>
              </w:rPr>
            </w:pPr>
            <w:r w:rsidRPr="000A4E2D">
              <w:rPr>
                <w:rFonts w:eastAsia="Times New Roman" w:cs="Arial"/>
                <w:b/>
                <w:bCs/>
                <w:color w:val="000000"/>
                <w:sz w:val="18"/>
                <w:szCs w:val="18"/>
              </w:rPr>
              <w:t>A2. Transferencias Federales Etiquetadas</w:t>
            </w:r>
          </w:p>
        </w:tc>
        <w:tc>
          <w:tcPr>
            <w:tcW w:w="899" w:type="pct"/>
            <w:tcBorders>
              <w:top w:val="nil"/>
              <w:left w:val="nil"/>
              <w:bottom w:val="single" w:sz="8" w:space="0" w:color="auto"/>
              <w:right w:val="single" w:sz="8" w:space="0" w:color="auto"/>
            </w:tcBorders>
            <w:shd w:val="clear" w:color="000000" w:fill="FFFFFF"/>
            <w:noWrap/>
            <w:vAlign w:val="center"/>
            <w:hideMark/>
          </w:tcPr>
          <w:p w14:paraId="5D9C1B16" w14:textId="77777777" w:rsidR="000A4E2D" w:rsidRPr="000A4E2D" w:rsidRDefault="000A4E2D" w:rsidP="00382F53">
            <w:pPr>
              <w:jc w:val="right"/>
              <w:rPr>
                <w:rFonts w:eastAsia="Times New Roman" w:cs="Arial"/>
                <w:b/>
                <w:bCs/>
                <w:color w:val="000000"/>
                <w:sz w:val="18"/>
                <w:szCs w:val="18"/>
              </w:rPr>
            </w:pPr>
            <w:r w:rsidRPr="000A4E2D">
              <w:rPr>
                <w:rFonts w:eastAsia="Times New Roman" w:cs="Arial"/>
                <w:b/>
                <w:bCs/>
                <w:color w:val="000000"/>
                <w:sz w:val="18"/>
                <w:szCs w:val="18"/>
              </w:rPr>
              <w:t>12,009,772,961</w:t>
            </w:r>
          </w:p>
        </w:tc>
        <w:tc>
          <w:tcPr>
            <w:tcW w:w="82" w:type="pct"/>
            <w:vAlign w:val="center"/>
            <w:hideMark/>
          </w:tcPr>
          <w:p w14:paraId="48C801CB"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483F259A"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74159832"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lastRenderedPageBreak/>
              <w:t> </w:t>
            </w:r>
          </w:p>
        </w:tc>
        <w:tc>
          <w:tcPr>
            <w:tcW w:w="3917" w:type="pct"/>
            <w:tcBorders>
              <w:top w:val="nil"/>
              <w:left w:val="nil"/>
              <w:bottom w:val="single" w:sz="8" w:space="0" w:color="auto"/>
              <w:right w:val="single" w:sz="8" w:space="0" w:color="auto"/>
            </w:tcBorders>
            <w:shd w:val="clear" w:color="000000" w:fill="FFFFFF"/>
            <w:vAlign w:val="center"/>
            <w:hideMark/>
          </w:tcPr>
          <w:p w14:paraId="7B7C9ED6" w14:textId="77777777" w:rsidR="000A4E2D" w:rsidRPr="000A4E2D" w:rsidRDefault="000A4E2D" w:rsidP="00382F53">
            <w:pPr>
              <w:ind w:firstLineChars="100" w:firstLine="181"/>
              <w:jc w:val="left"/>
              <w:rPr>
                <w:rFonts w:eastAsia="Times New Roman" w:cs="Arial"/>
                <w:b/>
                <w:bCs/>
                <w:color w:val="000000"/>
                <w:sz w:val="18"/>
                <w:szCs w:val="18"/>
              </w:rPr>
            </w:pPr>
            <w:r w:rsidRPr="000A4E2D">
              <w:rPr>
                <w:rFonts w:eastAsia="Times New Roman" w:cs="Arial"/>
                <w:b/>
                <w:bCs/>
                <w:color w:val="000000"/>
                <w:sz w:val="18"/>
                <w:szCs w:val="18"/>
              </w:rPr>
              <w:t>A3.2 Financiamiento Neto con Fuente de Pago de Transferencias Federales Etiquetadas (A3.2 = F2 – G2)</w:t>
            </w:r>
          </w:p>
        </w:tc>
        <w:tc>
          <w:tcPr>
            <w:tcW w:w="899" w:type="pct"/>
            <w:tcBorders>
              <w:top w:val="nil"/>
              <w:left w:val="nil"/>
              <w:bottom w:val="single" w:sz="8" w:space="0" w:color="auto"/>
              <w:right w:val="single" w:sz="8" w:space="0" w:color="auto"/>
            </w:tcBorders>
            <w:shd w:val="clear" w:color="000000" w:fill="FFFFFF"/>
            <w:vAlign w:val="center"/>
            <w:hideMark/>
          </w:tcPr>
          <w:p w14:paraId="76E66E80" w14:textId="77777777" w:rsidR="000A4E2D" w:rsidRPr="000A4E2D" w:rsidRDefault="000A4E2D" w:rsidP="00382F53">
            <w:pPr>
              <w:jc w:val="right"/>
              <w:rPr>
                <w:rFonts w:eastAsia="Times New Roman" w:cs="Arial"/>
                <w:b/>
                <w:bCs/>
                <w:color w:val="000000"/>
                <w:sz w:val="18"/>
                <w:szCs w:val="18"/>
              </w:rPr>
            </w:pPr>
            <w:r w:rsidRPr="000A4E2D">
              <w:rPr>
                <w:rFonts w:eastAsia="Times New Roman" w:cs="Arial"/>
                <w:b/>
                <w:bCs/>
                <w:color w:val="000000"/>
                <w:sz w:val="18"/>
                <w:szCs w:val="18"/>
              </w:rPr>
              <w:t>-72,774,280</w:t>
            </w:r>
          </w:p>
        </w:tc>
        <w:tc>
          <w:tcPr>
            <w:tcW w:w="82" w:type="pct"/>
            <w:vAlign w:val="center"/>
            <w:hideMark/>
          </w:tcPr>
          <w:p w14:paraId="012A20F6"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3F3B8808"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3992738B"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42675E55" w14:textId="77777777" w:rsidR="000A4E2D" w:rsidRPr="000A4E2D" w:rsidRDefault="000A4E2D" w:rsidP="00382F53">
            <w:pPr>
              <w:ind w:firstLineChars="500" w:firstLine="900"/>
              <w:jc w:val="left"/>
              <w:rPr>
                <w:rFonts w:eastAsia="Times New Roman" w:cs="Arial"/>
                <w:color w:val="000000"/>
                <w:sz w:val="18"/>
                <w:szCs w:val="18"/>
              </w:rPr>
            </w:pPr>
            <w:r w:rsidRPr="000A4E2D">
              <w:rPr>
                <w:rFonts w:eastAsia="Times New Roman" w:cs="Arial"/>
                <w:color w:val="000000"/>
                <w:sz w:val="18"/>
                <w:szCs w:val="18"/>
              </w:rPr>
              <w:t>F2. Financiamiento con Fuente de Pago de Transferencias Federales Etiquetadas</w:t>
            </w:r>
          </w:p>
        </w:tc>
        <w:tc>
          <w:tcPr>
            <w:tcW w:w="899" w:type="pct"/>
            <w:tcBorders>
              <w:top w:val="nil"/>
              <w:left w:val="nil"/>
              <w:bottom w:val="single" w:sz="8" w:space="0" w:color="auto"/>
              <w:right w:val="single" w:sz="8" w:space="0" w:color="auto"/>
            </w:tcBorders>
            <w:shd w:val="clear" w:color="000000" w:fill="FFFFFF"/>
            <w:vAlign w:val="center"/>
            <w:hideMark/>
          </w:tcPr>
          <w:p w14:paraId="129ABD9F" w14:textId="77777777" w:rsidR="000A4E2D" w:rsidRPr="000A4E2D" w:rsidRDefault="000A4E2D" w:rsidP="00382F53">
            <w:pPr>
              <w:jc w:val="right"/>
              <w:rPr>
                <w:rFonts w:eastAsia="Times New Roman" w:cs="Arial"/>
                <w:color w:val="000000"/>
                <w:sz w:val="18"/>
                <w:szCs w:val="18"/>
              </w:rPr>
            </w:pPr>
            <w:r w:rsidRPr="000A4E2D">
              <w:rPr>
                <w:rFonts w:eastAsia="Times New Roman" w:cs="Arial"/>
                <w:color w:val="000000"/>
                <w:sz w:val="18"/>
                <w:szCs w:val="18"/>
              </w:rPr>
              <w:t>0</w:t>
            </w:r>
          </w:p>
        </w:tc>
        <w:tc>
          <w:tcPr>
            <w:tcW w:w="82" w:type="pct"/>
            <w:vAlign w:val="center"/>
            <w:hideMark/>
          </w:tcPr>
          <w:p w14:paraId="55692EF6"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799A8B93" w14:textId="77777777" w:rsidTr="00382F53">
        <w:trPr>
          <w:trHeight w:val="20"/>
        </w:trPr>
        <w:tc>
          <w:tcPr>
            <w:tcW w:w="103" w:type="pct"/>
            <w:tcBorders>
              <w:top w:val="nil"/>
              <w:left w:val="single" w:sz="8" w:space="0" w:color="auto"/>
              <w:bottom w:val="single" w:sz="8" w:space="0" w:color="auto"/>
              <w:right w:val="nil"/>
            </w:tcBorders>
            <w:shd w:val="clear" w:color="000000" w:fill="FFFFFF"/>
            <w:vAlign w:val="center"/>
            <w:hideMark/>
          </w:tcPr>
          <w:p w14:paraId="69DE6DA0"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15208159" w14:textId="77777777" w:rsidR="000A4E2D" w:rsidRPr="000A4E2D" w:rsidRDefault="000A4E2D" w:rsidP="00382F53">
            <w:pPr>
              <w:ind w:firstLineChars="500" w:firstLine="900"/>
              <w:jc w:val="left"/>
              <w:rPr>
                <w:rFonts w:eastAsia="Times New Roman" w:cs="Arial"/>
                <w:color w:val="000000"/>
                <w:sz w:val="18"/>
                <w:szCs w:val="18"/>
              </w:rPr>
            </w:pPr>
            <w:r w:rsidRPr="000A4E2D">
              <w:rPr>
                <w:rFonts w:eastAsia="Times New Roman" w:cs="Arial"/>
                <w:color w:val="000000"/>
                <w:sz w:val="18"/>
                <w:szCs w:val="18"/>
              </w:rPr>
              <w:t>G2. Amortización de la Deuda Pública con Gasto Etiquetado</w:t>
            </w:r>
          </w:p>
        </w:tc>
        <w:tc>
          <w:tcPr>
            <w:tcW w:w="899" w:type="pct"/>
            <w:tcBorders>
              <w:top w:val="nil"/>
              <w:left w:val="nil"/>
              <w:bottom w:val="single" w:sz="8" w:space="0" w:color="auto"/>
              <w:right w:val="single" w:sz="8" w:space="0" w:color="auto"/>
            </w:tcBorders>
            <w:shd w:val="clear" w:color="000000" w:fill="FFFFFF"/>
            <w:vAlign w:val="center"/>
            <w:hideMark/>
          </w:tcPr>
          <w:p w14:paraId="1B0EEE3A" w14:textId="77777777" w:rsidR="000A4E2D" w:rsidRPr="000A4E2D" w:rsidRDefault="000A4E2D" w:rsidP="00382F53">
            <w:pPr>
              <w:jc w:val="right"/>
              <w:rPr>
                <w:rFonts w:eastAsia="Times New Roman" w:cs="Arial"/>
                <w:color w:val="000000"/>
                <w:sz w:val="18"/>
                <w:szCs w:val="18"/>
              </w:rPr>
            </w:pPr>
            <w:r w:rsidRPr="000A4E2D">
              <w:rPr>
                <w:rFonts w:eastAsia="Times New Roman" w:cs="Arial"/>
                <w:color w:val="000000"/>
                <w:sz w:val="18"/>
                <w:szCs w:val="18"/>
              </w:rPr>
              <w:t>72,774,280</w:t>
            </w:r>
          </w:p>
        </w:tc>
        <w:tc>
          <w:tcPr>
            <w:tcW w:w="82" w:type="pct"/>
            <w:vAlign w:val="center"/>
            <w:hideMark/>
          </w:tcPr>
          <w:p w14:paraId="26D5F812" w14:textId="77777777" w:rsidR="000A4E2D" w:rsidRPr="000A4E2D" w:rsidRDefault="000A4E2D" w:rsidP="000A4E2D">
            <w:pPr>
              <w:jc w:val="left"/>
              <w:rPr>
                <w:rFonts w:ascii="Times New Roman" w:eastAsia="Times New Roman" w:hAnsi="Times New Roman" w:cs="Times New Roman"/>
                <w:sz w:val="20"/>
                <w:szCs w:val="20"/>
              </w:rPr>
            </w:pPr>
          </w:p>
        </w:tc>
      </w:tr>
      <w:tr w:rsidR="000A4E2D" w:rsidRPr="000A4E2D" w14:paraId="4444ECB8" w14:textId="77777777" w:rsidTr="00382F53">
        <w:trPr>
          <w:trHeight w:val="20"/>
        </w:trPr>
        <w:tc>
          <w:tcPr>
            <w:tcW w:w="103" w:type="pct"/>
            <w:tcBorders>
              <w:top w:val="nil"/>
              <w:left w:val="single" w:sz="8" w:space="0" w:color="auto"/>
              <w:bottom w:val="single" w:sz="8" w:space="0" w:color="auto"/>
              <w:right w:val="nil"/>
            </w:tcBorders>
            <w:shd w:val="clear" w:color="000000" w:fill="FFFFFF"/>
            <w:noWrap/>
            <w:vAlign w:val="center"/>
            <w:hideMark/>
          </w:tcPr>
          <w:p w14:paraId="38E979B8"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noWrap/>
            <w:vAlign w:val="center"/>
            <w:hideMark/>
          </w:tcPr>
          <w:p w14:paraId="6FEF504C"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B2. Gasto Etiquetado (sin incluir Amortización de la Deuda Pública)</w:t>
            </w:r>
          </w:p>
        </w:tc>
        <w:tc>
          <w:tcPr>
            <w:tcW w:w="899" w:type="pct"/>
            <w:tcBorders>
              <w:top w:val="nil"/>
              <w:left w:val="nil"/>
              <w:bottom w:val="single" w:sz="8" w:space="0" w:color="auto"/>
              <w:right w:val="single" w:sz="8" w:space="0" w:color="auto"/>
            </w:tcBorders>
            <w:shd w:val="clear" w:color="000000" w:fill="FFFFFF"/>
            <w:noWrap/>
            <w:vAlign w:val="center"/>
            <w:hideMark/>
          </w:tcPr>
          <w:p w14:paraId="4AE86640" w14:textId="77777777" w:rsidR="000A4E2D" w:rsidRPr="000A4E2D" w:rsidRDefault="000A4E2D" w:rsidP="00382F53">
            <w:pPr>
              <w:jc w:val="right"/>
              <w:rPr>
                <w:rFonts w:eastAsia="Times New Roman" w:cs="Arial"/>
                <w:b/>
                <w:bCs/>
                <w:color w:val="000000"/>
                <w:sz w:val="18"/>
                <w:szCs w:val="18"/>
              </w:rPr>
            </w:pPr>
            <w:r w:rsidRPr="000A4E2D">
              <w:rPr>
                <w:rFonts w:eastAsia="Times New Roman" w:cs="Arial"/>
                <w:b/>
                <w:bCs/>
                <w:color w:val="000000"/>
                <w:sz w:val="18"/>
                <w:szCs w:val="18"/>
              </w:rPr>
              <w:t>11,936,998,681</w:t>
            </w:r>
          </w:p>
        </w:tc>
        <w:tc>
          <w:tcPr>
            <w:tcW w:w="82" w:type="pct"/>
            <w:vAlign w:val="center"/>
            <w:hideMark/>
          </w:tcPr>
          <w:p w14:paraId="50A77BCB" w14:textId="77777777" w:rsidR="000A4E2D" w:rsidRPr="000A4E2D" w:rsidRDefault="000A4E2D" w:rsidP="000A4E2D">
            <w:pPr>
              <w:jc w:val="left"/>
              <w:rPr>
                <w:rFonts w:ascii="Times New Roman" w:eastAsia="Times New Roman" w:hAnsi="Times New Roman" w:cs="Times New Roman"/>
                <w:sz w:val="20"/>
                <w:szCs w:val="20"/>
              </w:rPr>
            </w:pPr>
          </w:p>
        </w:tc>
      </w:tr>
      <w:tr w:rsidR="000A4E2D" w:rsidRPr="000A4E2D" w14:paraId="56D31AB2" w14:textId="77777777" w:rsidTr="00382F53">
        <w:trPr>
          <w:trHeight w:val="20"/>
        </w:trPr>
        <w:tc>
          <w:tcPr>
            <w:tcW w:w="103" w:type="pct"/>
            <w:tcBorders>
              <w:top w:val="nil"/>
              <w:left w:val="single" w:sz="8" w:space="0" w:color="auto"/>
              <w:bottom w:val="single" w:sz="8" w:space="0" w:color="auto"/>
              <w:right w:val="nil"/>
            </w:tcBorders>
            <w:shd w:val="clear" w:color="000000" w:fill="FFFFFF"/>
            <w:noWrap/>
            <w:vAlign w:val="center"/>
            <w:hideMark/>
          </w:tcPr>
          <w:p w14:paraId="233A1DBF"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0793E622" w14:textId="77777777" w:rsidR="000A4E2D" w:rsidRPr="000A4E2D" w:rsidRDefault="000A4E2D" w:rsidP="00382F53">
            <w:pPr>
              <w:ind w:firstLineChars="100" w:firstLine="181"/>
              <w:jc w:val="left"/>
              <w:rPr>
                <w:rFonts w:eastAsia="Times New Roman" w:cs="Arial"/>
                <w:b/>
                <w:bCs/>
                <w:color w:val="000000"/>
                <w:sz w:val="18"/>
                <w:szCs w:val="18"/>
              </w:rPr>
            </w:pPr>
            <w:r w:rsidRPr="000A4E2D">
              <w:rPr>
                <w:rFonts w:eastAsia="Times New Roman" w:cs="Arial"/>
                <w:b/>
                <w:bCs/>
                <w:color w:val="000000"/>
                <w:sz w:val="18"/>
                <w:szCs w:val="18"/>
              </w:rPr>
              <w:t>C2. Remanentes de Transferencias Federales Etiquetadas aplicados en el periodo</w:t>
            </w:r>
          </w:p>
        </w:tc>
        <w:tc>
          <w:tcPr>
            <w:tcW w:w="899" w:type="pct"/>
            <w:tcBorders>
              <w:top w:val="nil"/>
              <w:left w:val="nil"/>
              <w:bottom w:val="single" w:sz="8" w:space="0" w:color="auto"/>
              <w:right w:val="single" w:sz="8" w:space="0" w:color="auto"/>
            </w:tcBorders>
            <w:shd w:val="clear" w:color="000000" w:fill="FFFFFF"/>
            <w:noWrap/>
            <w:vAlign w:val="center"/>
            <w:hideMark/>
          </w:tcPr>
          <w:p w14:paraId="4FF04D3D" w14:textId="77777777" w:rsidR="000A4E2D" w:rsidRPr="000A4E2D" w:rsidRDefault="000A4E2D" w:rsidP="00382F53">
            <w:pPr>
              <w:jc w:val="right"/>
              <w:rPr>
                <w:rFonts w:eastAsia="Times New Roman" w:cs="Arial"/>
                <w:b/>
                <w:bCs/>
                <w:color w:val="000000"/>
                <w:sz w:val="18"/>
                <w:szCs w:val="18"/>
              </w:rPr>
            </w:pPr>
            <w:r w:rsidRPr="000A4E2D">
              <w:rPr>
                <w:rFonts w:eastAsia="Times New Roman" w:cs="Arial"/>
                <w:b/>
                <w:bCs/>
                <w:color w:val="000000"/>
                <w:sz w:val="18"/>
                <w:szCs w:val="18"/>
              </w:rPr>
              <w:t>0</w:t>
            </w:r>
          </w:p>
        </w:tc>
        <w:tc>
          <w:tcPr>
            <w:tcW w:w="82" w:type="pct"/>
            <w:vAlign w:val="center"/>
            <w:hideMark/>
          </w:tcPr>
          <w:p w14:paraId="50D0016A"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1E5CE69C" w14:textId="77777777" w:rsidTr="00382F53">
        <w:trPr>
          <w:trHeight w:val="20"/>
        </w:trPr>
        <w:tc>
          <w:tcPr>
            <w:tcW w:w="103" w:type="pct"/>
            <w:tcBorders>
              <w:top w:val="nil"/>
              <w:left w:val="single" w:sz="8" w:space="0" w:color="auto"/>
              <w:bottom w:val="single" w:sz="8" w:space="0" w:color="auto"/>
              <w:right w:val="nil"/>
            </w:tcBorders>
            <w:shd w:val="clear" w:color="000000" w:fill="FFFFFF"/>
            <w:noWrap/>
            <w:vAlign w:val="center"/>
            <w:hideMark/>
          </w:tcPr>
          <w:p w14:paraId="7BB3FAAC"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 </w:t>
            </w:r>
          </w:p>
        </w:tc>
        <w:tc>
          <w:tcPr>
            <w:tcW w:w="3917" w:type="pct"/>
            <w:tcBorders>
              <w:top w:val="nil"/>
              <w:left w:val="nil"/>
              <w:bottom w:val="single" w:sz="8" w:space="0" w:color="auto"/>
              <w:right w:val="single" w:sz="8" w:space="0" w:color="auto"/>
            </w:tcBorders>
            <w:shd w:val="clear" w:color="000000" w:fill="FFFFFF"/>
            <w:vAlign w:val="center"/>
            <w:hideMark/>
          </w:tcPr>
          <w:p w14:paraId="42A49AC9" w14:textId="77777777" w:rsidR="000A4E2D" w:rsidRPr="000A4E2D" w:rsidRDefault="000A4E2D" w:rsidP="00382F53">
            <w:pPr>
              <w:ind w:firstLineChars="100" w:firstLine="181"/>
              <w:jc w:val="left"/>
              <w:rPr>
                <w:rFonts w:eastAsia="Times New Roman" w:cs="Arial"/>
                <w:b/>
                <w:bCs/>
                <w:color w:val="000000"/>
                <w:sz w:val="18"/>
                <w:szCs w:val="18"/>
              </w:rPr>
            </w:pPr>
            <w:r w:rsidRPr="000A4E2D">
              <w:rPr>
                <w:rFonts w:eastAsia="Times New Roman" w:cs="Arial"/>
                <w:b/>
                <w:bCs/>
                <w:color w:val="000000"/>
                <w:sz w:val="18"/>
                <w:szCs w:val="18"/>
              </w:rPr>
              <w:t>VII. Balance Presupuestario de Recursos Etiquetados (VII = A2 + A3.2 – B</w:t>
            </w:r>
            <w:proofErr w:type="gramStart"/>
            <w:r w:rsidRPr="000A4E2D">
              <w:rPr>
                <w:rFonts w:eastAsia="Times New Roman" w:cs="Arial"/>
                <w:b/>
                <w:bCs/>
                <w:color w:val="000000"/>
                <w:sz w:val="18"/>
                <w:szCs w:val="18"/>
              </w:rPr>
              <w:t>2  +</w:t>
            </w:r>
            <w:proofErr w:type="gramEnd"/>
            <w:r w:rsidRPr="000A4E2D">
              <w:rPr>
                <w:rFonts w:eastAsia="Times New Roman" w:cs="Arial"/>
                <w:b/>
                <w:bCs/>
                <w:color w:val="000000"/>
                <w:sz w:val="18"/>
                <w:szCs w:val="18"/>
              </w:rPr>
              <w:t xml:space="preserve"> C2)</w:t>
            </w:r>
          </w:p>
        </w:tc>
        <w:tc>
          <w:tcPr>
            <w:tcW w:w="899" w:type="pct"/>
            <w:tcBorders>
              <w:top w:val="nil"/>
              <w:left w:val="nil"/>
              <w:bottom w:val="single" w:sz="8" w:space="0" w:color="auto"/>
              <w:right w:val="single" w:sz="8" w:space="0" w:color="auto"/>
            </w:tcBorders>
            <w:shd w:val="clear" w:color="000000" w:fill="FFFFFF"/>
            <w:vAlign w:val="center"/>
            <w:hideMark/>
          </w:tcPr>
          <w:p w14:paraId="3FD2E610" w14:textId="77777777" w:rsidR="000A4E2D" w:rsidRPr="000A4E2D" w:rsidRDefault="000A4E2D" w:rsidP="00382F53">
            <w:pPr>
              <w:jc w:val="right"/>
              <w:rPr>
                <w:rFonts w:eastAsia="Times New Roman" w:cs="Arial"/>
                <w:b/>
                <w:bCs/>
                <w:color w:val="000000"/>
                <w:sz w:val="18"/>
                <w:szCs w:val="18"/>
              </w:rPr>
            </w:pPr>
            <w:r w:rsidRPr="000A4E2D">
              <w:rPr>
                <w:rFonts w:eastAsia="Times New Roman" w:cs="Arial"/>
                <w:b/>
                <w:bCs/>
                <w:color w:val="000000"/>
                <w:sz w:val="18"/>
                <w:szCs w:val="18"/>
              </w:rPr>
              <w:t>0</w:t>
            </w:r>
          </w:p>
        </w:tc>
        <w:tc>
          <w:tcPr>
            <w:tcW w:w="82" w:type="pct"/>
            <w:vAlign w:val="center"/>
            <w:hideMark/>
          </w:tcPr>
          <w:p w14:paraId="18D0D3E0" w14:textId="77777777" w:rsidR="000A4E2D" w:rsidRPr="000A4E2D" w:rsidRDefault="000A4E2D" w:rsidP="000A4E2D">
            <w:pPr>
              <w:jc w:val="left"/>
              <w:rPr>
                <w:rFonts w:ascii="Times New Roman" w:eastAsia="Times New Roman" w:hAnsi="Times New Roman" w:cs="Times New Roman"/>
                <w:sz w:val="20"/>
                <w:szCs w:val="20"/>
              </w:rPr>
            </w:pPr>
          </w:p>
        </w:tc>
      </w:tr>
      <w:tr w:rsidR="00DB0940" w:rsidRPr="000A4E2D" w14:paraId="01128445" w14:textId="77777777" w:rsidTr="00382F53">
        <w:trPr>
          <w:trHeight w:val="20"/>
        </w:trPr>
        <w:tc>
          <w:tcPr>
            <w:tcW w:w="103" w:type="pct"/>
            <w:tcBorders>
              <w:top w:val="nil"/>
              <w:left w:val="single" w:sz="8" w:space="0" w:color="auto"/>
              <w:bottom w:val="single" w:sz="8" w:space="0" w:color="auto"/>
              <w:right w:val="nil"/>
            </w:tcBorders>
            <w:shd w:val="clear" w:color="000000" w:fill="EDEDED"/>
            <w:noWrap/>
            <w:vAlign w:val="center"/>
            <w:hideMark/>
          </w:tcPr>
          <w:p w14:paraId="6D07A4EB" w14:textId="77777777" w:rsidR="000A4E2D" w:rsidRPr="000A4E2D" w:rsidRDefault="000A4E2D" w:rsidP="00382F53">
            <w:pPr>
              <w:jc w:val="left"/>
              <w:rPr>
                <w:rFonts w:eastAsia="Times New Roman" w:cs="Arial"/>
                <w:b/>
                <w:bCs/>
                <w:color w:val="000000"/>
                <w:sz w:val="18"/>
                <w:szCs w:val="18"/>
              </w:rPr>
            </w:pPr>
            <w:r w:rsidRPr="000A4E2D">
              <w:rPr>
                <w:rFonts w:eastAsia="Times New Roman" w:cs="Arial"/>
                <w:b/>
                <w:bCs/>
                <w:color w:val="000000"/>
                <w:sz w:val="18"/>
                <w:szCs w:val="18"/>
              </w:rPr>
              <w:t> </w:t>
            </w:r>
          </w:p>
        </w:tc>
        <w:tc>
          <w:tcPr>
            <w:tcW w:w="3917" w:type="pct"/>
            <w:tcBorders>
              <w:top w:val="nil"/>
              <w:left w:val="nil"/>
              <w:bottom w:val="single" w:sz="8" w:space="0" w:color="auto"/>
              <w:right w:val="single" w:sz="8" w:space="0" w:color="auto"/>
            </w:tcBorders>
            <w:shd w:val="clear" w:color="000000" w:fill="EDEDED"/>
            <w:vAlign w:val="center"/>
            <w:hideMark/>
          </w:tcPr>
          <w:p w14:paraId="594EB8B1" w14:textId="77777777" w:rsidR="000A4E2D" w:rsidRPr="000A4E2D" w:rsidRDefault="000A4E2D" w:rsidP="00382F53">
            <w:pPr>
              <w:ind w:firstLineChars="100" w:firstLine="181"/>
              <w:jc w:val="left"/>
              <w:rPr>
                <w:rFonts w:eastAsia="Times New Roman" w:cs="Arial"/>
                <w:b/>
                <w:bCs/>
                <w:color w:val="000000"/>
                <w:sz w:val="18"/>
                <w:szCs w:val="18"/>
              </w:rPr>
            </w:pPr>
            <w:r w:rsidRPr="000A4E2D">
              <w:rPr>
                <w:rFonts w:eastAsia="Times New Roman" w:cs="Arial"/>
                <w:b/>
                <w:bCs/>
                <w:color w:val="000000"/>
                <w:sz w:val="18"/>
                <w:szCs w:val="18"/>
              </w:rPr>
              <w:t>VIII. Balance Presupuestario de Recursos Etiquetados sin Financiamiento Neto (VIII = VII – A3.2)</w:t>
            </w:r>
          </w:p>
        </w:tc>
        <w:tc>
          <w:tcPr>
            <w:tcW w:w="899" w:type="pct"/>
            <w:tcBorders>
              <w:top w:val="nil"/>
              <w:left w:val="nil"/>
              <w:bottom w:val="single" w:sz="8" w:space="0" w:color="auto"/>
              <w:right w:val="single" w:sz="8" w:space="0" w:color="auto"/>
            </w:tcBorders>
            <w:shd w:val="clear" w:color="000000" w:fill="EDEDED"/>
            <w:vAlign w:val="center"/>
            <w:hideMark/>
          </w:tcPr>
          <w:p w14:paraId="3C1038BD" w14:textId="77777777" w:rsidR="000A4E2D" w:rsidRPr="000A4E2D" w:rsidRDefault="000A4E2D" w:rsidP="00382F53">
            <w:pPr>
              <w:jc w:val="right"/>
              <w:rPr>
                <w:rFonts w:eastAsia="Times New Roman" w:cs="Arial"/>
                <w:b/>
                <w:bCs/>
                <w:color w:val="000000"/>
                <w:sz w:val="18"/>
                <w:szCs w:val="18"/>
              </w:rPr>
            </w:pPr>
            <w:r w:rsidRPr="000A4E2D">
              <w:rPr>
                <w:rFonts w:eastAsia="Times New Roman" w:cs="Arial"/>
                <w:b/>
                <w:bCs/>
                <w:color w:val="000000"/>
                <w:sz w:val="18"/>
                <w:szCs w:val="18"/>
              </w:rPr>
              <w:t>72,774,280</w:t>
            </w:r>
          </w:p>
        </w:tc>
        <w:tc>
          <w:tcPr>
            <w:tcW w:w="82" w:type="pct"/>
            <w:vAlign w:val="center"/>
            <w:hideMark/>
          </w:tcPr>
          <w:p w14:paraId="555D8DB7" w14:textId="77777777" w:rsidR="000A4E2D" w:rsidRPr="000A4E2D" w:rsidRDefault="000A4E2D" w:rsidP="000A4E2D">
            <w:pPr>
              <w:jc w:val="left"/>
              <w:rPr>
                <w:rFonts w:ascii="Times New Roman" w:eastAsia="Times New Roman" w:hAnsi="Times New Roman" w:cs="Times New Roman"/>
                <w:sz w:val="20"/>
                <w:szCs w:val="20"/>
              </w:rPr>
            </w:pPr>
          </w:p>
        </w:tc>
      </w:tr>
      <w:tr w:rsidR="000A4E2D" w:rsidRPr="000A4E2D" w14:paraId="6C179135" w14:textId="77777777" w:rsidTr="00382F53">
        <w:trPr>
          <w:trHeight w:val="20"/>
        </w:trPr>
        <w:tc>
          <w:tcPr>
            <w:tcW w:w="4019" w:type="pct"/>
            <w:gridSpan w:val="2"/>
            <w:tcBorders>
              <w:top w:val="nil"/>
              <w:left w:val="nil"/>
              <w:bottom w:val="nil"/>
              <w:right w:val="nil"/>
            </w:tcBorders>
            <w:shd w:val="clear" w:color="auto" w:fill="auto"/>
            <w:noWrap/>
            <w:vAlign w:val="bottom"/>
            <w:hideMark/>
          </w:tcPr>
          <w:p w14:paraId="3E68F5ED"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Fuente: Estimación de Ingresos y Egresos 2025</w:t>
            </w:r>
          </w:p>
        </w:tc>
        <w:tc>
          <w:tcPr>
            <w:tcW w:w="899" w:type="pct"/>
            <w:tcBorders>
              <w:top w:val="nil"/>
              <w:left w:val="nil"/>
              <w:bottom w:val="nil"/>
              <w:right w:val="single" w:sz="4" w:space="0" w:color="FFFFFF"/>
            </w:tcBorders>
            <w:shd w:val="clear" w:color="auto" w:fill="auto"/>
            <w:noWrap/>
            <w:vAlign w:val="bottom"/>
            <w:hideMark/>
          </w:tcPr>
          <w:p w14:paraId="5BAF5B0A" w14:textId="77777777" w:rsidR="000A4E2D" w:rsidRPr="000A4E2D" w:rsidRDefault="000A4E2D" w:rsidP="00382F53">
            <w:pPr>
              <w:jc w:val="left"/>
              <w:rPr>
                <w:rFonts w:eastAsia="Times New Roman" w:cs="Arial"/>
                <w:color w:val="000000"/>
                <w:sz w:val="18"/>
                <w:szCs w:val="18"/>
              </w:rPr>
            </w:pPr>
            <w:r w:rsidRPr="000A4E2D">
              <w:rPr>
                <w:rFonts w:eastAsia="Times New Roman" w:cs="Arial"/>
                <w:color w:val="000000"/>
                <w:sz w:val="18"/>
                <w:szCs w:val="18"/>
              </w:rPr>
              <w:t> </w:t>
            </w:r>
          </w:p>
        </w:tc>
        <w:tc>
          <w:tcPr>
            <w:tcW w:w="82" w:type="pct"/>
            <w:vAlign w:val="center"/>
            <w:hideMark/>
          </w:tcPr>
          <w:p w14:paraId="7144810C" w14:textId="77777777" w:rsidR="000A4E2D" w:rsidRPr="000A4E2D" w:rsidRDefault="000A4E2D" w:rsidP="000A4E2D">
            <w:pPr>
              <w:jc w:val="left"/>
              <w:rPr>
                <w:rFonts w:ascii="Times New Roman" w:eastAsia="Times New Roman" w:hAnsi="Times New Roman" w:cs="Times New Roman"/>
                <w:sz w:val="20"/>
                <w:szCs w:val="20"/>
              </w:rPr>
            </w:pPr>
          </w:p>
        </w:tc>
      </w:tr>
    </w:tbl>
    <w:p w14:paraId="20E49752" w14:textId="3F5F5FD7" w:rsidR="00531CF6" w:rsidRDefault="00531CF6" w:rsidP="00382F53">
      <w:pPr>
        <w:spacing w:line="259" w:lineRule="auto"/>
        <w:rPr>
          <w:rFonts w:cs="Arial"/>
          <w:b/>
          <w:bCs/>
        </w:rPr>
      </w:pPr>
    </w:p>
    <w:p w14:paraId="48EC8C2D" w14:textId="77777777" w:rsidR="00382F53" w:rsidRDefault="00382F53">
      <w:pPr>
        <w:spacing w:after="160" w:line="259" w:lineRule="auto"/>
        <w:rPr>
          <w:rFonts w:cs="Arial"/>
          <w:b/>
          <w:bCs/>
        </w:rPr>
      </w:pPr>
    </w:p>
    <w:p w14:paraId="24687357" w14:textId="77777777" w:rsidR="00F40C0F" w:rsidRPr="00516AFF" w:rsidRDefault="00D604A9" w:rsidP="00A65C89">
      <w:pPr>
        <w:pStyle w:val="Ttulo2"/>
        <w:rPr>
          <w:rFonts w:cs="Arial"/>
        </w:rPr>
      </w:pPr>
      <w:r w:rsidRPr="00516AFF">
        <w:rPr>
          <w:rFonts w:cs="Arial"/>
        </w:rPr>
        <w:t>2.</w:t>
      </w:r>
      <w:r w:rsidR="00F40C0F" w:rsidRPr="00516AFF">
        <w:rPr>
          <w:rFonts w:cs="Arial"/>
        </w:rPr>
        <w:t xml:space="preserve">X. Asignaciones para la </w:t>
      </w:r>
      <w:r w:rsidR="00DB4170" w:rsidRPr="00516AFF">
        <w:rPr>
          <w:rFonts w:cs="Arial"/>
        </w:rPr>
        <w:t>atención de desastres naturales</w:t>
      </w:r>
    </w:p>
    <w:p w14:paraId="561D95B0" w14:textId="77777777" w:rsidR="00242C70" w:rsidRPr="00516AFF" w:rsidRDefault="00242C70" w:rsidP="00A3747F">
      <w:pPr>
        <w:rPr>
          <w:rFonts w:cs="Arial"/>
          <w:bCs/>
        </w:rPr>
      </w:pPr>
    </w:p>
    <w:p w14:paraId="48046CE9" w14:textId="77777777" w:rsidR="00F40C0F" w:rsidRPr="00516AFF" w:rsidRDefault="00F40C0F" w:rsidP="00A3747F">
      <w:pPr>
        <w:rPr>
          <w:rFonts w:cs="Arial"/>
          <w:bCs/>
        </w:rPr>
      </w:pPr>
      <w:r w:rsidRPr="00516AFF">
        <w:rPr>
          <w:rFonts w:cs="Arial"/>
          <w:bCs/>
        </w:rPr>
        <w:t>Según lo previsto en la Ley General de Protección Civil, es obligación del Estado en sus tres órdenes de gobierno, reducir los riesgos sobre los agentes afectables y llevar a cabo las acciones necesarias para la identificación y el reconocimiento de la vulnerabilidad de las zonas bajo su jurisdicción.</w:t>
      </w:r>
    </w:p>
    <w:p w14:paraId="6CD2F6AA" w14:textId="77777777" w:rsidR="00242C70" w:rsidRPr="00516AFF" w:rsidRDefault="00242C70" w:rsidP="00A3747F">
      <w:pPr>
        <w:autoSpaceDE w:val="0"/>
        <w:autoSpaceDN w:val="0"/>
        <w:adjustRightInd w:val="0"/>
        <w:rPr>
          <w:rFonts w:cs="Arial"/>
          <w:bCs/>
        </w:rPr>
      </w:pPr>
    </w:p>
    <w:p w14:paraId="744DD7A8" w14:textId="58792E3D" w:rsidR="00F40C0F" w:rsidRPr="00516AFF" w:rsidRDefault="00F40C0F" w:rsidP="00A3747F">
      <w:pPr>
        <w:autoSpaceDE w:val="0"/>
        <w:autoSpaceDN w:val="0"/>
        <w:adjustRightInd w:val="0"/>
        <w:rPr>
          <w:rFonts w:cs="Arial"/>
          <w:bCs/>
        </w:rPr>
      </w:pPr>
      <w:r w:rsidRPr="00516AFF">
        <w:rPr>
          <w:rFonts w:cs="Arial"/>
          <w:bCs/>
        </w:rPr>
        <w:t>En términos de lo establecido en el artículo 18 de la Ley</w:t>
      </w:r>
      <w:r w:rsidR="00EC341D">
        <w:rPr>
          <w:rFonts w:cs="Arial"/>
          <w:bCs/>
        </w:rPr>
        <w:t xml:space="preserve"> </w:t>
      </w:r>
      <w:r w:rsidR="00EC341D" w:rsidRPr="00516AFF">
        <w:rPr>
          <w:rFonts w:cs="Arial"/>
          <w:bCs/>
        </w:rPr>
        <w:t>General de Protección Civil</w:t>
      </w:r>
      <w:r w:rsidRPr="00516AFF">
        <w:rPr>
          <w:rFonts w:cs="Arial"/>
          <w:bCs/>
        </w:rPr>
        <w:t xml:space="preserve">, es responsabilidad de los gobiernos de las </w:t>
      </w:r>
      <w:r w:rsidR="00EC341D">
        <w:rPr>
          <w:rFonts w:cs="Arial"/>
          <w:bCs/>
        </w:rPr>
        <w:t>E</w:t>
      </w:r>
      <w:r w:rsidRPr="00516AFF">
        <w:rPr>
          <w:rFonts w:cs="Arial"/>
          <w:bCs/>
        </w:rPr>
        <w:t xml:space="preserve">ntidades </w:t>
      </w:r>
      <w:r w:rsidR="00EC341D">
        <w:rPr>
          <w:rFonts w:cs="Arial"/>
          <w:bCs/>
        </w:rPr>
        <w:t>F</w:t>
      </w:r>
      <w:r w:rsidRPr="00516AFF">
        <w:rPr>
          <w:rFonts w:cs="Arial"/>
          <w:bCs/>
        </w:rPr>
        <w:t xml:space="preserve">ederativas, conforme a su disponibilidad presupuestaria, la contratación de seguros y demás instrumentos de administración y transferencia de riesgos para la cobertura de daños causados por un desastre natural en los bienes e infraestructura de sus </w:t>
      </w:r>
      <w:r w:rsidR="00EC341D">
        <w:rPr>
          <w:rFonts w:cs="Arial"/>
          <w:bCs/>
        </w:rPr>
        <w:t>E</w:t>
      </w:r>
      <w:r w:rsidRPr="00516AFF">
        <w:rPr>
          <w:rFonts w:cs="Arial"/>
          <w:bCs/>
        </w:rPr>
        <w:t xml:space="preserve">ntidades </w:t>
      </w:r>
      <w:r w:rsidR="00EC341D">
        <w:rPr>
          <w:rFonts w:cs="Arial"/>
          <w:bCs/>
        </w:rPr>
        <w:t>F</w:t>
      </w:r>
      <w:r w:rsidRPr="00516AFF">
        <w:rPr>
          <w:rFonts w:cs="Arial"/>
          <w:bCs/>
        </w:rPr>
        <w:t>ederativas.</w:t>
      </w:r>
    </w:p>
    <w:p w14:paraId="69574AA1" w14:textId="77777777" w:rsidR="00F40C0F" w:rsidRPr="00516AFF" w:rsidRDefault="00F40C0F" w:rsidP="00A3747F">
      <w:pPr>
        <w:autoSpaceDE w:val="0"/>
        <w:autoSpaceDN w:val="0"/>
        <w:adjustRightInd w:val="0"/>
        <w:rPr>
          <w:rFonts w:cs="Arial"/>
          <w:bCs/>
        </w:rPr>
      </w:pPr>
    </w:p>
    <w:p w14:paraId="3CE7CC1E" w14:textId="6A6876F2" w:rsidR="00203564" w:rsidRPr="0096590F" w:rsidRDefault="0068149B" w:rsidP="00203564">
      <w:pPr>
        <w:autoSpaceDE w:val="0"/>
        <w:autoSpaceDN w:val="0"/>
        <w:adjustRightInd w:val="0"/>
        <w:rPr>
          <w:rFonts w:cs="Arial"/>
          <w:bCs/>
        </w:rPr>
      </w:pPr>
      <w:r w:rsidRPr="0096590F">
        <w:rPr>
          <w:rFonts w:cs="Arial"/>
          <w:bCs/>
        </w:rPr>
        <w:t xml:space="preserve">Para el </w:t>
      </w:r>
      <w:r w:rsidR="004503F5" w:rsidRPr="0096590F">
        <w:rPr>
          <w:rFonts w:cs="Arial"/>
          <w:bCs/>
        </w:rPr>
        <w:t>Ejercicio Fiscal</w:t>
      </w:r>
      <w:r w:rsidR="00203564" w:rsidRPr="0096590F">
        <w:rPr>
          <w:rFonts w:cs="Arial"/>
          <w:bCs/>
        </w:rPr>
        <w:t xml:space="preserve"> </w:t>
      </w:r>
      <w:r w:rsidR="00610D9F" w:rsidRPr="0096590F">
        <w:rPr>
          <w:rFonts w:cs="Arial"/>
          <w:bCs/>
        </w:rPr>
        <w:t>202</w:t>
      </w:r>
      <w:r w:rsidR="000F1B6B" w:rsidRPr="0096590F">
        <w:rPr>
          <w:rFonts w:cs="Arial"/>
          <w:bCs/>
        </w:rPr>
        <w:t>5</w:t>
      </w:r>
      <w:r w:rsidR="00203564" w:rsidRPr="0096590F">
        <w:rPr>
          <w:rFonts w:cs="Arial"/>
          <w:bCs/>
        </w:rPr>
        <w:t xml:space="preserve"> se estimó una cantidad de </w:t>
      </w:r>
      <w:r w:rsidR="00067879" w:rsidRPr="0096590F">
        <w:rPr>
          <w:rFonts w:cs="Arial"/>
          <w:bCs/>
        </w:rPr>
        <w:t>25</w:t>
      </w:r>
      <w:r w:rsidR="00203564" w:rsidRPr="0096590F">
        <w:rPr>
          <w:rFonts w:cs="Arial"/>
          <w:bCs/>
        </w:rPr>
        <w:t xml:space="preserve"> </w:t>
      </w:r>
      <w:r w:rsidR="00580D53" w:rsidRPr="0096590F">
        <w:rPr>
          <w:rFonts w:cs="Arial"/>
          <w:bCs/>
        </w:rPr>
        <w:t xml:space="preserve">millones </w:t>
      </w:r>
      <w:r w:rsidR="00203564" w:rsidRPr="0096590F">
        <w:rPr>
          <w:rFonts w:cs="Arial"/>
          <w:bCs/>
        </w:rPr>
        <w:t xml:space="preserve">de pesos en la partida </w:t>
      </w:r>
      <w:r w:rsidR="002A1946" w:rsidRPr="0096590F">
        <w:rPr>
          <w:rFonts w:cs="Arial"/>
          <w:bCs/>
        </w:rPr>
        <w:t>0</w:t>
      </w:r>
      <w:r w:rsidR="00203564" w:rsidRPr="0096590F">
        <w:rPr>
          <w:rFonts w:cs="Arial"/>
          <w:bCs/>
        </w:rPr>
        <w:t>3</w:t>
      </w:r>
      <w:r w:rsidR="002A1946" w:rsidRPr="0096590F">
        <w:rPr>
          <w:rFonts w:cs="Arial"/>
          <w:bCs/>
        </w:rPr>
        <w:t>0</w:t>
      </w:r>
      <w:r w:rsidR="00203564" w:rsidRPr="0096590F">
        <w:rPr>
          <w:rFonts w:cs="Arial"/>
          <w:bCs/>
        </w:rPr>
        <w:t>4</w:t>
      </w:r>
      <w:r w:rsidR="002A1946" w:rsidRPr="0096590F">
        <w:rPr>
          <w:rFonts w:cs="Arial"/>
          <w:bCs/>
        </w:rPr>
        <w:t>0</w:t>
      </w:r>
      <w:r w:rsidR="00203564" w:rsidRPr="0096590F">
        <w:rPr>
          <w:rFonts w:cs="Arial"/>
          <w:bCs/>
        </w:rPr>
        <w:t>5</w:t>
      </w:r>
      <w:r w:rsidR="002A1946" w:rsidRPr="0096590F">
        <w:rPr>
          <w:rFonts w:cs="Arial"/>
          <w:bCs/>
        </w:rPr>
        <w:t>0</w:t>
      </w:r>
      <w:r w:rsidR="00203564" w:rsidRPr="0096590F">
        <w:rPr>
          <w:rFonts w:cs="Arial"/>
          <w:bCs/>
        </w:rPr>
        <w:t xml:space="preserve">02 Seguro de Gastos Catastróficos que representa el monto destinado para la contratación del </w:t>
      </w:r>
      <w:r w:rsidR="00EC341D" w:rsidRPr="0096590F">
        <w:rPr>
          <w:rFonts w:cs="Arial"/>
          <w:bCs/>
        </w:rPr>
        <w:t>S</w:t>
      </w:r>
      <w:r w:rsidR="00203564" w:rsidRPr="0096590F">
        <w:rPr>
          <w:rFonts w:cs="Arial"/>
          <w:bCs/>
        </w:rPr>
        <w:t xml:space="preserve">eguro </w:t>
      </w:r>
      <w:r w:rsidRPr="0096590F">
        <w:rPr>
          <w:rFonts w:cs="Arial"/>
          <w:bCs/>
        </w:rPr>
        <w:t xml:space="preserve">contra </w:t>
      </w:r>
      <w:r w:rsidR="00EC341D" w:rsidRPr="0096590F">
        <w:rPr>
          <w:rFonts w:cs="Arial"/>
          <w:bCs/>
        </w:rPr>
        <w:t>G</w:t>
      </w:r>
      <w:r w:rsidRPr="0096590F">
        <w:rPr>
          <w:rFonts w:cs="Arial"/>
          <w:bCs/>
        </w:rPr>
        <w:t xml:space="preserve">astos </w:t>
      </w:r>
      <w:r w:rsidR="00EC341D" w:rsidRPr="0096590F">
        <w:rPr>
          <w:rFonts w:cs="Arial"/>
          <w:bCs/>
        </w:rPr>
        <w:t>C</w:t>
      </w:r>
      <w:r w:rsidRPr="0096590F">
        <w:rPr>
          <w:rFonts w:cs="Arial"/>
          <w:bCs/>
        </w:rPr>
        <w:t>atastróficos</w:t>
      </w:r>
      <w:r w:rsidR="00203564" w:rsidRPr="0096590F">
        <w:rPr>
          <w:rFonts w:cs="Arial"/>
          <w:bCs/>
        </w:rPr>
        <w:t>, para la atención a la infraestructura dañada en caso de desastres naturales.</w:t>
      </w:r>
    </w:p>
    <w:p w14:paraId="238E7B2F" w14:textId="77777777" w:rsidR="00203564" w:rsidRPr="00516AFF" w:rsidRDefault="00203564" w:rsidP="00203564">
      <w:pPr>
        <w:rPr>
          <w:rFonts w:cs="Arial"/>
          <w:b/>
          <w:bCs/>
        </w:rPr>
      </w:pPr>
    </w:p>
    <w:p w14:paraId="2C187D36" w14:textId="3D6FBCB7" w:rsidR="0068149B" w:rsidRDefault="00203564" w:rsidP="00203564">
      <w:pPr>
        <w:rPr>
          <w:rFonts w:cs="Arial"/>
        </w:rPr>
      </w:pPr>
      <w:r w:rsidRPr="0096590F">
        <w:rPr>
          <w:rFonts w:cs="Arial"/>
        </w:rPr>
        <w:t xml:space="preserve">Para el </w:t>
      </w:r>
      <w:r w:rsidR="004503F5" w:rsidRPr="0096590F">
        <w:rPr>
          <w:rFonts w:cs="Arial"/>
        </w:rPr>
        <w:t>Ejercicio Fiscal</w:t>
      </w:r>
      <w:r w:rsidRPr="0096590F">
        <w:rPr>
          <w:rFonts w:cs="Arial"/>
        </w:rPr>
        <w:t xml:space="preserve"> </w:t>
      </w:r>
      <w:r w:rsidR="00610D9F" w:rsidRPr="0096590F">
        <w:rPr>
          <w:rFonts w:cs="Arial"/>
        </w:rPr>
        <w:t>202</w:t>
      </w:r>
      <w:r w:rsidR="000F1B6B" w:rsidRPr="0096590F">
        <w:rPr>
          <w:rFonts w:cs="Arial"/>
        </w:rPr>
        <w:t>5</w:t>
      </w:r>
      <w:r w:rsidRPr="0096590F">
        <w:rPr>
          <w:rFonts w:cs="Arial"/>
        </w:rPr>
        <w:t xml:space="preserve">, se prevén en la partida </w:t>
      </w:r>
      <w:r w:rsidR="002A1946" w:rsidRPr="0096590F">
        <w:rPr>
          <w:rFonts w:cs="Arial"/>
        </w:rPr>
        <w:t>070901001</w:t>
      </w:r>
      <w:r w:rsidRPr="0096590F">
        <w:rPr>
          <w:rFonts w:cs="Arial"/>
        </w:rPr>
        <w:t xml:space="preserve"> Fondo de Desastres Naturales, </w:t>
      </w:r>
      <w:r w:rsidR="0096590F" w:rsidRPr="0096590F">
        <w:rPr>
          <w:rFonts w:cs="Arial"/>
        </w:rPr>
        <w:t>3</w:t>
      </w:r>
      <w:r w:rsidRPr="0096590F">
        <w:rPr>
          <w:rFonts w:cs="Arial"/>
        </w:rPr>
        <w:t xml:space="preserve"> </w:t>
      </w:r>
      <w:r w:rsidR="00580D53" w:rsidRPr="0096590F">
        <w:rPr>
          <w:rFonts w:cs="Arial"/>
        </w:rPr>
        <w:t xml:space="preserve">millones de </w:t>
      </w:r>
      <w:r w:rsidRPr="0096590F">
        <w:rPr>
          <w:rFonts w:cs="Arial"/>
        </w:rPr>
        <w:t>pesos de aportación</w:t>
      </w:r>
      <w:r w:rsidR="0068149B" w:rsidRPr="0096590F">
        <w:rPr>
          <w:rFonts w:cs="Arial"/>
        </w:rPr>
        <w:t xml:space="preserve"> al Fideicomiso, </w:t>
      </w:r>
      <w:r w:rsidRPr="0096590F">
        <w:rPr>
          <w:rFonts w:cs="Arial"/>
        </w:rPr>
        <w:t>con el fin de atender a la población afectada y los daños causados a la infraestructura</w:t>
      </w:r>
      <w:r w:rsidR="0094225A" w:rsidRPr="0096590F">
        <w:rPr>
          <w:rFonts w:cs="Arial"/>
        </w:rPr>
        <w:t xml:space="preserve"> pública estatal que se pudiese</w:t>
      </w:r>
      <w:r w:rsidRPr="0096590F">
        <w:rPr>
          <w:rFonts w:cs="Arial"/>
        </w:rPr>
        <w:t xml:space="preserve"> ocasionar por la ocurrencia de desastres naturales.</w:t>
      </w:r>
      <w:r w:rsidR="0068149B" w:rsidRPr="0096590F">
        <w:rPr>
          <w:rFonts w:cs="Arial"/>
        </w:rPr>
        <w:t xml:space="preserve"> La aportación estatal podrá variar durante el </w:t>
      </w:r>
      <w:r w:rsidR="004503F5" w:rsidRPr="0096590F">
        <w:rPr>
          <w:rFonts w:cs="Arial"/>
        </w:rPr>
        <w:t>Ejercicio Fiscal</w:t>
      </w:r>
      <w:r w:rsidR="0094225A" w:rsidRPr="0096590F">
        <w:rPr>
          <w:rFonts w:cs="Arial"/>
        </w:rPr>
        <w:t xml:space="preserve"> </w:t>
      </w:r>
      <w:r w:rsidR="00610D9F" w:rsidRPr="0096590F">
        <w:rPr>
          <w:rFonts w:cs="Arial"/>
        </w:rPr>
        <w:t>20</w:t>
      </w:r>
      <w:r w:rsidR="0046027E" w:rsidRPr="0096590F">
        <w:rPr>
          <w:rFonts w:cs="Arial"/>
        </w:rPr>
        <w:t>25</w:t>
      </w:r>
      <w:r w:rsidR="0094225A" w:rsidRPr="0096590F">
        <w:rPr>
          <w:rFonts w:cs="Arial"/>
        </w:rPr>
        <w:t xml:space="preserve"> de acuerdo al cá</w:t>
      </w:r>
      <w:r w:rsidR="0068149B" w:rsidRPr="0096590F">
        <w:rPr>
          <w:rFonts w:cs="Arial"/>
        </w:rPr>
        <w:t>lculo que se realice</w:t>
      </w:r>
      <w:r w:rsidR="0094225A" w:rsidRPr="0096590F">
        <w:rPr>
          <w:rFonts w:cs="Arial"/>
        </w:rPr>
        <w:t xml:space="preserve"> con base a lo establecido en el artículo 9 de la Ley de Disciplina Financiera de las Entidades Federativas y los Municipios a causa de la declaratoria de emergencia por el sismo ya señalado. </w:t>
      </w:r>
    </w:p>
    <w:p w14:paraId="02A7947F" w14:textId="69F66A4B" w:rsidR="00C023BE" w:rsidRDefault="00C023BE" w:rsidP="00203564">
      <w:pPr>
        <w:rPr>
          <w:rFonts w:cs="Arial"/>
        </w:rPr>
      </w:pPr>
    </w:p>
    <w:p w14:paraId="2D58B689" w14:textId="77777777" w:rsidR="00382F53" w:rsidRPr="0096590F" w:rsidRDefault="00382F53" w:rsidP="00203564">
      <w:pPr>
        <w:rPr>
          <w:rFonts w:cs="Arial"/>
        </w:rPr>
      </w:pPr>
    </w:p>
    <w:p w14:paraId="3E03F03A" w14:textId="20B2EB11" w:rsidR="005C51C5" w:rsidRPr="00516AFF" w:rsidRDefault="005C51C5" w:rsidP="005C51C5">
      <w:pPr>
        <w:pStyle w:val="Ttulo2"/>
        <w:rPr>
          <w:rFonts w:cs="Arial"/>
        </w:rPr>
      </w:pPr>
      <w:r w:rsidRPr="00516AFF">
        <w:rPr>
          <w:rFonts w:cs="Arial"/>
        </w:rPr>
        <w:t xml:space="preserve">2.XI. </w:t>
      </w:r>
      <w:r w:rsidRPr="005C51C5">
        <w:rPr>
          <w:rFonts w:cs="Arial"/>
        </w:rPr>
        <w:t>Asociación Público Privada</w:t>
      </w:r>
    </w:p>
    <w:p w14:paraId="3823A40F" w14:textId="77777777" w:rsidR="005C51C5" w:rsidRPr="00516AFF" w:rsidRDefault="005C51C5" w:rsidP="005C51C5">
      <w:pPr>
        <w:rPr>
          <w:rFonts w:cs="Arial"/>
          <w:bCs/>
        </w:rPr>
      </w:pPr>
    </w:p>
    <w:p w14:paraId="71EDED83" w14:textId="6D427201" w:rsidR="00B72E0F" w:rsidRDefault="00B72E0F" w:rsidP="00B72E0F">
      <w:pPr>
        <w:rPr>
          <w:rFonts w:cs="Arial"/>
        </w:rPr>
      </w:pPr>
      <w:r w:rsidRPr="00387FAF">
        <w:rPr>
          <w:rFonts w:cs="Arial"/>
        </w:rPr>
        <w:t xml:space="preserve">En términos de la Ley de Presupuesto y Responsabilidad Hacendaria del Estado de Colima y la Ley de Asociaciones Público Privadas del Estado de Colima se informa que el Gobierno del Estado de Colima ha llevado a cabo dos contratos de Asociación Público Privada, mismos que en los términos contractuales que se firmaron no representan obligaciones financieras para el Estado, </w:t>
      </w:r>
      <w:r w:rsidR="0013270E" w:rsidRPr="00387FAF">
        <w:rPr>
          <w:rFonts w:cs="Arial"/>
        </w:rPr>
        <w:t>adicionalmente y en beneficio del estado</w:t>
      </w:r>
      <w:r w:rsidRPr="00387FAF">
        <w:rPr>
          <w:rFonts w:cs="Arial"/>
        </w:rPr>
        <w:t xml:space="preserve"> en </w:t>
      </w:r>
      <w:proofErr w:type="spellStart"/>
      <w:r w:rsidRPr="00387FAF">
        <w:rPr>
          <w:rFonts w:cs="Arial"/>
        </w:rPr>
        <w:t>contrapresentación</w:t>
      </w:r>
      <w:proofErr w:type="spellEnd"/>
      <w:r w:rsidRPr="00387FAF">
        <w:rPr>
          <w:rFonts w:cs="Arial"/>
        </w:rPr>
        <w:t>, durante el ejercicio fiscal 2025</w:t>
      </w:r>
      <w:r w:rsidR="0013270E" w:rsidRPr="00387FAF">
        <w:rPr>
          <w:rFonts w:cs="Arial"/>
        </w:rPr>
        <w:t>,</w:t>
      </w:r>
      <w:r w:rsidRPr="00387FAF">
        <w:rPr>
          <w:rFonts w:cs="Arial"/>
        </w:rPr>
        <w:t xml:space="preserve"> se recibirán 322,875,390 pesos</w:t>
      </w:r>
      <w:r w:rsidR="0013270E" w:rsidRPr="00387FAF">
        <w:rPr>
          <w:rFonts w:cs="Arial"/>
        </w:rPr>
        <w:t xml:space="preserve"> para obra pública estatal, de estas dos asociaciones </w:t>
      </w:r>
      <w:r w:rsidR="00F00B2B" w:rsidRPr="00387FAF">
        <w:rPr>
          <w:rFonts w:cs="Arial"/>
        </w:rPr>
        <w:t>público</w:t>
      </w:r>
      <w:r w:rsidR="0013270E" w:rsidRPr="00387FAF">
        <w:rPr>
          <w:rFonts w:cs="Arial"/>
        </w:rPr>
        <w:t xml:space="preserve"> privadas </w:t>
      </w:r>
      <w:r w:rsidRPr="00387FAF">
        <w:rPr>
          <w:rFonts w:cs="Arial"/>
        </w:rPr>
        <w:t xml:space="preserve">en términos del artículo 26 de la Ley de Asociaciones Público Privadas </w:t>
      </w:r>
      <w:r w:rsidR="00F00B2B" w:rsidRPr="00387FAF">
        <w:rPr>
          <w:rFonts w:cs="Arial"/>
        </w:rPr>
        <w:t>se denominan: Contrato de Asociación Público Privada No. SEIDUM-PAPP-001/2024, para</w:t>
      </w:r>
      <w:r w:rsidR="00F00B2B" w:rsidRPr="00F00B2B">
        <w:rPr>
          <w:rFonts w:cs="Arial"/>
        </w:rPr>
        <w:t xml:space="preserve"> la prestación del Servicio de Disponibilidad carretera denominado “Autopista Colima-Armería”</w:t>
      </w:r>
      <w:r w:rsidR="00387FAF" w:rsidRPr="00387FAF">
        <w:t xml:space="preserve"> </w:t>
      </w:r>
      <w:r w:rsidR="00387FAF" w:rsidRPr="00387FAF">
        <w:rPr>
          <w:rFonts w:cs="Arial"/>
        </w:rPr>
        <w:t>consistente en la Rehabilitación, Operación, Explotación, Conservación, y Mantenimiento de la Autopi</w:t>
      </w:r>
      <w:r w:rsidR="00387FAF">
        <w:rPr>
          <w:rFonts w:cs="Arial"/>
        </w:rPr>
        <w:t>sta Colima-Armería de 43.1 Km. d</w:t>
      </w:r>
      <w:r w:rsidR="00387FAF" w:rsidRPr="00387FAF">
        <w:rPr>
          <w:rFonts w:cs="Arial"/>
        </w:rPr>
        <w:t>e Longitud</w:t>
      </w:r>
      <w:r w:rsidR="00387FAF">
        <w:rPr>
          <w:rFonts w:cs="Arial"/>
        </w:rPr>
        <w:t xml:space="preserve"> </w:t>
      </w:r>
      <w:r w:rsidR="00F00B2B" w:rsidRPr="00F00B2B">
        <w:rPr>
          <w:rFonts w:cs="Arial"/>
        </w:rPr>
        <w:t xml:space="preserve"> y del Contrato de Asociación Público Privada No. SEIDUM-PAPP-001/2023, para la prestación del Servicio de Disponibilidad en el proyecto carretero denominado “</w:t>
      </w:r>
      <w:proofErr w:type="spellStart"/>
      <w:r w:rsidR="00F00B2B" w:rsidRPr="00F00B2B">
        <w:rPr>
          <w:rFonts w:cs="Arial"/>
        </w:rPr>
        <w:t>Macrolibramiento</w:t>
      </w:r>
      <w:proofErr w:type="spellEnd"/>
      <w:r w:rsidR="00F00B2B" w:rsidRPr="00F00B2B">
        <w:rPr>
          <w:rFonts w:cs="Arial"/>
        </w:rPr>
        <w:t xml:space="preserve"> Sur de Colima</w:t>
      </w:r>
      <w:r w:rsidR="00F00B2B">
        <w:rPr>
          <w:rFonts w:cs="Arial"/>
        </w:rPr>
        <w:t>”</w:t>
      </w:r>
      <w:r w:rsidR="00387FAF">
        <w:rPr>
          <w:rFonts w:cs="Arial"/>
        </w:rPr>
        <w:t xml:space="preserve"> y el desarrollo del mismo</w:t>
      </w:r>
      <w:r w:rsidR="00F00B2B">
        <w:rPr>
          <w:rFonts w:cs="Arial"/>
        </w:rPr>
        <w:t xml:space="preserve">. </w:t>
      </w:r>
    </w:p>
    <w:p w14:paraId="291C8F38" w14:textId="1B191CAD" w:rsidR="00382F53" w:rsidRDefault="00382F53" w:rsidP="00B72E0F">
      <w:pPr>
        <w:rPr>
          <w:rFonts w:cs="Arial"/>
        </w:rPr>
      </w:pPr>
    </w:p>
    <w:p w14:paraId="2D6DD7A4" w14:textId="77777777" w:rsidR="00382F53" w:rsidRPr="00516AFF" w:rsidRDefault="00382F53" w:rsidP="00B72E0F">
      <w:pPr>
        <w:rPr>
          <w:rFonts w:cs="Arial"/>
        </w:rPr>
      </w:pPr>
    </w:p>
    <w:p w14:paraId="02931CBC" w14:textId="5DDD24D7" w:rsidR="00677E65" w:rsidRPr="00516AFF" w:rsidRDefault="00D604A9" w:rsidP="00A65C89">
      <w:pPr>
        <w:pStyle w:val="Ttulo2"/>
        <w:rPr>
          <w:rFonts w:cs="Arial"/>
        </w:rPr>
      </w:pPr>
      <w:r w:rsidRPr="00516AFF">
        <w:rPr>
          <w:rFonts w:cs="Arial"/>
        </w:rPr>
        <w:t>2.</w:t>
      </w:r>
      <w:r w:rsidR="00677E65" w:rsidRPr="00516AFF">
        <w:rPr>
          <w:rFonts w:cs="Arial"/>
        </w:rPr>
        <w:t>XI</w:t>
      </w:r>
      <w:r w:rsidR="005C51C5">
        <w:rPr>
          <w:rFonts w:cs="Arial"/>
        </w:rPr>
        <w:t>I</w:t>
      </w:r>
      <w:r w:rsidR="00677E65" w:rsidRPr="00516AFF">
        <w:rPr>
          <w:rFonts w:cs="Arial"/>
        </w:rPr>
        <w:t>. Evaluación del Desempeño</w:t>
      </w:r>
    </w:p>
    <w:p w14:paraId="60C201BB" w14:textId="77777777" w:rsidR="00677E65" w:rsidRPr="00516AFF" w:rsidRDefault="00677E65" w:rsidP="00677E65">
      <w:pPr>
        <w:rPr>
          <w:rFonts w:cs="Arial"/>
          <w:bCs/>
        </w:rPr>
      </w:pPr>
    </w:p>
    <w:p w14:paraId="6DC44D57" w14:textId="47AF1EC0" w:rsidR="00FE6590" w:rsidRDefault="00FE6590" w:rsidP="00FE6590">
      <w:pPr>
        <w:autoSpaceDE w:val="0"/>
        <w:autoSpaceDN w:val="0"/>
        <w:adjustRightInd w:val="0"/>
        <w:rPr>
          <w:rFonts w:cs="Arial"/>
          <w:bCs/>
        </w:rPr>
      </w:pPr>
      <w:bookmarkStart w:id="5" w:name="_Hlk148942548"/>
      <w:r w:rsidRPr="007461CE">
        <w:rPr>
          <w:rFonts w:cs="Arial"/>
          <w:bCs/>
        </w:rPr>
        <w:t>En cumplimiento a lo dispuesto por el artículo 134 de la Constitución Política de los Estados Unidos Mexicanos, artículo 49 de la Ley de Coordinación Fiscal, 110 de la Ley Federal de Presupuesto y Responsabilidad Hacendaria, y artículos 17 y 28 de la Ley de Presupuesto</w:t>
      </w:r>
      <w:r>
        <w:rPr>
          <w:rFonts w:cs="Arial"/>
          <w:bCs/>
        </w:rPr>
        <w:t xml:space="preserve"> y</w:t>
      </w:r>
      <w:r w:rsidRPr="007461CE">
        <w:rPr>
          <w:rFonts w:cs="Arial"/>
          <w:bCs/>
        </w:rPr>
        <w:t xml:space="preserve"> Responsabilidad Hacendaria del Estado de Colima, se realizaron las siguientes evaluaciones</w:t>
      </w:r>
      <w:r>
        <w:rPr>
          <w:rFonts w:cs="Arial"/>
          <w:bCs/>
        </w:rPr>
        <w:t>.</w:t>
      </w:r>
    </w:p>
    <w:p w14:paraId="243B8990" w14:textId="77777777" w:rsidR="00382F53" w:rsidRPr="00516AFF" w:rsidRDefault="00382F53" w:rsidP="00FE6590">
      <w:pPr>
        <w:autoSpaceDE w:val="0"/>
        <w:autoSpaceDN w:val="0"/>
        <w:adjustRightInd w:val="0"/>
        <w:rPr>
          <w:rFonts w:cs="Arial"/>
          <w:bCs/>
        </w:rPr>
      </w:pPr>
    </w:p>
    <w:p w14:paraId="1ED7EC55" w14:textId="77777777" w:rsidR="00FE6590" w:rsidRDefault="00FE6590" w:rsidP="00FE6590">
      <w:pPr>
        <w:autoSpaceDE w:val="0"/>
        <w:autoSpaceDN w:val="0"/>
        <w:adjustRightInd w:val="0"/>
        <w:rPr>
          <w:rFonts w:cs="Arial"/>
          <w:bCs/>
        </w:rPr>
      </w:pPr>
    </w:p>
    <w:tbl>
      <w:tblPr>
        <w:tblStyle w:val="Tablaconcuadrcula"/>
        <w:tblW w:w="8784" w:type="dxa"/>
        <w:jc w:val="center"/>
        <w:tblLayout w:type="fixed"/>
        <w:tblLook w:val="04A0" w:firstRow="1" w:lastRow="0" w:firstColumn="1" w:lastColumn="0" w:noHBand="0" w:noVBand="1"/>
      </w:tblPr>
      <w:tblGrid>
        <w:gridCol w:w="421"/>
        <w:gridCol w:w="1842"/>
        <w:gridCol w:w="1985"/>
        <w:gridCol w:w="2693"/>
        <w:gridCol w:w="1843"/>
      </w:tblGrid>
      <w:tr w:rsidR="00FE6590" w:rsidRPr="0006636F" w14:paraId="480C6EB4" w14:textId="77777777" w:rsidTr="00A04566">
        <w:trPr>
          <w:trHeight w:val="20"/>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9237BE" w14:textId="77777777" w:rsidR="00FE6590" w:rsidRPr="00297A26" w:rsidRDefault="00FE6590" w:rsidP="00A04566">
            <w:pPr>
              <w:jc w:val="center"/>
              <w:rPr>
                <w:rFonts w:eastAsia="Times New Roman" w:cs="Arial"/>
                <w:b/>
                <w:bCs/>
                <w:sz w:val="16"/>
                <w:szCs w:val="16"/>
                <w:lang w:val="es-ES_tradnl" w:eastAsia="es-ES_tradnl"/>
              </w:rPr>
            </w:pPr>
            <w:r w:rsidRPr="00297A26">
              <w:rPr>
                <w:rFonts w:eastAsia="Times New Roman" w:cs="Arial"/>
                <w:b/>
                <w:bCs/>
                <w:sz w:val="16"/>
                <w:szCs w:val="16"/>
                <w:lang w:val="es-ES_tradnl" w:eastAsia="es-ES_tradnl"/>
              </w:rPr>
              <w:t>PAE 2023</w:t>
            </w:r>
          </w:p>
          <w:p w14:paraId="70715D12" w14:textId="77777777" w:rsidR="00FE6590" w:rsidRPr="00297A26" w:rsidRDefault="00FE6590" w:rsidP="00A04566">
            <w:pPr>
              <w:jc w:val="center"/>
              <w:rPr>
                <w:rFonts w:eastAsia="Times New Roman" w:cs="Arial"/>
                <w:b/>
                <w:bCs/>
                <w:sz w:val="16"/>
                <w:szCs w:val="16"/>
                <w:lang w:val="es-ES_tradnl" w:eastAsia="es-ES_tradnl"/>
              </w:rPr>
            </w:pPr>
            <w:r w:rsidRPr="00297A26">
              <w:rPr>
                <w:rFonts w:eastAsia="Times New Roman" w:cs="Arial"/>
                <w:b/>
                <w:bCs/>
                <w:sz w:val="16"/>
                <w:szCs w:val="16"/>
                <w:lang w:val="es-ES_tradnl" w:eastAsia="es-ES_tradnl"/>
              </w:rPr>
              <w:t>Evaluaciones Realizadas</w:t>
            </w:r>
          </w:p>
        </w:tc>
      </w:tr>
      <w:tr w:rsidR="00FE6590" w:rsidRPr="00126C2B" w14:paraId="2B9725D5" w14:textId="77777777" w:rsidTr="00A04566">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FFD046" w14:textId="77777777" w:rsidR="00FE6590" w:rsidRPr="00297A26" w:rsidRDefault="00FE6590" w:rsidP="00A04566">
            <w:pPr>
              <w:jc w:val="center"/>
              <w:rPr>
                <w:rFonts w:eastAsia="Times New Roman" w:cs="Arial"/>
                <w:b/>
                <w:bCs/>
                <w:sz w:val="16"/>
                <w:szCs w:val="16"/>
                <w:lang w:val="es-ES_tradnl" w:eastAsia="es-ES_tradnl"/>
              </w:rPr>
            </w:pPr>
            <w:r w:rsidRPr="00297A26">
              <w:rPr>
                <w:rFonts w:eastAsia="Times New Roman" w:cs="Arial"/>
                <w:b/>
                <w:bCs/>
                <w:sz w:val="12"/>
                <w:szCs w:val="12"/>
                <w:lang w:val="es-ES_tradnl" w:eastAsia="es-ES_tradnl"/>
              </w:rPr>
              <w:t>No</w:t>
            </w:r>
            <w:r w:rsidRPr="00297A26">
              <w:rPr>
                <w:rFonts w:eastAsia="Times New Roman" w:cs="Arial"/>
                <w:b/>
                <w:bCs/>
                <w:sz w:val="16"/>
                <w:szCs w:val="16"/>
                <w:lang w:val="es-ES_tradnl" w:eastAsia="es-ES_tradnl"/>
              </w:rPr>
              <w:t>.</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E5E1F3" w14:textId="77777777" w:rsidR="00FE6590" w:rsidRPr="00297A26" w:rsidRDefault="00FE6590" w:rsidP="00A04566">
            <w:pPr>
              <w:jc w:val="center"/>
              <w:rPr>
                <w:rFonts w:eastAsia="Times New Roman" w:cs="Arial"/>
                <w:b/>
                <w:bCs/>
                <w:sz w:val="16"/>
                <w:szCs w:val="16"/>
                <w:lang w:val="es-ES_tradnl" w:eastAsia="es-ES_tradnl"/>
              </w:rPr>
            </w:pPr>
            <w:r w:rsidRPr="00297A26">
              <w:rPr>
                <w:rFonts w:eastAsia="Times New Roman" w:cs="Arial"/>
                <w:b/>
                <w:bCs/>
                <w:sz w:val="16"/>
                <w:szCs w:val="16"/>
                <w:lang w:val="es-ES_tradnl" w:eastAsia="es-ES_tradnl"/>
              </w:rPr>
              <w:t>Unidad Responsable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19FCEC" w14:textId="77777777" w:rsidR="00FE6590" w:rsidRPr="00297A26" w:rsidRDefault="00FE6590" w:rsidP="00A04566">
            <w:pPr>
              <w:jc w:val="center"/>
              <w:rPr>
                <w:rFonts w:eastAsia="Times New Roman" w:cs="Arial"/>
                <w:b/>
                <w:bCs/>
                <w:sz w:val="16"/>
                <w:szCs w:val="16"/>
                <w:lang w:val="es-ES_tradnl" w:eastAsia="es-ES_tradnl"/>
              </w:rPr>
            </w:pPr>
            <w:r w:rsidRPr="00297A26">
              <w:rPr>
                <w:rFonts w:eastAsia="Times New Roman" w:cs="Arial"/>
                <w:b/>
                <w:bCs/>
                <w:sz w:val="16"/>
                <w:szCs w:val="16"/>
                <w:lang w:val="es-ES_tradnl" w:eastAsia="es-ES_tradnl"/>
              </w:rPr>
              <w:t>Fondo</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08B4D1" w14:textId="77777777" w:rsidR="00FE6590" w:rsidRPr="00297A26" w:rsidRDefault="00FE6590" w:rsidP="00A04566">
            <w:pPr>
              <w:jc w:val="center"/>
              <w:rPr>
                <w:rFonts w:eastAsia="Times New Roman" w:cs="Arial"/>
                <w:b/>
                <w:bCs/>
                <w:sz w:val="16"/>
                <w:szCs w:val="16"/>
                <w:lang w:val="es-ES_tradnl" w:eastAsia="es-ES_tradnl"/>
              </w:rPr>
            </w:pPr>
            <w:r w:rsidRPr="00297A26">
              <w:rPr>
                <w:rFonts w:eastAsia="Times New Roman" w:cs="Arial"/>
                <w:b/>
                <w:bCs/>
                <w:sz w:val="16"/>
                <w:szCs w:val="16"/>
                <w:lang w:val="es-ES_tradnl" w:eastAsia="es-ES_tradnl"/>
              </w:rPr>
              <w:t>Programa presupuestario</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0D698D" w14:textId="77777777" w:rsidR="00FE6590" w:rsidRPr="00297A26" w:rsidRDefault="00FE6590" w:rsidP="00A04566">
            <w:pPr>
              <w:jc w:val="center"/>
              <w:rPr>
                <w:rFonts w:eastAsia="Times New Roman" w:cs="Arial"/>
                <w:b/>
                <w:bCs/>
                <w:sz w:val="16"/>
                <w:szCs w:val="16"/>
                <w:lang w:val="es-ES_tradnl" w:eastAsia="es-ES_tradnl"/>
              </w:rPr>
            </w:pPr>
            <w:r w:rsidRPr="00297A26">
              <w:rPr>
                <w:rFonts w:eastAsia="Times New Roman" w:cs="Arial"/>
                <w:b/>
                <w:bCs/>
                <w:sz w:val="16"/>
                <w:szCs w:val="16"/>
                <w:lang w:val="es-ES_tradnl" w:eastAsia="es-ES_tradnl"/>
              </w:rPr>
              <w:t>Tipo/ ejercicio fiscal que evalúa</w:t>
            </w:r>
          </w:p>
        </w:tc>
      </w:tr>
      <w:tr w:rsidR="00FE6590" w:rsidRPr="00126C2B" w14:paraId="09466305" w14:textId="77777777" w:rsidTr="00A04566">
        <w:trPr>
          <w:trHeight w:val="20"/>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932D86" w14:textId="77777777" w:rsidR="00FE6590" w:rsidRPr="00297A26" w:rsidRDefault="00FE6590" w:rsidP="00A04566">
            <w:pPr>
              <w:jc w:val="center"/>
              <w:rPr>
                <w:rFonts w:eastAsia="Times New Roman" w:cs="Arial"/>
                <w:b/>
                <w:bCs/>
                <w:sz w:val="16"/>
                <w:szCs w:val="16"/>
                <w:lang w:val="es-ES_tradnl" w:eastAsia="es-ES_tradnl"/>
              </w:rPr>
            </w:pPr>
            <w:r w:rsidRPr="00297A26">
              <w:rPr>
                <w:rFonts w:eastAsia="Times New Roman" w:cs="Arial"/>
                <w:b/>
                <w:bCs/>
                <w:sz w:val="16"/>
                <w:szCs w:val="16"/>
                <w:lang w:val="es-ES_tradnl" w:eastAsia="es-ES_tradnl"/>
              </w:rPr>
              <w:t>Evaluaciones de Consistencia y Resultados</w:t>
            </w:r>
          </w:p>
        </w:tc>
      </w:tr>
      <w:tr w:rsidR="00FE6590" w:rsidRPr="00EC1592" w14:paraId="77BEFD18" w14:textId="77777777" w:rsidTr="00A04566">
        <w:trPr>
          <w:trHeight w:val="20"/>
          <w:jc w:val="center"/>
        </w:trPr>
        <w:tc>
          <w:tcPr>
            <w:tcW w:w="421" w:type="dxa"/>
            <w:vAlign w:val="center"/>
          </w:tcPr>
          <w:p w14:paraId="6C517B86"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1</w:t>
            </w:r>
          </w:p>
        </w:tc>
        <w:tc>
          <w:tcPr>
            <w:tcW w:w="1842" w:type="dxa"/>
            <w:vAlign w:val="center"/>
          </w:tcPr>
          <w:p w14:paraId="0CFCB32D"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Secretaría de Salud.</w:t>
            </w:r>
          </w:p>
        </w:tc>
        <w:tc>
          <w:tcPr>
            <w:tcW w:w="1985" w:type="dxa"/>
            <w:vAlign w:val="center"/>
          </w:tcPr>
          <w:p w14:paraId="5572839D"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E001 Atención a la Salud de Personas sin Seguridad Social y Recursos Estatales.</w:t>
            </w:r>
          </w:p>
        </w:tc>
        <w:tc>
          <w:tcPr>
            <w:tcW w:w="2693" w:type="dxa"/>
            <w:vAlign w:val="center"/>
          </w:tcPr>
          <w:p w14:paraId="252FF5B4"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I02.- Salud. Componente F: Equipo, Tecnología e Infraestructura Suficientes Proporcionados. E-001 “Atención a la Salud de Personas sin Seguridad Social” Acciones de Infraestructura en la Modalidad de Conservación y Mantenimiento. Acciones de Infraestructura en la Modalidad de Construcción.</w:t>
            </w:r>
          </w:p>
        </w:tc>
        <w:tc>
          <w:tcPr>
            <w:tcW w:w="1843" w:type="dxa"/>
            <w:vAlign w:val="center"/>
          </w:tcPr>
          <w:p w14:paraId="3BF1C1CC"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Consistencia y Resultados.</w:t>
            </w:r>
          </w:p>
          <w:p w14:paraId="44A48CEB"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Ejercicio fiscal 2023.</w:t>
            </w:r>
          </w:p>
        </w:tc>
      </w:tr>
      <w:tr w:rsidR="00FE6590" w:rsidRPr="00093C99" w14:paraId="290CF52D" w14:textId="77777777" w:rsidTr="00A04566">
        <w:trPr>
          <w:trHeight w:val="20"/>
          <w:jc w:val="center"/>
        </w:trPr>
        <w:tc>
          <w:tcPr>
            <w:tcW w:w="8784" w:type="dxa"/>
            <w:gridSpan w:val="5"/>
            <w:vAlign w:val="center"/>
          </w:tcPr>
          <w:p w14:paraId="750066DE" w14:textId="77777777" w:rsidR="00FE6590" w:rsidRPr="00093C99" w:rsidRDefault="00FE6590" w:rsidP="00A04566">
            <w:pPr>
              <w:rPr>
                <w:rFonts w:eastAsia="Arial" w:cs="Arial"/>
                <w:b/>
                <w:bCs/>
                <w:sz w:val="14"/>
                <w:szCs w:val="14"/>
              </w:rPr>
            </w:pPr>
            <w:r w:rsidRPr="00093C99">
              <w:rPr>
                <w:rFonts w:eastAsia="Arial" w:cs="Arial"/>
                <w:b/>
                <w:bCs/>
                <w:sz w:val="14"/>
                <w:szCs w:val="14"/>
              </w:rPr>
              <w:t>Presupuesto.</w:t>
            </w:r>
          </w:p>
          <w:p w14:paraId="2B775B3F" w14:textId="77777777" w:rsidR="00FE6590" w:rsidRPr="00093C99" w:rsidRDefault="00FE6590" w:rsidP="00A04566">
            <w:pPr>
              <w:rPr>
                <w:rFonts w:cs="Arial"/>
                <w:sz w:val="14"/>
                <w:szCs w:val="14"/>
              </w:rPr>
            </w:pPr>
            <w:r w:rsidRPr="00093C99">
              <w:rPr>
                <w:rFonts w:cs="Arial"/>
                <w:sz w:val="14"/>
                <w:szCs w:val="14"/>
              </w:rPr>
              <w:lastRenderedPageBreak/>
              <w:t>El presupuesto total autorizado para el ejercicio fiscal evaluado fue de 53 millones 115 mil 761 pesos, provenientes de Recurso Federal del Programa E001 Atención a la Salud de Personas sin Seguridad Social, siendo el 100 por ciento de los recursos destinados.</w:t>
            </w:r>
          </w:p>
          <w:p w14:paraId="1CF43876" w14:textId="77777777" w:rsidR="00FE6590" w:rsidRPr="00093C99" w:rsidRDefault="00FE6590" w:rsidP="00A04566">
            <w:pPr>
              <w:rPr>
                <w:rFonts w:eastAsia="Arial" w:cs="Arial"/>
                <w:b/>
                <w:bCs/>
                <w:sz w:val="14"/>
                <w:szCs w:val="14"/>
              </w:rPr>
            </w:pPr>
            <w:r w:rsidRPr="00093C99">
              <w:rPr>
                <w:rFonts w:eastAsia="Arial" w:cs="Arial"/>
                <w:b/>
                <w:bCs/>
                <w:sz w:val="14"/>
                <w:szCs w:val="14"/>
              </w:rPr>
              <w:t>Principales Resultados de la Evaluación.</w:t>
            </w:r>
            <w:r>
              <w:rPr>
                <w:rFonts w:eastAsia="Arial" w:cs="Arial"/>
                <w:b/>
                <w:bCs/>
                <w:sz w:val="14"/>
                <w:szCs w:val="14"/>
              </w:rPr>
              <w:t xml:space="preserve"> </w:t>
            </w:r>
          </w:p>
          <w:p w14:paraId="6026BFA9" w14:textId="77777777" w:rsidR="00FE6590" w:rsidRPr="00093C99" w:rsidRDefault="00FE6590" w:rsidP="00A04566">
            <w:pPr>
              <w:pStyle w:val="TableParagraph"/>
              <w:kinsoku w:val="0"/>
              <w:overflowPunct w:val="0"/>
              <w:spacing w:line="240" w:lineRule="auto"/>
              <w:rPr>
                <w:color w:val="212121"/>
                <w:sz w:val="14"/>
                <w:szCs w:val="14"/>
              </w:rPr>
            </w:pPr>
            <w:r w:rsidRPr="00093C99">
              <w:rPr>
                <w:color w:val="212121"/>
                <w:sz w:val="14"/>
                <w:szCs w:val="14"/>
              </w:rPr>
              <w:t>La principal problemática que atiende este Programa presupuestario es contribuir a garantizar el acceso efectivo y la continuidad en la prestación gratuita de servicios de salud, medicamentos y demás insumos asociados dirigidos a las personas sin seguridad social.</w:t>
            </w:r>
          </w:p>
          <w:p w14:paraId="4993AA75" w14:textId="77777777" w:rsidR="00FE6590" w:rsidRPr="00093C99" w:rsidRDefault="00FE6590" w:rsidP="00A04566">
            <w:pPr>
              <w:pStyle w:val="TableParagraph"/>
              <w:kinsoku w:val="0"/>
              <w:overflowPunct w:val="0"/>
              <w:spacing w:line="240" w:lineRule="auto"/>
              <w:rPr>
                <w:color w:val="212121"/>
                <w:sz w:val="14"/>
                <w:szCs w:val="14"/>
              </w:rPr>
            </w:pPr>
            <w:r w:rsidRPr="00093C99">
              <w:rPr>
                <w:color w:val="212121"/>
                <w:sz w:val="14"/>
                <w:szCs w:val="14"/>
              </w:rPr>
              <w:t>Los hallazgos en cuanto al Diseño del programa son:</w:t>
            </w:r>
            <w:r w:rsidRPr="00093C99">
              <w:rPr>
                <w:b/>
                <w:bCs/>
                <w:color w:val="212121"/>
                <w:sz w:val="14"/>
                <w:szCs w:val="14"/>
              </w:rPr>
              <w:t xml:space="preserve"> </w:t>
            </w:r>
            <w:r w:rsidRPr="00093C99">
              <w:rPr>
                <w:color w:val="212121"/>
                <w:sz w:val="14"/>
                <w:szCs w:val="14"/>
              </w:rPr>
              <w:t>el objetivo del programa es claro, define la población objetivo, las acciones a realizar y la finalidad de éstas. Claridad y especificidad de los convenios de coordinación para la transferencia de recursos en lo relativo a conceptos de gasto de los mismos y posibilidad de ampliación de las modalidades para incluir la profesionalización del recurso humano.</w:t>
            </w:r>
          </w:p>
          <w:p w14:paraId="40FF3234" w14:textId="77777777" w:rsidR="00FE6590" w:rsidRPr="00093C99" w:rsidRDefault="00FE6590" w:rsidP="00A04566">
            <w:pPr>
              <w:pStyle w:val="TableParagraph"/>
              <w:kinsoku w:val="0"/>
              <w:overflowPunct w:val="0"/>
              <w:spacing w:line="240" w:lineRule="auto"/>
              <w:rPr>
                <w:color w:val="212121"/>
                <w:sz w:val="14"/>
                <w:szCs w:val="14"/>
              </w:rPr>
            </w:pPr>
            <w:r w:rsidRPr="00093C99">
              <w:rPr>
                <w:color w:val="212121"/>
                <w:sz w:val="14"/>
                <w:szCs w:val="14"/>
              </w:rPr>
              <w:t>En la Planeación y Orientación de Resultados, se observó priorización para intervenir con mantenimiento y conservación de unidades de salud que en ejercicios anteriores no habían recibido recursos para tal fin; flexibilidad del IMSS-BIENESTAR para recibir retroalimentación o sugerencias para ampliación de los catálogos de conceptos autorizados para el ejercicio de los recursos y la ampliación de la cobertura de las unidades médicas intervenidas.</w:t>
            </w:r>
            <w:r>
              <w:rPr>
                <w:color w:val="212121"/>
                <w:sz w:val="14"/>
                <w:szCs w:val="14"/>
              </w:rPr>
              <w:t xml:space="preserve"> </w:t>
            </w:r>
          </w:p>
          <w:p w14:paraId="1935DDB8" w14:textId="77777777" w:rsidR="00FE6590" w:rsidRPr="00093C99" w:rsidRDefault="00FE6590" w:rsidP="00A04566">
            <w:pPr>
              <w:pStyle w:val="TableParagraph"/>
              <w:kinsoku w:val="0"/>
              <w:overflowPunct w:val="0"/>
              <w:spacing w:line="240" w:lineRule="auto"/>
              <w:rPr>
                <w:color w:val="212121"/>
                <w:sz w:val="14"/>
                <w:szCs w:val="14"/>
              </w:rPr>
            </w:pPr>
          </w:p>
          <w:p w14:paraId="428793BE" w14:textId="77777777" w:rsidR="00FE6590" w:rsidRPr="00093C99" w:rsidRDefault="00FE6590" w:rsidP="00A04566">
            <w:pPr>
              <w:pStyle w:val="TableParagraph"/>
              <w:kinsoku w:val="0"/>
              <w:overflowPunct w:val="0"/>
              <w:spacing w:line="240" w:lineRule="auto"/>
              <w:rPr>
                <w:color w:val="212121"/>
                <w:sz w:val="14"/>
                <w:szCs w:val="14"/>
              </w:rPr>
            </w:pPr>
            <w:r w:rsidRPr="00093C99">
              <w:rPr>
                <w:color w:val="212121"/>
                <w:sz w:val="14"/>
                <w:szCs w:val="14"/>
              </w:rPr>
              <w:t>No se cuenta con reglas de operación o lineamientos para el programa tanto a nivel federal como local; a nivel federal no existe una</w:t>
            </w:r>
            <w:r>
              <w:rPr>
                <w:color w:val="212121"/>
                <w:sz w:val="14"/>
                <w:szCs w:val="14"/>
              </w:rPr>
              <w:t xml:space="preserve"> </w:t>
            </w:r>
            <w:r w:rsidRPr="00AB33C1">
              <w:rPr>
                <w:color w:val="212121"/>
                <w:sz w:val="14"/>
                <w:szCs w:val="14"/>
              </w:rPr>
              <w:t>Matriz de indicadores para resultados (MIR)</w:t>
            </w:r>
            <w:r>
              <w:rPr>
                <w:color w:val="212121"/>
                <w:sz w:val="14"/>
                <w:szCs w:val="14"/>
              </w:rPr>
              <w:t xml:space="preserve"> </w:t>
            </w:r>
            <w:r w:rsidRPr="00093C99">
              <w:rPr>
                <w:color w:val="212121"/>
                <w:sz w:val="14"/>
                <w:szCs w:val="14"/>
              </w:rPr>
              <w:t>definida para el desempeño del programa; la entidad incluyó dos indicadores de desempeño en la MIR estatal de manera emergente al asignársele recursos del programa E-001.</w:t>
            </w:r>
            <w:r>
              <w:rPr>
                <w:color w:val="212121"/>
                <w:sz w:val="14"/>
                <w:szCs w:val="14"/>
              </w:rPr>
              <w:t xml:space="preserve"> </w:t>
            </w:r>
          </w:p>
          <w:p w14:paraId="663BA6D4" w14:textId="77777777" w:rsidR="00FE6590" w:rsidRPr="00093C99" w:rsidRDefault="00FE6590" w:rsidP="00A04566">
            <w:pPr>
              <w:pStyle w:val="TableParagraph"/>
              <w:kinsoku w:val="0"/>
              <w:overflowPunct w:val="0"/>
              <w:spacing w:line="240" w:lineRule="auto"/>
              <w:rPr>
                <w:color w:val="212121"/>
                <w:sz w:val="14"/>
                <w:szCs w:val="14"/>
              </w:rPr>
            </w:pPr>
            <w:r w:rsidRPr="00093C99">
              <w:rPr>
                <w:color w:val="212121"/>
                <w:sz w:val="14"/>
                <w:szCs w:val="14"/>
              </w:rPr>
              <w:t xml:space="preserve">En cuanto a Cobertura y Focalización, la Población Objetivo se encuentra definida e identificada; así mismo, las unidades médicas intervenidas con estos recursos están identificadas y clasificadas bajo mecanismos estandarizados establecidos por la Dirección General de Información en Salud (DGIS). </w:t>
            </w:r>
          </w:p>
          <w:p w14:paraId="197C05CF" w14:textId="77777777" w:rsidR="00FE6590" w:rsidRPr="00093C99" w:rsidRDefault="00FE6590" w:rsidP="00A04566">
            <w:pPr>
              <w:pStyle w:val="TableParagraph"/>
              <w:kinsoku w:val="0"/>
              <w:overflowPunct w:val="0"/>
              <w:spacing w:line="240" w:lineRule="auto"/>
              <w:rPr>
                <w:color w:val="212121"/>
                <w:sz w:val="14"/>
                <w:szCs w:val="14"/>
              </w:rPr>
            </w:pPr>
            <w:r w:rsidRPr="00093C99">
              <w:rPr>
                <w:color w:val="212121"/>
                <w:sz w:val="14"/>
                <w:szCs w:val="14"/>
              </w:rPr>
              <w:t>Las necesidades de infraestructura que se requieren en las unidades son determinadas bajo un análisis de gabinete que realiza el IMSS-BIENESTAR, sin una revisión física real.</w:t>
            </w:r>
            <w:r>
              <w:rPr>
                <w:color w:val="212121"/>
                <w:sz w:val="14"/>
                <w:szCs w:val="14"/>
              </w:rPr>
              <w:t xml:space="preserve"> </w:t>
            </w:r>
          </w:p>
          <w:p w14:paraId="45F7942A" w14:textId="77777777" w:rsidR="00FE6590" w:rsidRPr="00093C99" w:rsidRDefault="00FE6590" w:rsidP="00A04566">
            <w:pPr>
              <w:pStyle w:val="TableParagraph"/>
              <w:kinsoku w:val="0"/>
              <w:overflowPunct w:val="0"/>
              <w:spacing w:line="240" w:lineRule="auto"/>
              <w:rPr>
                <w:color w:val="212121"/>
                <w:sz w:val="14"/>
                <w:szCs w:val="14"/>
              </w:rPr>
            </w:pPr>
            <w:r w:rsidRPr="00093C99">
              <w:rPr>
                <w:color w:val="212121"/>
                <w:sz w:val="14"/>
                <w:szCs w:val="14"/>
              </w:rPr>
              <w:t xml:space="preserve">En su </w:t>
            </w:r>
            <w:r w:rsidRPr="00EF51EC">
              <w:rPr>
                <w:color w:val="212121"/>
                <w:sz w:val="14"/>
                <w:szCs w:val="14"/>
              </w:rPr>
              <w:t>Opera</w:t>
            </w:r>
            <w:r w:rsidRPr="00093C99">
              <w:rPr>
                <w:color w:val="212121"/>
                <w:sz w:val="14"/>
                <w:szCs w:val="14"/>
              </w:rPr>
              <w:t>ción, se cuenta con procedimientos estandarizados a través de la Ley de Obras Públicas y Servicios relacionados con las mismas y su reglamento, para el ejercicio de los recursos de este programa y tiempos definidos para cada etapa del ejercicio presupuestal.</w:t>
            </w:r>
          </w:p>
          <w:p w14:paraId="45FBF16A" w14:textId="77777777" w:rsidR="00FE6590" w:rsidRPr="00093C99" w:rsidRDefault="00FE6590" w:rsidP="00A04566">
            <w:pPr>
              <w:pStyle w:val="TableParagraph"/>
              <w:kinsoku w:val="0"/>
              <w:overflowPunct w:val="0"/>
              <w:spacing w:line="240" w:lineRule="auto"/>
              <w:rPr>
                <w:color w:val="212121"/>
                <w:sz w:val="14"/>
                <w:szCs w:val="14"/>
              </w:rPr>
            </w:pPr>
            <w:r w:rsidRPr="00093C99">
              <w:rPr>
                <w:color w:val="212121"/>
                <w:sz w:val="14"/>
                <w:szCs w:val="14"/>
              </w:rPr>
              <w:t>En la Entidad un ente gubernamental distinto a Salud realiza la ejecución del mantenimiento y la construcción. No se tiene estandarizado el ciclo Obra-Pago.</w:t>
            </w:r>
            <w:r>
              <w:rPr>
                <w:color w:val="212121"/>
                <w:sz w:val="14"/>
                <w:szCs w:val="14"/>
              </w:rPr>
              <w:t xml:space="preserve"> </w:t>
            </w:r>
          </w:p>
          <w:p w14:paraId="6D694765" w14:textId="77777777" w:rsidR="00FE6590" w:rsidRPr="00093C99" w:rsidRDefault="00FE6590" w:rsidP="00A04566">
            <w:pPr>
              <w:pStyle w:val="TableParagraph"/>
              <w:kinsoku w:val="0"/>
              <w:overflowPunct w:val="0"/>
              <w:spacing w:line="240" w:lineRule="auto"/>
              <w:rPr>
                <w:rFonts w:eastAsia="Calibri"/>
                <w:sz w:val="14"/>
                <w:szCs w:val="14"/>
                <w:lang w:val="es-MX"/>
              </w:rPr>
            </w:pPr>
            <w:r w:rsidRPr="00093C99">
              <w:rPr>
                <w:rFonts w:eastAsia="Calibri"/>
                <w:sz w:val="14"/>
                <w:szCs w:val="14"/>
                <w:lang w:val="es-MX"/>
              </w:rPr>
              <w:t>Respecto a la Percepción de la Población Atendida, no se identificó información que permita el análisis en este rubro.</w:t>
            </w:r>
          </w:p>
          <w:p w14:paraId="7AE4F05D" w14:textId="77777777" w:rsidR="00FE6590" w:rsidRPr="00093C99" w:rsidRDefault="00FE6590" w:rsidP="00A04566">
            <w:pPr>
              <w:pStyle w:val="TableParagraph"/>
              <w:kinsoku w:val="0"/>
              <w:overflowPunct w:val="0"/>
              <w:spacing w:line="240" w:lineRule="auto"/>
              <w:rPr>
                <w:rFonts w:eastAsia="Calibri"/>
                <w:sz w:val="14"/>
                <w:szCs w:val="14"/>
                <w:lang w:val="es-MX"/>
              </w:rPr>
            </w:pPr>
            <w:r w:rsidRPr="00093C99">
              <w:rPr>
                <w:rFonts w:eastAsia="Calibri"/>
                <w:sz w:val="14"/>
                <w:szCs w:val="14"/>
                <w:lang w:val="es-MX"/>
              </w:rPr>
              <w:t>En lo relativo a la Medición de Resultados, el IMSS-BIENESTAR cuenta con mecanismos de seguimiento específicos para el ejercicio del gasto, existe seguimiento permanente y puntual al ejercicio de los recursos por parte del IMSS-BIENESTAR, el convenio de coordinación establece la conformación de una Comisión de Evaluación y Seguimiento, misma que no fue creada.</w:t>
            </w:r>
          </w:p>
          <w:p w14:paraId="3BE61799" w14:textId="77777777" w:rsidR="00FE6590" w:rsidRPr="00093C99" w:rsidRDefault="00FE6590" w:rsidP="00A04566">
            <w:pPr>
              <w:tabs>
                <w:tab w:val="left" w:pos="9150"/>
              </w:tabs>
              <w:rPr>
                <w:rFonts w:cs="Arial"/>
                <w:sz w:val="14"/>
                <w:szCs w:val="14"/>
              </w:rPr>
            </w:pPr>
            <w:r w:rsidRPr="00093C99">
              <w:rPr>
                <w:rFonts w:cs="Arial"/>
                <w:sz w:val="14"/>
                <w:szCs w:val="14"/>
              </w:rPr>
              <w:t>No se publican los resultados de los indicadores del ejercicio del gasto contenidos en el convenio de coordinación en la página de transparencia. Así mismo; se identifican constantes cambios en las estrategias y programas gubernamentales, lo que puede llevar a que el programa desaparezca, problemas sociales y de seguridad que impidan el adecuado desarrollo de las acciones y el ejercicio del recurso. Adicionalmente, los recursos se trasfieren hasta el segundo semestre del ejercicio fiscal.</w:t>
            </w:r>
            <w:r>
              <w:rPr>
                <w:rFonts w:cs="Arial"/>
                <w:sz w:val="14"/>
                <w:szCs w:val="14"/>
              </w:rPr>
              <w:t xml:space="preserve"> </w:t>
            </w:r>
          </w:p>
          <w:p w14:paraId="05240D25" w14:textId="77777777" w:rsidR="00FE6590" w:rsidRPr="00093C99" w:rsidRDefault="00FE6590" w:rsidP="00A04566">
            <w:pPr>
              <w:rPr>
                <w:rFonts w:eastAsia="Arial" w:cs="Arial"/>
                <w:b/>
                <w:bCs/>
                <w:sz w:val="14"/>
                <w:szCs w:val="14"/>
              </w:rPr>
            </w:pPr>
            <w:r w:rsidRPr="00093C99">
              <w:rPr>
                <w:rFonts w:eastAsia="Arial" w:cs="Arial"/>
                <w:b/>
                <w:bCs/>
                <w:sz w:val="14"/>
                <w:szCs w:val="14"/>
              </w:rPr>
              <w:t>Principales Recomendaciones:</w:t>
            </w:r>
          </w:p>
          <w:p w14:paraId="5318FFA2" w14:textId="77777777" w:rsidR="00FE6590" w:rsidRPr="00093C99" w:rsidRDefault="00FE6590" w:rsidP="00A04566">
            <w:pPr>
              <w:pStyle w:val="TableParagraph"/>
              <w:kinsoku w:val="0"/>
              <w:overflowPunct w:val="0"/>
              <w:spacing w:line="240" w:lineRule="auto"/>
              <w:rPr>
                <w:rFonts w:eastAsia="Calibri"/>
                <w:sz w:val="14"/>
                <w:szCs w:val="14"/>
                <w:lang w:val="es-MX"/>
              </w:rPr>
            </w:pPr>
            <w:r w:rsidRPr="00093C99">
              <w:rPr>
                <w:rFonts w:eastAsia="Calibri"/>
                <w:sz w:val="14"/>
                <w:szCs w:val="14"/>
                <w:lang w:val="es-MX"/>
              </w:rPr>
              <w:t>1.- Realizar un diagnóstico en sitio de las necesidades de infraestructura a nivel local.</w:t>
            </w:r>
            <w:r>
              <w:rPr>
                <w:rFonts w:eastAsia="Calibri"/>
                <w:sz w:val="14"/>
                <w:szCs w:val="14"/>
                <w:lang w:val="es-MX"/>
              </w:rPr>
              <w:t xml:space="preserve"> </w:t>
            </w:r>
          </w:p>
          <w:p w14:paraId="0113D6BA" w14:textId="77777777" w:rsidR="00FE6590" w:rsidRPr="00093C99" w:rsidRDefault="00FE6590" w:rsidP="00A04566">
            <w:pPr>
              <w:pStyle w:val="TableParagraph"/>
              <w:kinsoku w:val="0"/>
              <w:overflowPunct w:val="0"/>
              <w:spacing w:line="240" w:lineRule="auto"/>
              <w:rPr>
                <w:rFonts w:eastAsia="Calibri"/>
                <w:sz w:val="14"/>
                <w:szCs w:val="14"/>
                <w:lang w:val="es-MX"/>
              </w:rPr>
            </w:pPr>
            <w:r w:rsidRPr="00093C99">
              <w:rPr>
                <w:rFonts w:eastAsia="Calibri"/>
                <w:sz w:val="14"/>
                <w:szCs w:val="14"/>
                <w:lang w:val="es-MX"/>
              </w:rPr>
              <w:t>2.- Que un solo ente gubernamental sea el responsable de la ejecución de los recursos para evitar confusiones en los procesos y mejorar el control.</w:t>
            </w:r>
          </w:p>
          <w:p w14:paraId="71214E1F" w14:textId="77777777" w:rsidR="00FE6590" w:rsidRPr="00093C99" w:rsidRDefault="00FE6590" w:rsidP="00A04566">
            <w:pPr>
              <w:pStyle w:val="TableParagraph"/>
              <w:kinsoku w:val="0"/>
              <w:overflowPunct w:val="0"/>
              <w:spacing w:line="240" w:lineRule="auto"/>
              <w:rPr>
                <w:rFonts w:eastAsia="Calibri"/>
                <w:sz w:val="14"/>
                <w:szCs w:val="14"/>
                <w:lang w:val="es-MX"/>
              </w:rPr>
            </w:pPr>
            <w:r w:rsidRPr="00093C99">
              <w:rPr>
                <w:rFonts w:eastAsia="Calibri"/>
                <w:sz w:val="14"/>
                <w:szCs w:val="14"/>
                <w:lang w:val="es-MX"/>
              </w:rPr>
              <w:t>3.- Continuar con los mecanismos de seguimiento del ejercicio del gasto implementados por el IMSS-BIENESTAR.</w:t>
            </w:r>
          </w:p>
          <w:p w14:paraId="25BEF014" w14:textId="77777777" w:rsidR="00FE6590" w:rsidRPr="00093C99" w:rsidRDefault="00FE6590" w:rsidP="00A04566">
            <w:pPr>
              <w:rPr>
                <w:rFonts w:eastAsia="Times New Roman" w:cs="Arial"/>
                <w:sz w:val="14"/>
                <w:szCs w:val="14"/>
                <w:lang w:eastAsia="es-ES_tradnl"/>
              </w:rPr>
            </w:pPr>
            <w:r w:rsidRPr="00093C99">
              <w:rPr>
                <w:rFonts w:cs="Arial"/>
                <w:sz w:val="14"/>
                <w:szCs w:val="14"/>
              </w:rPr>
              <w:t>4.- Reestructurar la MIR estatal con base en las nuevas funciones operativas y la asignación de recursos.</w:t>
            </w:r>
            <w:r>
              <w:rPr>
                <w:rFonts w:cs="Arial"/>
                <w:sz w:val="14"/>
                <w:szCs w:val="14"/>
              </w:rPr>
              <w:t xml:space="preserve"> </w:t>
            </w:r>
          </w:p>
        </w:tc>
      </w:tr>
      <w:tr w:rsidR="00FE6590" w:rsidRPr="00126C2B" w14:paraId="6DC49B27" w14:textId="77777777" w:rsidTr="00A04566">
        <w:trPr>
          <w:trHeight w:val="20"/>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2684E1" w14:textId="77777777" w:rsidR="00FE6590" w:rsidRPr="00297A26" w:rsidRDefault="00FE6590" w:rsidP="00A04566">
            <w:pPr>
              <w:jc w:val="center"/>
              <w:rPr>
                <w:rFonts w:eastAsia="Times New Roman" w:cs="Arial"/>
                <w:b/>
                <w:bCs/>
                <w:sz w:val="16"/>
                <w:szCs w:val="16"/>
                <w:lang w:val="es-ES_tradnl" w:eastAsia="es-ES_tradnl"/>
              </w:rPr>
            </w:pPr>
            <w:r w:rsidRPr="00297A26">
              <w:rPr>
                <w:rFonts w:eastAsia="Times New Roman" w:cs="Arial"/>
                <w:b/>
                <w:bCs/>
                <w:sz w:val="16"/>
                <w:szCs w:val="16"/>
                <w:lang w:val="es-ES_tradnl" w:eastAsia="es-ES_tradnl"/>
              </w:rPr>
              <w:lastRenderedPageBreak/>
              <w:t>Evaluaciones de Diseño</w:t>
            </w:r>
          </w:p>
        </w:tc>
      </w:tr>
      <w:tr w:rsidR="00FE6590" w:rsidRPr="00EC1592" w14:paraId="33655B76" w14:textId="77777777" w:rsidTr="00A04566">
        <w:trPr>
          <w:trHeight w:val="20"/>
          <w:jc w:val="center"/>
        </w:trPr>
        <w:tc>
          <w:tcPr>
            <w:tcW w:w="421" w:type="dxa"/>
            <w:vAlign w:val="center"/>
          </w:tcPr>
          <w:p w14:paraId="2A812B45"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2</w:t>
            </w:r>
          </w:p>
        </w:tc>
        <w:tc>
          <w:tcPr>
            <w:tcW w:w="1842" w:type="dxa"/>
            <w:vAlign w:val="center"/>
          </w:tcPr>
          <w:p w14:paraId="3865B289"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Secretaría de Bienestar, Inclusión Social y Mujeres.</w:t>
            </w:r>
            <w:r>
              <w:rPr>
                <w:rFonts w:eastAsia="Times New Roman" w:cs="Arial"/>
                <w:sz w:val="16"/>
                <w:szCs w:val="16"/>
                <w:lang w:val="es-ES_tradnl" w:eastAsia="es-ES_tradnl"/>
              </w:rPr>
              <w:t xml:space="preserve"> </w:t>
            </w:r>
          </w:p>
        </w:tc>
        <w:tc>
          <w:tcPr>
            <w:tcW w:w="1985" w:type="dxa"/>
            <w:vAlign w:val="center"/>
          </w:tcPr>
          <w:p w14:paraId="307EFBA6"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Recurso Estatal.</w:t>
            </w:r>
          </w:p>
        </w:tc>
        <w:tc>
          <w:tcPr>
            <w:tcW w:w="2693" w:type="dxa"/>
            <w:vAlign w:val="center"/>
          </w:tcPr>
          <w:p w14:paraId="1288ECE5"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E05.- Bienestar. A05 COLIBECAS Computadoras.</w:t>
            </w:r>
          </w:p>
        </w:tc>
        <w:tc>
          <w:tcPr>
            <w:tcW w:w="1843" w:type="dxa"/>
            <w:vAlign w:val="center"/>
          </w:tcPr>
          <w:p w14:paraId="29F4BBA6"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Diseño.</w:t>
            </w:r>
          </w:p>
          <w:p w14:paraId="2CCF9A76"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Ejercicio fiscal 2023.</w:t>
            </w:r>
          </w:p>
        </w:tc>
      </w:tr>
      <w:tr w:rsidR="00FE6590" w:rsidRPr="00093C99" w14:paraId="74267CFC" w14:textId="77777777" w:rsidTr="00A04566">
        <w:trPr>
          <w:trHeight w:val="20"/>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72995B" w14:textId="77777777" w:rsidR="00FE6590" w:rsidRPr="00093C99" w:rsidRDefault="00FE6590" w:rsidP="00A04566">
            <w:pPr>
              <w:rPr>
                <w:rFonts w:eastAsia="Arial" w:cs="Arial"/>
                <w:b/>
                <w:bCs/>
                <w:sz w:val="14"/>
                <w:szCs w:val="14"/>
              </w:rPr>
            </w:pPr>
            <w:r w:rsidRPr="00093C99">
              <w:rPr>
                <w:rFonts w:eastAsia="Arial" w:cs="Arial"/>
                <w:b/>
                <w:bCs/>
                <w:sz w:val="14"/>
                <w:szCs w:val="14"/>
              </w:rPr>
              <w:t>Presupuesto.</w:t>
            </w:r>
          </w:p>
          <w:p w14:paraId="11720995" w14:textId="77777777" w:rsidR="00FE6590" w:rsidRPr="00093C99" w:rsidRDefault="00FE6590" w:rsidP="00A04566">
            <w:pPr>
              <w:rPr>
                <w:rFonts w:cs="Arial"/>
                <w:sz w:val="14"/>
                <w:szCs w:val="14"/>
              </w:rPr>
            </w:pPr>
            <w:r w:rsidRPr="00093C99">
              <w:rPr>
                <w:rFonts w:cs="Arial"/>
                <w:sz w:val="14"/>
                <w:szCs w:val="14"/>
              </w:rPr>
              <w:t>El presupuesto total autorizado para el ejercicio fiscal evaluado fue de 273 millones 354 mil 612 pesos de recurso estatal, el cual constituye el 100 por ciento de los recursos del programa.</w:t>
            </w:r>
          </w:p>
          <w:p w14:paraId="5EE66495" w14:textId="77777777" w:rsidR="00FE6590" w:rsidRPr="00093C99" w:rsidRDefault="00FE6590" w:rsidP="00A04566">
            <w:pPr>
              <w:rPr>
                <w:rFonts w:eastAsia="Arial" w:cs="Arial"/>
                <w:b/>
                <w:bCs/>
                <w:sz w:val="14"/>
                <w:szCs w:val="14"/>
              </w:rPr>
            </w:pPr>
            <w:r w:rsidRPr="00093C99">
              <w:rPr>
                <w:rFonts w:eastAsia="Arial" w:cs="Arial"/>
                <w:b/>
                <w:bCs/>
                <w:sz w:val="14"/>
                <w:szCs w:val="14"/>
              </w:rPr>
              <w:t>Principales Resultados de la Evaluación.</w:t>
            </w:r>
          </w:p>
          <w:p w14:paraId="47AD7E99" w14:textId="77777777" w:rsidR="00FE6590" w:rsidRPr="00093C99" w:rsidRDefault="00FE6590" w:rsidP="00A04566">
            <w:pPr>
              <w:rPr>
                <w:rFonts w:cs="Arial"/>
                <w:sz w:val="14"/>
                <w:szCs w:val="14"/>
              </w:rPr>
            </w:pPr>
            <w:r w:rsidRPr="00093C99">
              <w:rPr>
                <w:rFonts w:cs="Arial"/>
                <w:sz w:val="14"/>
                <w:szCs w:val="14"/>
              </w:rPr>
              <w:t>La evaluación consistió en un análisis del Programa presupuestario E05 Bienestar, en específico las actividades A03 y A04 de la MIR del</w:t>
            </w:r>
            <w:r>
              <w:rPr>
                <w:rFonts w:cs="Arial"/>
                <w:sz w:val="14"/>
                <w:szCs w:val="14"/>
              </w:rPr>
              <w:t xml:space="preserve"> </w:t>
            </w:r>
            <w:r w:rsidRPr="00AB33C1">
              <w:rPr>
                <w:rFonts w:cs="Arial"/>
                <w:color w:val="212121"/>
                <w:sz w:val="14"/>
                <w:szCs w:val="14"/>
              </w:rPr>
              <w:t>Programa presupuestario</w:t>
            </w:r>
            <w:r w:rsidRPr="00093C99">
              <w:rPr>
                <w:rFonts w:cs="Arial"/>
                <w:sz w:val="14"/>
                <w:szCs w:val="14"/>
              </w:rPr>
              <w:t xml:space="preserve"> </w:t>
            </w:r>
            <w:r>
              <w:rPr>
                <w:rFonts w:cs="Arial"/>
                <w:sz w:val="14"/>
                <w:szCs w:val="14"/>
              </w:rPr>
              <w:t>(</w:t>
            </w:r>
            <w:proofErr w:type="spellStart"/>
            <w:r w:rsidRPr="00093C99">
              <w:rPr>
                <w:rFonts w:cs="Arial"/>
                <w:sz w:val="14"/>
                <w:szCs w:val="14"/>
              </w:rPr>
              <w:t>Pp</w:t>
            </w:r>
            <w:proofErr w:type="spellEnd"/>
            <w:r>
              <w:rPr>
                <w:rFonts w:cs="Arial"/>
                <w:sz w:val="14"/>
                <w:szCs w:val="14"/>
              </w:rPr>
              <w:t>)</w:t>
            </w:r>
            <w:r w:rsidRPr="00093C99">
              <w:rPr>
                <w:rFonts w:cs="Arial"/>
                <w:sz w:val="14"/>
                <w:szCs w:val="14"/>
              </w:rPr>
              <w:t xml:space="preserve">; las cuales, constituyen el programa social denominado </w:t>
            </w:r>
            <w:proofErr w:type="spellStart"/>
            <w:r w:rsidRPr="00093C99">
              <w:rPr>
                <w:rFonts w:cs="Arial"/>
                <w:sz w:val="14"/>
                <w:szCs w:val="14"/>
              </w:rPr>
              <w:t>Colibecas</w:t>
            </w:r>
            <w:proofErr w:type="spellEnd"/>
            <w:r w:rsidRPr="00093C99">
              <w:rPr>
                <w:rFonts w:cs="Arial"/>
                <w:sz w:val="14"/>
                <w:szCs w:val="14"/>
              </w:rPr>
              <w:t xml:space="preserve"> Computadoras, la evaluación se centró en la justificación de su diseño y creación, su seguimiento, rendición de cuentas y sus procesos generales.</w:t>
            </w:r>
          </w:p>
          <w:p w14:paraId="65DE7E95" w14:textId="77777777" w:rsidR="00FE6590" w:rsidRPr="00093C99" w:rsidRDefault="00FE6590" w:rsidP="00A04566">
            <w:pPr>
              <w:rPr>
                <w:rFonts w:cs="Arial"/>
                <w:sz w:val="14"/>
                <w:szCs w:val="14"/>
              </w:rPr>
            </w:pPr>
            <w:r w:rsidRPr="00093C99">
              <w:rPr>
                <w:rFonts w:cs="Arial"/>
                <w:sz w:val="14"/>
                <w:szCs w:val="14"/>
              </w:rPr>
              <w:t xml:space="preserve">El programa </w:t>
            </w:r>
            <w:proofErr w:type="spellStart"/>
            <w:r w:rsidRPr="00093C99">
              <w:rPr>
                <w:rFonts w:cs="Arial"/>
                <w:sz w:val="14"/>
                <w:szCs w:val="14"/>
              </w:rPr>
              <w:t>Colibecas</w:t>
            </w:r>
            <w:proofErr w:type="spellEnd"/>
            <w:r w:rsidRPr="00093C99">
              <w:rPr>
                <w:rFonts w:cs="Arial"/>
                <w:sz w:val="14"/>
                <w:szCs w:val="14"/>
              </w:rPr>
              <w:t xml:space="preserve"> Computadoras surge a fin de otorgar cumplimiento a las actividades y metas establecidas en el Plan Estatal de Desarrollo y en el Programa Sectorial de Bienestar, Inclusión Social y Mujeres. De esta manera la justificación de su creación es clara y se encuentra plasmada en las Reglas de Operación (ROP) en la cual se dictan los mecanismos de operación del programa, los actores involucrados, mecanismos de transparencia y rendición de cuentas, con procesos bien definidos. </w:t>
            </w:r>
          </w:p>
          <w:p w14:paraId="23AB1384" w14:textId="77777777" w:rsidR="00FE6590" w:rsidRPr="00093C99" w:rsidRDefault="00FE6590" w:rsidP="00A04566">
            <w:pPr>
              <w:rPr>
                <w:rFonts w:cs="Arial"/>
                <w:sz w:val="14"/>
                <w:szCs w:val="14"/>
              </w:rPr>
            </w:pPr>
            <w:r w:rsidRPr="00093C99">
              <w:rPr>
                <w:rFonts w:cs="Arial"/>
                <w:sz w:val="14"/>
                <w:szCs w:val="14"/>
              </w:rPr>
              <w:t>Así mismo, se constató que la página oficial de la dependencia cuenta con toda la información publicada, como son: las ROP, el Padrón de Beneficiarios y la aprobación de cada proceso mediante las actas de las sesiones del Subcomité Sectorial de Bienestar.</w:t>
            </w:r>
          </w:p>
          <w:p w14:paraId="75186C51" w14:textId="77777777" w:rsidR="00FE6590" w:rsidRPr="00093C99" w:rsidRDefault="00FE6590" w:rsidP="00A04566">
            <w:pPr>
              <w:rPr>
                <w:rFonts w:cs="Arial"/>
                <w:sz w:val="14"/>
                <w:szCs w:val="14"/>
              </w:rPr>
            </w:pPr>
            <w:r w:rsidRPr="00093C99">
              <w:rPr>
                <w:rFonts w:cs="Arial"/>
                <w:sz w:val="14"/>
                <w:szCs w:val="14"/>
              </w:rPr>
              <w:t>Algo importante que destacar es que se cuenta con el análisis Costo Beneficio del programa, como lo menciona la Ley de Diciplina Financiera para Estados y Municipios para inversiones en programas o proyectos mayor a 10 millones de UDIS.</w:t>
            </w:r>
          </w:p>
          <w:p w14:paraId="45005690" w14:textId="77777777" w:rsidR="00FE6590" w:rsidRPr="00093C99" w:rsidRDefault="00FE6590" w:rsidP="00A04566">
            <w:pPr>
              <w:rPr>
                <w:rFonts w:cs="Arial"/>
                <w:sz w:val="14"/>
                <w:szCs w:val="14"/>
              </w:rPr>
            </w:pPr>
            <w:r w:rsidRPr="00093C99">
              <w:rPr>
                <w:rFonts w:cs="Arial"/>
                <w:sz w:val="14"/>
                <w:szCs w:val="14"/>
              </w:rPr>
              <w:t>Sin embargo, dentro de los principales hallazgos con áreas de oportunidad que se encontraron fueron:</w:t>
            </w:r>
          </w:p>
          <w:p w14:paraId="3905A4F6" w14:textId="77777777" w:rsidR="00FE6590" w:rsidRPr="00093C99" w:rsidRDefault="00FE6590" w:rsidP="00A04566">
            <w:pPr>
              <w:rPr>
                <w:rFonts w:cs="Arial"/>
                <w:sz w:val="14"/>
                <w:szCs w:val="14"/>
              </w:rPr>
            </w:pPr>
            <w:r w:rsidRPr="00093C99">
              <w:rPr>
                <w:rFonts w:cs="Arial"/>
                <w:sz w:val="14"/>
                <w:szCs w:val="14"/>
              </w:rPr>
              <w:t>La actividad A03 de la MIR solo menciona alumnos de primer año de secundaria, no menciona a los profesores, por lo que en los próximos ejercicios fiscales debe de quedar clara la actividad. Así mismo, en la actividad A04 menciona que se dará computadora a estudiantes de escasos recursos a nivel licenciatura de escuelas públicas y en la práctica se les otorgó a todos, aunque eso es positivo, se recomienda que para los ejercicios posteriores se precise el objetivo de la actividad.</w:t>
            </w:r>
            <w:r>
              <w:rPr>
                <w:rFonts w:cs="Arial"/>
                <w:sz w:val="14"/>
                <w:szCs w:val="14"/>
              </w:rPr>
              <w:t xml:space="preserve"> </w:t>
            </w:r>
          </w:p>
          <w:p w14:paraId="28963242" w14:textId="77777777" w:rsidR="00FE6590" w:rsidRPr="00093C99" w:rsidRDefault="00FE6590" w:rsidP="00A04566">
            <w:pPr>
              <w:rPr>
                <w:rFonts w:cs="Arial"/>
                <w:sz w:val="14"/>
                <w:szCs w:val="14"/>
              </w:rPr>
            </w:pPr>
            <w:r w:rsidRPr="00093C99">
              <w:rPr>
                <w:rFonts w:cs="Arial"/>
                <w:sz w:val="14"/>
                <w:szCs w:val="14"/>
              </w:rPr>
              <w:t>El programa cuenta con el Padrón de Beneficiarios; sin embargo, no cumple con la normativa existente que son “Lineamientos Generales para la Elaboración del Padrón Único de Beneficiarios de los Programas de Desarrollo Social del Estado de Colima”.</w:t>
            </w:r>
          </w:p>
          <w:p w14:paraId="2512CCFE" w14:textId="77777777" w:rsidR="00FE6590" w:rsidRPr="00093C99" w:rsidRDefault="00FE6590" w:rsidP="00A04566">
            <w:pPr>
              <w:rPr>
                <w:rFonts w:cs="Arial"/>
                <w:sz w:val="14"/>
                <w:szCs w:val="14"/>
              </w:rPr>
            </w:pPr>
            <w:r w:rsidRPr="00093C99">
              <w:rPr>
                <w:rFonts w:cs="Arial"/>
                <w:sz w:val="14"/>
                <w:szCs w:val="14"/>
              </w:rPr>
              <w:t>Se tienen procesos bien definidos, pero no se cuenta con el mapeo de los proceso</w:t>
            </w:r>
            <w:r w:rsidRPr="00AB33C1">
              <w:rPr>
                <w:rFonts w:cs="Arial"/>
                <w:sz w:val="14"/>
                <w:szCs w:val="14"/>
              </w:rPr>
              <w:t>s,</w:t>
            </w:r>
            <w:r w:rsidRPr="00093C99">
              <w:rPr>
                <w:rFonts w:cs="Arial"/>
                <w:sz w:val="14"/>
                <w:szCs w:val="14"/>
              </w:rPr>
              <w:t xml:space="preserve"> solo la descripción, por lo que se recomienda realizarla.</w:t>
            </w:r>
          </w:p>
          <w:p w14:paraId="5D4EFCE5" w14:textId="77777777" w:rsidR="00FE6590" w:rsidRPr="00093C99" w:rsidRDefault="00FE6590" w:rsidP="00A04566">
            <w:pPr>
              <w:rPr>
                <w:rFonts w:eastAsia="Arial" w:cs="Arial"/>
                <w:b/>
                <w:bCs/>
                <w:sz w:val="14"/>
                <w:szCs w:val="14"/>
              </w:rPr>
            </w:pPr>
            <w:r w:rsidRPr="00093C99">
              <w:rPr>
                <w:rFonts w:eastAsia="Arial" w:cs="Arial"/>
                <w:b/>
                <w:bCs/>
                <w:sz w:val="14"/>
                <w:szCs w:val="14"/>
              </w:rPr>
              <w:lastRenderedPageBreak/>
              <w:t>Principales Recomendaciones:</w:t>
            </w:r>
          </w:p>
          <w:p w14:paraId="3A48C81D" w14:textId="77777777" w:rsidR="00FE6590" w:rsidRPr="00093C99" w:rsidRDefault="00FE6590" w:rsidP="00A04566">
            <w:pPr>
              <w:rPr>
                <w:rFonts w:cs="Arial"/>
                <w:sz w:val="14"/>
                <w:szCs w:val="14"/>
              </w:rPr>
            </w:pPr>
            <w:r w:rsidRPr="00093C99">
              <w:rPr>
                <w:rFonts w:cs="Arial"/>
                <w:sz w:val="14"/>
                <w:szCs w:val="14"/>
              </w:rPr>
              <w:t>1.- Precisar la descripción de los objetivos a nivel de actividades en la MIR del Programa presupuestario.</w:t>
            </w:r>
            <w:r>
              <w:rPr>
                <w:rFonts w:cs="Arial"/>
                <w:sz w:val="14"/>
                <w:szCs w:val="14"/>
              </w:rPr>
              <w:t xml:space="preserve"> </w:t>
            </w:r>
          </w:p>
          <w:p w14:paraId="1531E218" w14:textId="77777777" w:rsidR="00FE6590" w:rsidRPr="00093C99" w:rsidRDefault="00FE6590" w:rsidP="00A04566">
            <w:pPr>
              <w:rPr>
                <w:rFonts w:cs="Arial"/>
                <w:sz w:val="14"/>
                <w:szCs w:val="14"/>
              </w:rPr>
            </w:pPr>
            <w:r w:rsidRPr="00093C99">
              <w:rPr>
                <w:rFonts w:cs="Arial"/>
                <w:sz w:val="14"/>
                <w:szCs w:val="14"/>
              </w:rPr>
              <w:t>2.- Adecuar el Padrón de Beneficiarios a la normativa vigente.</w:t>
            </w:r>
          </w:p>
          <w:p w14:paraId="35BB793A" w14:textId="77777777" w:rsidR="00FE6590" w:rsidRPr="00093C99" w:rsidRDefault="00FE6590" w:rsidP="00A04566">
            <w:pPr>
              <w:rPr>
                <w:rFonts w:eastAsia="Times New Roman" w:cs="Arial"/>
                <w:sz w:val="14"/>
                <w:szCs w:val="14"/>
                <w:lang w:eastAsia="es-ES_tradnl"/>
              </w:rPr>
            </w:pPr>
            <w:r w:rsidRPr="00093C99">
              <w:rPr>
                <w:rFonts w:cs="Arial"/>
                <w:sz w:val="14"/>
                <w:szCs w:val="14"/>
              </w:rPr>
              <w:t>3.- Realizar el mapa de procesos.</w:t>
            </w:r>
          </w:p>
        </w:tc>
      </w:tr>
      <w:tr w:rsidR="00FE6590" w:rsidRPr="00126C2B" w14:paraId="239ADE28" w14:textId="77777777" w:rsidTr="00A04566">
        <w:trPr>
          <w:trHeight w:val="20"/>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95C45D" w14:textId="77777777" w:rsidR="00FE6590" w:rsidRPr="00297A26" w:rsidRDefault="00FE6590" w:rsidP="00A04566">
            <w:pPr>
              <w:jc w:val="center"/>
              <w:rPr>
                <w:rFonts w:eastAsia="Times New Roman" w:cs="Arial"/>
                <w:b/>
                <w:bCs/>
                <w:sz w:val="16"/>
                <w:szCs w:val="16"/>
                <w:lang w:val="es-ES_tradnl" w:eastAsia="es-ES_tradnl"/>
              </w:rPr>
            </w:pPr>
            <w:r w:rsidRPr="00297A26">
              <w:rPr>
                <w:rFonts w:eastAsia="Times New Roman" w:cs="Arial"/>
                <w:b/>
                <w:bCs/>
                <w:sz w:val="16"/>
                <w:szCs w:val="16"/>
                <w:lang w:val="es-ES_tradnl" w:eastAsia="es-ES_tradnl"/>
              </w:rPr>
              <w:lastRenderedPageBreak/>
              <w:t>Evaluaciones de Procesos</w:t>
            </w:r>
          </w:p>
        </w:tc>
      </w:tr>
      <w:tr w:rsidR="00FE6590" w:rsidRPr="00EC1592" w14:paraId="6433A7D3" w14:textId="77777777" w:rsidTr="00A04566">
        <w:trPr>
          <w:trHeight w:val="20"/>
          <w:jc w:val="center"/>
        </w:trPr>
        <w:tc>
          <w:tcPr>
            <w:tcW w:w="421" w:type="dxa"/>
            <w:vAlign w:val="center"/>
          </w:tcPr>
          <w:p w14:paraId="07496B1E"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3</w:t>
            </w:r>
          </w:p>
        </w:tc>
        <w:tc>
          <w:tcPr>
            <w:tcW w:w="1842" w:type="dxa"/>
            <w:vAlign w:val="center"/>
          </w:tcPr>
          <w:p w14:paraId="269F156C"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Secretaría de Educación y Cultura.</w:t>
            </w:r>
          </w:p>
        </w:tc>
        <w:tc>
          <w:tcPr>
            <w:tcW w:w="1985" w:type="dxa"/>
            <w:vAlign w:val="center"/>
          </w:tcPr>
          <w:p w14:paraId="40059A90"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Ramo 11.</w:t>
            </w:r>
          </w:p>
        </w:tc>
        <w:tc>
          <w:tcPr>
            <w:tcW w:w="2693" w:type="dxa"/>
            <w:vAlign w:val="center"/>
          </w:tcPr>
          <w:p w14:paraId="32076759"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S63.- Inclusión Social y Equidad Educativa. Componente A: Servicios de Educación Inicial Escolarizado (CAI) Proporcionados.</w:t>
            </w:r>
          </w:p>
        </w:tc>
        <w:tc>
          <w:tcPr>
            <w:tcW w:w="1843" w:type="dxa"/>
            <w:vAlign w:val="center"/>
          </w:tcPr>
          <w:p w14:paraId="61147D6C"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Procesos.</w:t>
            </w:r>
          </w:p>
          <w:p w14:paraId="6A1C8BFF"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Ejercicio fiscal 2023.</w:t>
            </w:r>
          </w:p>
        </w:tc>
      </w:tr>
      <w:tr w:rsidR="00FE6590" w:rsidRPr="00093C99" w14:paraId="434EBD70" w14:textId="77777777" w:rsidTr="00A04566">
        <w:trPr>
          <w:trHeight w:val="20"/>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BA42F6" w14:textId="77777777" w:rsidR="00FE6590" w:rsidRPr="00093C99" w:rsidRDefault="00FE6590" w:rsidP="00A04566">
            <w:pPr>
              <w:rPr>
                <w:rFonts w:eastAsia="Arial" w:cs="Arial"/>
                <w:b/>
                <w:bCs/>
                <w:sz w:val="14"/>
                <w:szCs w:val="14"/>
              </w:rPr>
            </w:pPr>
            <w:r w:rsidRPr="00093C99">
              <w:rPr>
                <w:rFonts w:eastAsia="Arial" w:cs="Arial"/>
                <w:b/>
                <w:bCs/>
                <w:sz w:val="14"/>
                <w:szCs w:val="14"/>
              </w:rPr>
              <w:t>Presupuesto.</w:t>
            </w:r>
          </w:p>
          <w:p w14:paraId="00A7B422" w14:textId="77777777" w:rsidR="00FE6590" w:rsidRPr="00093C99" w:rsidRDefault="00FE6590" w:rsidP="00A04566">
            <w:pPr>
              <w:rPr>
                <w:rFonts w:cs="Arial"/>
                <w:sz w:val="14"/>
                <w:szCs w:val="14"/>
              </w:rPr>
            </w:pPr>
            <w:r w:rsidRPr="00093C99">
              <w:rPr>
                <w:rFonts w:cs="Arial"/>
                <w:sz w:val="14"/>
                <w:szCs w:val="14"/>
              </w:rPr>
              <w:t>El presupuesto total autorizado para el ejercicio fiscal evaluado fue de 63 millones 348 mil 283 pesos que corresponde a</w:t>
            </w:r>
            <w:r>
              <w:rPr>
                <w:rFonts w:cs="Arial"/>
                <w:sz w:val="14"/>
                <w:szCs w:val="14"/>
              </w:rPr>
              <w:t>l</w:t>
            </w:r>
            <w:r w:rsidRPr="00093C99">
              <w:rPr>
                <w:rFonts w:cs="Arial"/>
                <w:sz w:val="14"/>
                <w:szCs w:val="14"/>
              </w:rPr>
              <w:t xml:space="preserve"> Ramo 11 y constituye el 100 por ciento de los recursos del programa.</w:t>
            </w:r>
          </w:p>
          <w:p w14:paraId="3CB62AE2" w14:textId="77777777" w:rsidR="00FE6590" w:rsidRPr="00093C99" w:rsidRDefault="00FE6590" w:rsidP="00A04566">
            <w:pPr>
              <w:rPr>
                <w:rFonts w:eastAsia="Arial" w:cs="Arial"/>
                <w:b/>
                <w:bCs/>
                <w:sz w:val="14"/>
                <w:szCs w:val="14"/>
              </w:rPr>
            </w:pPr>
            <w:r w:rsidRPr="00093C99">
              <w:rPr>
                <w:rFonts w:eastAsia="Arial" w:cs="Arial"/>
                <w:b/>
                <w:bCs/>
                <w:sz w:val="14"/>
                <w:szCs w:val="14"/>
              </w:rPr>
              <w:t>Principales Resultados de la Evaluación.</w:t>
            </w:r>
          </w:p>
          <w:p w14:paraId="3397F23A" w14:textId="77777777" w:rsidR="00FE6590" w:rsidRPr="00093C99" w:rsidRDefault="00FE6590" w:rsidP="00A04566">
            <w:pPr>
              <w:pStyle w:val="TableParagraph"/>
              <w:kinsoku w:val="0"/>
              <w:overflowPunct w:val="0"/>
              <w:spacing w:line="240" w:lineRule="auto"/>
              <w:rPr>
                <w:rFonts w:eastAsia="Calibri"/>
                <w:sz w:val="14"/>
                <w:szCs w:val="14"/>
                <w:lang w:val="es-MX"/>
              </w:rPr>
            </w:pPr>
            <w:r w:rsidRPr="00093C99">
              <w:rPr>
                <w:rFonts w:eastAsia="Calibri"/>
                <w:sz w:val="14"/>
                <w:szCs w:val="14"/>
                <w:lang w:val="es-MX"/>
              </w:rPr>
              <w:t xml:space="preserve">Los principales hallazgos de la evaluación de acuerdo al análisis realizado por cada apoyo son los siguientes: en el tema de normatividad, el </w:t>
            </w:r>
            <w:r w:rsidRPr="00AB33C1">
              <w:rPr>
                <w:rFonts w:eastAsia="Calibri"/>
                <w:sz w:val="14"/>
                <w:szCs w:val="14"/>
                <w:lang w:val="es-MX"/>
              </w:rPr>
              <w:t>Programa Expansión de Educación Inicial</w:t>
            </w:r>
            <w:r>
              <w:rPr>
                <w:rFonts w:eastAsia="Calibri"/>
                <w:sz w:val="14"/>
                <w:szCs w:val="14"/>
                <w:lang w:val="es-MX"/>
              </w:rPr>
              <w:t xml:space="preserve"> (</w:t>
            </w:r>
            <w:r w:rsidRPr="00093C99">
              <w:rPr>
                <w:rFonts w:eastAsia="Calibri"/>
                <w:sz w:val="14"/>
                <w:szCs w:val="14"/>
                <w:lang w:val="es-MX"/>
              </w:rPr>
              <w:t>PEEI</w:t>
            </w:r>
            <w:r>
              <w:rPr>
                <w:rFonts w:eastAsia="Calibri"/>
                <w:sz w:val="14"/>
                <w:szCs w:val="14"/>
                <w:lang w:val="es-MX"/>
              </w:rPr>
              <w:t>)</w:t>
            </w:r>
            <w:r w:rsidRPr="00093C99">
              <w:rPr>
                <w:rFonts w:eastAsia="Calibri"/>
                <w:sz w:val="14"/>
                <w:szCs w:val="14"/>
                <w:lang w:val="es-MX"/>
              </w:rPr>
              <w:t xml:space="preserve"> 2023 inició en tiempo, ya que las reglas de operación se publicaron a finales del 2022, lo que ayudó en su operación y planeación estratégica temprana.</w:t>
            </w:r>
            <w:r>
              <w:rPr>
                <w:rFonts w:eastAsia="Calibri"/>
                <w:sz w:val="14"/>
                <w:szCs w:val="14"/>
                <w:lang w:val="es-MX"/>
              </w:rPr>
              <w:t xml:space="preserve"> </w:t>
            </w:r>
          </w:p>
          <w:p w14:paraId="67345D01" w14:textId="77777777" w:rsidR="00FE6590" w:rsidRPr="00093C99" w:rsidRDefault="00FE6590" w:rsidP="00A04566">
            <w:pPr>
              <w:pStyle w:val="TableParagraph"/>
              <w:kinsoku w:val="0"/>
              <w:overflowPunct w:val="0"/>
              <w:spacing w:line="240" w:lineRule="auto"/>
              <w:rPr>
                <w:rFonts w:eastAsia="Calibri"/>
                <w:sz w:val="14"/>
                <w:szCs w:val="14"/>
                <w:lang w:val="es-MX"/>
              </w:rPr>
            </w:pPr>
            <w:r w:rsidRPr="00093C99">
              <w:rPr>
                <w:rFonts w:eastAsia="Calibri"/>
                <w:sz w:val="14"/>
                <w:szCs w:val="14"/>
                <w:lang w:val="es-MX"/>
              </w:rPr>
              <w:t>Los siete macroprocesos del PEEI se mantuvieron con respecto a 2022 y en 2023 incluso se perfeccionaron en su operación dada la experiencia que ha logrado el equipo de la Subdirección de Educación Inicial (SEI) para gestionar el Programa y su vinculación con las diversas áreas centrales y estatales.</w:t>
            </w:r>
            <w:r>
              <w:rPr>
                <w:rFonts w:eastAsia="Calibri"/>
                <w:sz w:val="14"/>
                <w:szCs w:val="14"/>
                <w:lang w:val="es-MX"/>
              </w:rPr>
              <w:t xml:space="preserve"> </w:t>
            </w:r>
          </w:p>
          <w:p w14:paraId="5EE0E992" w14:textId="77777777" w:rsidR="00FE6590" w:rsidRPr="00093C99" w:rsidRDefault="00FE6590" w:rsidP="00A04566">
            <w:pPr>
              <w:pStyle w:val="TableParagraph"/>
              <w:kinsoku w:val="0"/>
              <w:overflowPunct w:val="0"/>
              <w:spacing w:line="240" w:lineRule="auto"/>
              <w:rPr>
                <w:rFonts w:eastAsia="Calibri"/>
                <w:sz w:val="14"/>
                <w:szCs w:val="14"/>
                <w:lang w:val="es-MX"/>
              </w:rPr>
            </w:pPr>
            <w:r w:rsidRPr="00093C99">
              <w:rPr>
                <w:rFonts w:eastAsia="Calibri"/>
                <w:sz w:val="14"/>
                <w:szCs w:val="14"/>
                <w:lang w:val="es-MX"/>
              </w:rPr>
              <w:t xml:space="preserve">En relación con la comunicación con el área central, nuevamente, al igual que en 2022, los responsables de los procesos del Programa en el estado destacaron una gran flexibilidad y coordinación con el área normativa </w:t>
            </w:r>
            <w:r w:rsidRPr="00AB33C1">
              <w:rPr>
                <w:rFonts w:eastAsia="Calibri"/>
                <w:sz w:val="14"/>
                <w:szCs w:val="14"/>
                <w:lang w:val="es-MX"/>
              </w:rPr>
              <w:t>central de la</w:t>
            </w:r>
            <w:r w:rsidRPr="00093C99">
              <w:rPr>
                <w:rFonts w:eastAsia="Calibri"/>
                <w:sz w:val="14"/>
                <w:szCs w:val="14"/>
                <w:lang w:val="es-MX"/>
              </w:rPr>
              <w:t xml:space="preserve"> Dirección General de Gestión Escolar y Enfoque Territorial de la Secretaría de Educación (</w:t>
            </w:r>
            <w:proofErr w:type="spellStart"/>
            <w:r w:rsidRPr="00093C99">
              <w:rPr>
                <w:rFonts w:eastAsia="Calibri"/>
                <w:sz w:val="14"/>
                <w:szCs w:val="14"/>
                <w:lang w:val="es-MX"/>
              </w:rPr>
              <w:t>DGGEyET</w:t>
            </w:r>
            <w:proofErr w:type="spellEnd"/>
            <w:r w:rsidRPr="00093C99">
              <w:rPr>
                <w:rFonts w:eastAsia="Calibri"/>
                <w:sz w:val="14"/>
                <w:szCs w:val="14"/>
                <w:lang w:val="es-MX"/>
              </w:rPr>
              <w:t>) para generar acuerdos en relación con redireccionar el recurso en acciones de servicio de alimentación de apoyo 3, apoyo 5 y pago de personal de forma acumulativa en abril del 2023, lo respectivo a los primeros tres meses del año que laboraron los Agentes Educativos Comunitarios (AEC) y el personal voluntario de los</w:t>
            </w:r>
            <w:r>
              <w:rPr>
                <w:rFonts w:eastAsia="Calibri"/>
                <w:sz w:val="14"/>
                <w:szCs w:val="14"/>
                <w:lang w:val="es-MX"/>
              </w:rPr>
              <w:t xml:space="preserve"> </w:t>
            </w:r>
            <w:r w:rsidRPr="00AB33C1">
              <w:rPr>
                <w:rFonts w:eastAsia="Calibri"/>
                <w:sz w:val="14"/>
                <w:szCs w:val="14"/>
                <w:lang w:val="es-MX"/>
              </w:rPr>
              <w:t>Centros de Desarrollo Infantil</w:t>
            </w:r>
            <w:r w:rsidRPr="00093C99">
              <w:rPr>
                <w:rFonts w:eastAsia="Calibri"/>
                <w:sz w:val="14"/>
                <w:szCs w:val="14"/>
                <w:lang w:val="es-MX"/>
              </w:rPr>
              <w:t xml:space="preserve"> </w:t>
            </w:r>
            <w:r>
              <w:rPr>
                <w:rFonts w:eastAsia="Calibri"/>
                <w:sz w:val="14"/>
                <w:szCs w:val="14"/>
                <w:lang w:val="es-MX"/>
              </w:rPr>
              <w:t>(</w:t>
            </w:r>
            <w:r w:rsidRPr="00093C99">
              <w:rPr>
                <w:rFonts w:eastAsia="Calibri"/>
                <w:sz w:val="14"/>
                <w:szCs w:val="14"/>
                <w:lang w:val="es-MX"/>
              </w:rPr>
              <w:t>CENDI</w:t>
            </w:r>
            <w:r>
              <w:rPr>
                <w:rFonts w:eastAsia="Calibri"/>
                <w:sz w:val="14"/>
                <w:szCs w:val="14"/>
                <w:lang w:val="es-MX"/>
              </w:rPr>
              <w:t>)</w:t>
            </w:r>
            <w:r w:rsidRPr="00093C99">
              <w:rPr>
                <w:rFonts w:eastAsia="Calibri"/>
                <w:sz w:val="14"/>
                <w:szCs w:val="14"/>
                <w:lang w:val="es-MX"/>
              </w:rPr>
              <w:t xml:space="preserve">. Para ello, se enviaron oficios a la </w:t>
            </w:r>
            <w:proofErr w:type="spellStart"/>
            <w:r w:rsidRPr="00093C99">
              <w:rPr>
                <w:rFonts w:eastAsia="Calibri"/>
                <w:sz w:val="14"/>
                <w:szCs w:val="14"/>
                <w:lang w:val="es-MX"/>
              </w:rPr>
              <w:t>DGGEyET</w:t>
            </w:r>
            <w:proofErr w:type="spellEnd"/>
            <w:r w:rsidRPr="00093C99">
              <w:rPr>
                <w:rFonts w:eastAsia="Calibri"/>
                <w:sz w:val="14"/>
                <w:szCs w:val="14"/>
                <w:lang w:val="es-MX"/>
              </w:rPr>
              <w:t xml:space="preserve"> con la justificación de dichas solicitudes y se autorizó por el mismo medio de parte de esta área.</w:t>
            </w:r>
            <w:r>
              <w:rPr>
                <w:rFonts w:eastAsia="Calibri"/>
                <w:sz w:val="14"/>
                <w:szCs w:val="14"/>
                <w:lang w:val="es-MX"/>
              </w:rPr>
              <w:t xml:space="preserve">  </w:t>
            </w:r>
          </w:p>
          <w:p w14:paraId="756D69B1" w14:textId="77777777" w:rsidR="00FE6590" w:rsidRPr="00093C99" w:rsidRDefault="00FE6590" w:rsidP="00A04566">
            <w:pPr>
              <w:rPr>
                <w:rFonts w:cs="Arial"/>
                <w:sz w:val="14"/>
                <w:szCs w:val="14"/>
              </w:rPr>
            </w:pPr>
            <w:r w:rsidRPr="00093C99">
              <w:rPr>
                <w:rFonts w:cs="Arial"/>
                <w:sz w:val="14"/>
                <w:szCs w:val="14"/>
              </w:rPr>
              <w:t>Se identificó el área de oportunidad en atender observaciones en base a los materiales entregados que no cuentan con la calidad requerida y el análisis de las rutas de entrega de insumos, así como también la integración de Agentes Educativos Federalizados (AEF) y personal para operar el Programa de Expansión Inicial (PEI).</w:t>
            </w:r>
            <w:r>
              <w:rPr>
                <w:rFonts w:cs="Arial"/>
                <w:sz w:val="14"/>
                <w:szCs w:val="14"/>
              </w:rPr>
              <w:t xml:space="preserve">   </w:t>
            </w:r>
          </w:p>
          <w:p w14:paraId="017C9B79" w14:textId="77777777" w:rsidR="00FE6590" w:rsidRPr="00093C99" w:rsidRDefault="00FE6590" w:rsidP="00A04566">
            <w:pPr>
              <w:rPr>
                <w:rFonts w:eastAsia="Arial" w:cs="Arial"/>
                <w:b/>
                <w:bCs/>
                <w:sz w:val="14"/>
                <w:szCs w:val="14"/>
              </w:rPr>
            </w:pPr>
            <w:r w:rsidRPr="00093C99">
              <w:rPr>
                <w:rFonts w:eastAsia="Arial" w:cs="Arial"/>
                <w:b/>
                <w:bCs/>
                <w:sz w:val="14"/>
                <w:szCs w:val="14"/>
              </w:rPr>
              <w:t>Principales Recomendaciones:</w:t>
            </w:r>
          </w:p>
          <w:p w14:paraId="2465214A" w14:textId="77777777" w:rsidR="00FE6590" w:rsidRPr="00093C99" w:rsidRDefault="00FE6590" w:rsidP="00A04566">
            <w:pPr>
              <w:pStyle w:val="TableParagraph"/>
              <w:kinsoku w:val="0"/>
              <w:overflowPunct w:val="0"/>
              <w:adjustRightInd w:val="0"/>
              <w:spacing w:line="240" w:lineRule="auto"/>
              <w:rPr>
                <w:rFonts w:eastAsia="Calibri"/>
                <w:sz w:val="14"/>
                <w:szCs w:val="14"/>
                <w:lang w:val="es-MX"/>
              </w:rPr>
            </w:pPr>
            <w:r w:rsidRPr="00093C99">
              <w:rPr>
                <w:rFonts w:eastAsia="Calibri"/>
                <w:sz w:val="14"/>
                <w:szCs w:val="14"/>
                <w:lang w:val="es-MX"/>
              </w:rPr>
              <w:t>1.- Aumentar el número de AEF para dar atención a la demanda que se genere de dicha difusión.</w:t>
            </w:r>
          </w:p>
          <w:p w14:paraId="56BACD6E" w14:textId="77777777" w:rsidR="00FE6590" w:rsidRPr="00093C99" w:rsidRDefault="00FE6590" w:rsidP="00A04566">
            <w:pPr>
              <w:pStyle w:val="TableParagraph"/>
              <w:kinsoku w:val="0"/>
              <w:overflowPunct w:val="0"/>
              <w:adjustRightInd w:val="0"/>
              <w:spacing w:line="240" w:lineRule="auto"/>
              <w:rPr>
                <w:rFonts w:eastAsia="Calibri"/>
                <w:sz w:val="14"/>
                <w:szCs w:val="14"/>
                <w:lang w:val="es-MX"/>
              </w:rPr>
            </w:pPr>
            <w:r w:rsidRPr="00093C99">
              <w:rPr>
                <w:rFonts w:eastAsia="Calibri"/>
                <w:sz w:val="14"/>
                <w:szCs w:val="14"/>
                <w:lang w:val="es-MX"/>
              </w:rPr>
              <w:t xml:space="preserve">2.- Gestionar lo conducente para contar con una camioneta adicional asignada a la SEI en su inventario para cumplir con este fin en tiempo y forma. </w:t>
            </w:r>
          </w:p>
          <w:p w14:paraId="5767C71E" w14:textId="77777777" w:rsidR="00FE6590" w:rsidRPr="00093C99" w:rsidRDefault="00FE6590" w:rsidP="00A04566">
            <w:pPr>
              <w:pStyle w:val="TableParagraph"/>
              <w:kinsoku w:val="0"/>
              <w:overflowPunct w:val="0"/>
              <w:adjustRightInd w:val="0"/>
              <w:spacing w:line="240" w:lineRule="auto"/>
              <w:rPr>
                <w:rFonts w:eastAsia="Times New Roman"/>
                <w:sz w:val="14"/>
                <w:szCs w:val="14"/>
                <w:lang w:val="es-MX" w:eastAsia="es-ES_tradnl"/>
              </w:rPr>
            </w:pPr>
            <w:r w:rsidRPr="00093C99">
              <w:rPr>
                <w:rFonts w:eastAsia="Calibri"/>
                <w:sz w:val="14"/>
                <w:szCs w:val="14"/>
                <w:lang w:val="es-MX"/>
              </w:rPr>
              <w:t>3.- Atender la solicitud del equipo de la SEI de sumar personal para operar el PEEI y los cambios que se suscitaron en 2023 y años previos, con la intención de dar mayor seguimiento técnico pedagógico académico a los AE y seguimiento a los resultados de las capacitaciones, a fin de mejorar la distribución de tareas entre el equipo y evitar la sobre carga de trabajo.</w:t>
            </w:r>
          </w:p>
        </w:tc>
      </w:tr>
      <w:tr w:rsidR="00FE6590" w:rsidRPr="00126C2B" w14:paraId="58D085C4" w14:textId="77777777" w:rsidTr="00A04566">
        <w:trPr>
          <w:trHeight w:val="20"/>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C64EF9" w14:textId="77777777" w:rsidR="00FE6590" w:rsidRPr="00297A26" w:rsidRDefault="00FE6590" w:rsidP="00A04566">
            <w:pPr>
              <w:jc w:val="center"/>
              <w:rPr>
                <w:rFonts w:eastAsia="Times New Roman" w:cs="Arial"/>
                <w:b/>
                <w:bCs/>
                <w:sz w:val="16"/>
                <w:szCs w:val="16"/>
                <w:lang w:val="es-ES_tradnl" w:eastAsia="es-ES_tradnl"/>
              </w:rPr>
            </w:pPr>
            <w:r w:rsidRPr="00297A26">
              <w:rPr>
                <w:rFonts w:eastAsia="Times New Roman" w:cs="Arial"/>
                <w:b/>
                <w:bCs/>
                <w:sz w:val="16"/>
                <w:szCs w:val="16"/>
                <w:lang w:val="es-ES_tradnl" w:eastAsia="es-ES_tradnl"/>
              </w:rPr>
              <w:t>Informes Estatales de Evaluación</w:t>
            </w:r>
          </w:p>
        </w:tc>
      </w:tr>
      <w:tr w:rsidR="00FE6590" w:rsidRPr="00EC1592" w14:paraId="341A7707" w14:textId="77777777" w:rsidTr="00A04566">
        <w:trPr>
          <w:trHeight w:val="20"/>
          <w:jc w:val="center"/>
        </w:trPr>
        <w:tc>
          <w:tcPr>
            <w:tcW w:w="421" w:type="dxa"/>
            <w:vAlign w:val="center"/>
          </w:tcPr>
          <w:p w14:paraId="52A88BD7"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4</w:t>
            </w:r>
          </w:p>
        </w:tc>
        <w:tc>
          <w:tcPr>
            <w:tcW w:w="1842" w:type="dxa"/>
            <w:vAlign w:val="center"/>
          </w:tcPr>
          <w:p w14:paraId="27099691"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Secretariado Ejecutivo del Sistema Estatal de Seguridad Pública.</w:t>
            </w:r>
          </w:p>
        </w:tc>
        <w:tc>
          <w:tcPr>
            <w:tcW w:w="1985" w:type="dxa"/>
            <w:vAlign w:val="center"/>
          </w:tcPr>
          <w:p w14:paraId="35E1FBE3"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Fondo de Aportaciones para la Seguridad Pública, FASP.</w:t>
            </w:r>
          </w:p>
        </w:tc>
        <w:tc>
          <w:tcPr>
            <w:tcW w:w="2693" w:type="dxa"/>
            <w:vAlign w:val="center"/>
          </w:tcPr>
          <w:p w14:paraId="39890AAF"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I32.- Asistencia al Sistema Estatal de Seguridad Pública.</w:t>
            </w:r>
          </w:p>
        </w:tc>
        <w:tc>
          <w:tcPr>
            <w:tcW w:w="1843" w:type="dxa"/>
            <w:vAlign w:val="center"/>
          </w:tcPr>
          <w:p w14:paraId="596B9F88"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Informe Estatal.</w:t>
            </w:r>
          </w:p>
          <w:p w14:paraId="10D41AF2"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Ejercicio fiscal 2023.</w:t>
            </w:r>
          </w:p>
        </w:tc>
      </w:tr>
      <w:tr w:rsidR="00FE6590" w:rsidRPr="00093C99" w14:paraId="3A528F04" w14:textId="77777777" w:rsidTr="00A04566">
        <w:trPr>
          <w:trHeight w:val="20"/>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551B76" w14:textId="77777777" w:rsidR="00FE6590" w:rsidRPr="00093C99" w:rsidRDefault="00FE6590" w:rsidP="00A04566">
            <w:pPr>
              <w:rPr>
                <w:rFonts w:eastAsia="Arial" w:cs="Arial"/>
                <w:b/>
                <w:bCs/>
                <w:sz w:val="14"/>
                <w:szCs w:val="14"/>
              </w:rPr>
            </w:pPr>
            <w:r w:rsidRPr="00093C99">
              <w:rPr>
                <w:rFonts w:eastAsia="Arial" w:cs="Arial"/>
                <w:b/>
                <w:bCs/>
                <w:sz w:val="14"/>
                <w:szCs w:val="14"/>
              </w:rPr>
              <w:t>Presupuesto.</w:t>
            </w:r>
          </w:p>
          <w:p w14:paraId="3A0B687E" w14:textId="77777777" w:rsidR="00FE6590" w:rsidRPr="00093C99" w:rsidRDefault="00FE6590" w:rsidP="00A04566">
            <w:pPr>
              <w:rPr>
                <w:rFonts w:cs="Arial"/>
                <w:sz w:val="14"/>
                <w:szCs w:val="14"/>
              </w:rPr>
            </w:pPr>
            <w:r w:rsidRPr="00093C99">
              <w:rPr>
                <w:rFonts w:cs="Arial"/>
                <w:sz w:val="14"/>
                <w:szCs w:val="14"/>
              </w:rPr>
              <w:t>El presupuesto total autorizado para el ejercicio fiscal evaluado fue de 349 millones 279 mil 586 pesos, de los cuales 233 millones 279 mil 586 pesos corresponden a recursos del FASP que representa el 66.8 por ciento y 116 millones de pesos es recurso estatal que representa el 33.2 por ciento.</w:t>
            </w:r>
          </w:p>
          <w:p w14:paraId="62B46F88" w14:textId="77777777" w:rsidR="00FE6590" w:rsidRPr="00093C99" w:rsidRDefault="00FE6590" w:rsidP="00A04566">
            <w:pPr>
              <w:rPr>
                <w:rFonts w:eastAsia="Arial" w:cs="Arial"/>
                <w:b/>
                <w:bCs/>
                <w:sz w:val="14"/>
                <w:szCs w:val="14"/>
              </w:rPr>
            </w:pPr>
            <w:r w:rsidRPr="00093C99">
              <w:rPr>
                <w:rFonts w:eastAsia="Arial" w:cs="Arial"/>
                <w:b/>
                <w:bCs/>
                <w:sz w:val="14"/>
                <w:szCs w:val="14"/>
              </w:rPr>
              <w:t>Principales Resultados de la Evaluación.</w:t>
            </w:r>
          </w:p>
          <w:p w14:paraId="3F27925E" w14:textId="507F8E51" w:rsidR="00FE6590" w:rsidRPr="00093C99" w:rsidRDefault="00FE6590" w:rsidP="00A04566">
            <w:pPr>
              <w:pStyle w:val="TableParagraph"/>
              <w:kinsoku w:val="0"/>
              <w:overflowPunct w:val="0"/>
              <w:spacing w:line="240" w:lineRule="auto"/>
              <w:ind w:left="1" w:right="-15" w:firstLine="11"/>
              <w:rPr>
                <w:rFonts w:eastAsia="Calibri"/>
                <w:sz w:val="14"/>
                <w:szCs w:val="14"/>
                <w:lang w:val="es-MX"/>
              </w:rPr>
            </w:pPr>
            <w:r w:rsidRPr="00093C99">
              <w:rPr>
                <w:rFonts w:eastAsia="Calibri"/>
                <w:sz w:val="14"/>
                <w:szCs w:val="14"/>
                <w:lang w:val="es-MX"/>
              </w:rPr>
              <w:t>El Estado de Colima invirtió en siete de los ocho Programas con Prioridad Nacional aprobados por el Consejo Nacional de Seguridad Pública, mostrando alto grado de eficiencia financiera y de cumplimiento de metas con un alto índice de aprovechamiento de los recursos FASP ya que en el ejercicio de los programas y subprogramas de prioridad nacional se alcanzó el 98.6 por ciento en la aplicación del gasto y el cumplimiento de metas cercano al 700</w:t>
            </w:r>
            <w:r w:rsidR="00BB05EC">
              <w:rPr>
                <w:rFonts w:eastAsia="Calibri"/>
                <w:sz w:val="14"/>
                <w:szCs w:val="14"/>
                <w:lang w:val="es-MX"/>
              </w:rPr>
              <w:t xml:space="preserve"> por ciento</w:t>
            </w:r>
            <w:r w:rsidRPr="00093C99">
              <w:rPr>
                <w:rFonts w:eastAsia="Calibri"/>
                <w:sz w:val="14"/>
                <w:szCs w:val="14"/>
                <w:lang w:val="es-MX"/>
              </w:rPr>
              <w:t>.</w:t>
            </w:r>
          </w:p>
          <w:p w14:paraId="6C26F171" w14:textId="77777777" w:rsidR="00FE6590" w:rsidRPr="00093C99" w:rsidRDefault="00FE6590" w:rsidP="00A04566">
            <w:pPr>
              <w:pStyle w:val="TableParagraph"/>
              <w:kinsoku w:val="0"/>
              <w:overflowPunct w:val="0"/>
              <w:spacing w:line="240" w:lineRule="auto"/>
              <w:ind w:left="3" w:right="-29" w:hanging="4"/>
              <w:rPr>
                <w:rFonts w:eastAsia="Calibri"/>
                <w:sz w:val="14"/>
                <w:szCs w:val="14"/>
                <w:lang w:val="es-MX"/>
              </w:rPr>
            </w:pPr>
            <w:r w:rsidRPr="00093C99">
              <w:rPr>
                <w:rFonts w:eastAsia="Calibri"/>
                <w:sz w:val="14"/>
                <w:szCs w:val="14"/>
                <w:lang w:val="es-MX"/>
              </w:rPr>
              <w:t>Colima en los últimos años ha realizado aportaciones FASP superiores a la considerada por el Sistema Nacional de Seguridad Pública, siendo las inversiones prioritarias enfocadas en la dignificación de las y los policías, al fortalecimiento de la infraestructura y equipamiento institucional y en tecnologías de la información para apoyo a la operación.</w:t>
            </w:r>
            <w:r>
              <w:rPr>
                <w:rFonts w:eastAsia="Calibri"/>
                <w:sz w:val="14"/>
                <w:szCs w:val="14"/>
                <w:lang w:val="es-MX"/>
              </w:rPr>
              <w:t xml:space="preserve"> </w:t>
            </w:r>
          </w:p>
          <w:p w14:paraId="2D097F54" w14:textId="77777777" w:rsidR="00FE6590" w:rsidRPr="00093C99" w:rsidRDefault="00FE6590" w:rsidP="00A04566">
            <w:pPr>
              <w:pStyle w:val="TableParagraph"/>
              <w:kinsoku w:val="0"/>
              <w:overflowPunct w:val="0"/>
              <w:spacing w:line="240" w:lineRule="auto"/>
              <w:rPr>
                <w:rFonts w:eastAsia="Calibri"/>
                <w:sz w:val="14"/>
                <w:szCs w:val="14"/>
                <w:lang w:val="es-MX"/>
              </w:rPr>
            </w:pPr>
            <w:r w:rsidRPr="00093C99">
              <w:rPr>
                <w:rFonts w:eastAsia="Calibri"/>
                <w:sz w:val="14"/>
                <w:szCs w:val="14"/>
                <w:lang w:val="es-MX"/>
              </w:rPr>
              <w:t>Así mismo, destinó a los municipios el 25 por ciento del FASP 2023, asignación mayor a la establecida en la</w:t>
            </w:r>
            <w:r>
              <w:rPr>
                <w:rFonts w:eastAsia="Calibri"/>
                <w:sz w:val="14"/>
                <w:szCs w:val="14"/>
                <w:lang w:val="es-MX"/>
              </w:rPr>
              <w:t xml:space="preserve">s reglas de operación del FASP </w:t>
            </w:r>
            <w:r w:rsidRPr="00093C99">
              <w:rPr>
                <w:rFonts w:eastAsia="Calibri"/>
                <w:sz w:val="14"/>
                <w:szCs w:val="14"/>
                <w:lang w:val="es-MX"/>
              </w:rPr>
              <w:t>que favorece a los gobiernos y a la seguridad pública de los municipios, por lo que hace la dignificación de los elementos de seguridad pública, en el que se reflejan el incremento salarial, equipamiento y uniformes a los elementos de seguridad pública, fortaleciendo la imagen, identidad, proximidad y presencia de los elementos en pro de la seguridad pública y protección a la ciudadanía; aunado a ello, Colima ha tenido un gran avance en la certificación policial en general destacando los elementos municipales y la Fiscalía General del Estado.</w:t>
            </w:r>
          </w:p>
          <w:p w14:paraId="606675FB" w14:textId="77777777" w:rsidR="00FE6590" w:rsidRPr="00093C99" w:rsidRDefault="00FE6590" w:rsidP="00A04566">
            <w:pPr>
              <w:pStyle w:val="TableParagraph"/>
              <w:kinsoku w:val="0"/>
              <w:overflowPunct w:val="0"/>
              <w:spacing w:line="240" w:lineRule="auto"/>
              <w:ind w:left="-9"/>
              <w:rPr>
                <w:sz w:val="14"/>
                <w:szCs w:val="14"/>
              </w:rPr>
            </w:pPr>
            <w:r w:rsidRPr="00093C99">
              <w:rPr>
                <w:rFonts w:eastAsia="Calibri"/>
                <w:sz w:val="14"/>
                <w:szCs w:val="14"/>
                <w:lang w:val="es-MX"/>
              </w:rPr>
              <w:t xml:space="preserve">Colima ha sido un gran pionero en invertir recursos en la creación de la Unidad Especial de Investigación; realizar inversiones </w:t>
            </w:r>
            <w:r w:rsidRPr="00093C99">
              <w:rPr>
                <w:sz w:val="14"/>
                <w:szCs w:val="14"/>
              </w:rPr>
              <w:t>en capacitación para todos los elementos de seguridad, fortalecimiento en infraestructura, mobiliario, tecnologías y acciones preventivas mediante programas y talleres comunitarios.</w:t>
            </w:r>
          </w:p>
          <w:p w14:paraId="55C90E6D" w14:textId="77777777" w:rsidR="00FE6590" w:rsidRPr="00093C99" w:rsidRDefault="00FE6590" w:rsidP="00A04566">
            <w:pPr>
              <w:rPr>
                <w:rFonts w:eastAsia="Arial" w:cs="Arial"/>
                <w:b/>
                <w:bCs/>
                <w:sz w:val="14"/>
                <w:szCs w:val="14"/>
              </w:rPr>
            </w:pPr>
            <w:r w:rsidRPr="00093C99">
              <w:rPr>
                <w:rFonts w:eastAsia="Arial" w:cs="Arial"/>
                <w:b/>
                <w:bCs/>
                <w:sz w:val="14"/>
                <w:szCs w:val="14"/>
              </w:rPr>
              <w:t>Principales Recomendaciones:</w:t>
            </w:r>
          </w:p>
          <w:p w14:paraId="1D3B492F" w14:textId="77777777" w:rsidR="00FE6590" w:rsidRPr="00093C99" w:rsidRDefault="00FE6590" w:rsidP="00A04566">
            <w:pPr>
              <w:pStyle w:val="Textoindependiente"/>
              <w:kinsoku w:val="0"/>
              <w:overflowPunct w:val="0"/>
              <w:ind w:left="71" w:right="-8" w:hanging="5"/>
              <w:rPr>
                <w:rFonts w:eastAsia="Courier New"/>
                <w:sz w:val="14"/>
                <w:szCs w:val="14"/>
              </w:rPr>
            </w:pPr>
            <w:r w:rsidRPr="00093C99">
              <w:rPr>
                <w:rFonts w:eastAsia="Courier New"/>
                <w:sz w:val="14"/>
                <w:szCs w:val="14"/>
              </w:rPr>
              <w:t>1.- El instituto de Formación, Capacitación y Profesionalización Policial del Estado, necesita avanzar en los niveles de especialización y de profesionalización que requieren las corporaciones de seguridad pública para potenciar las capacidades y habilidades de los elementos policiales para enfrentar los nuevos retos en seguridad pública.</w:t>
            </w:r>
          </w:p>
          <w:p w14:paraId="067364E6" w14:textId="77777777" w:rsidR="00FE6590" w:rsidRPr="00093C99" w:rsidRDefault="00FE6590" w:rsidP="00A04566">
            <w:pPr>
              <w:pStyle w:val="Textoindependiente"/>
              <w:kinsoku w:val="0"/>
              <w:overflowPunct w:val="0"/>
              <w:ind w:left="65" w:right="-8"/>
              <w:rPr>
                <w:rFonts w:eastAsia="Courier New"/>
                <w:sz w:val="14"/>
                <w:szCs w:val="14"/>
              </w:rPr>
            </w:pPr>
            <w:r w:rsidRPr="00093C99">
              <w:rPr>
                <w:rFonts w:eastAsia="Courier New"/>
                <w:sz w:val="14"/>
                <w:szCs w:val="14"/>
              </w:rPr>
              <w:lastRenderedPageBreak/>
              <w:t>2.- Se recomienda a la entidad realizar un esfuerzo adicional para alcanzar el salario digno policial propuesto para los elementos operativos de seguridad pública, revalorando a los especializados.</w:t>
            </w:r>
            <w:r>
              <w:rPr>
                <w:rFonts w:eastAsia="Courier New"/>
                <w:sz w:val="14"/>
                <w:szCs w:val="14"/>
              </w:rPr>
              <w:t xml:space="preserve"> </w:t>
            </w:r>
          </w:p>
          <w:p w14:paraId="13F27059" w14:textId="77777777" w:rsidR="00FE6590" w:rsidRPr="00093C99" w:rsidRDefault="00FE6590" w:rsidP="00A04566">
            <w:pPr>
              <w:pStyle w:val="Textoindependiente"/>
              <w:kinsoku w:val="0"/>
              <w:overflowPunct w:val="0"/>
              <w:ind w:left="74" w:right="-8" w:hanging="12"/>
              <w:rPr>
                <w:rFonts w:eastAsia="Courier New"/>
                <w:sz w:val="14"/>
                <w:szCs w:val="14"/>
              </w:rPr>
            </w:pPr>
            <w:r w:rsidRPr="00093C99">
              <w:rPr>
                <w:rFonts w:eastAsia="Courier New"/>
                <w:sz w:val="14"/>
                <w:szCs w:val="14"/>
              </w:rPr>
              <w:t>3.- Colima ha logrado avances importantes en la dignificación policial, es deseable complementarla con inversiones en infraestructura y equipamiento institucional.</w:t>
            </w:r>
          </w:p>
          <w:p w14:paraId="56CCC0ED" w14:textId="77777777" w:rsidR="00FE6590" w:rsidRPr="00093C99" w:rsidRDefault="00FE6590" w:rsidP="00A04566">
            <w:pPr>
              <w:pStyle w:val="Textoindependiente"/>
              <w:kinsoku w:val="0"/>
              <w:overflowPunct w:val="0"/>
              <w:ind w:left="77" w:right="-8" w:hanging="2"/>
              <w:rPr>
                <w:rFonts w:eastAsia="Courier New"/>
                <w:sz w:val="14"/>
                <w:szCs w:val="14"/>
              </w:rPr>
            </w:pPr>
            <w:r w:rsidRPr="00093C99">
              <w:rPr>
                <w:rFonts w:eastAsia="Courier New"/>
                <w:sz w:val="14"/>
                <w:szCs w:val="14"/>
              </w:rPr>
              <w:t>4.- Es conveniente que el Estado promueva, suscriba y coordine con las dependencias involucradas los convenios necesarios para el intercambio de información con la finalidad de alimentar las bases de datos del Sistema Nacional de Información.</w:t>
            </w:r>
            <w:r>
              <w:rPr>
                <w:rFonts w:eastAsia="Courier New"/>
                <w:sz w:val="14"/>
                <w:szCs w:val="14"/>
              </w:rPr>
              <w:t xml:space="preserve"> </w:t>
            </w:r>
          </w:p>
          <w:p w14:paraId="08121F97" w14:textId="77777777" w:rsidR="00FE6590" w:rsidRPr="00093C99" w:rsidRDefault="00FE6590" w:rsidP="00A04566">
            <w:pPr>
              <w:pStyle w:val="Textoindependiente"/>
              <w:kinsoku w:val="0"/>
              <w:overflowPunct w:val="0"/>
              <w:ind w:left="72" w:right="-8" w:hanging="5"/>
              <w:rPr>
                <w:rFonts w:eastAsia="Times New Roman"/>
                <w:sz w:val="14"/>
                <w:szCs w:val="14"/>
                <w:lang w:eastAsia="es-ES_tradnl"/>
              </w:rPr>
            </w:pPr>
            <w:r w:rsidRPr="00093C99">
              <w:rPr>
                <w:rFonts w:eastAsia="Courier New"/>
                <w:sz w:val="14"/>
                <w:szCs w:val="14"/>
              </w:rPr>
              <w:t>5.- En materia de prevención del delito es deseable ampliar la cobertura poblacional empleando de forma masiva las nuevas tecnologías de comunicación existentes y las redes de participación ciudadana.</w:t>
            </w:r>
            <w:r>
              <w:rPr>
                <w:rFonts w:eastAsia="Courier New"/>
                <w:sz w:val="14"/>
                <w:szCs w:val="14"/>
              </w:rPr>
              <w:t xml:space="preserve"> </w:t>
            </w:r>
          </w:p>
        </w:tc>
      </w:tr>
      <w:tr w:rsidR="00FE6590" w:rsidRPr="00297A26" w14:paraId="5B4A35BF" w14:textId="77777777" w:rsidTr="00A04566">
        <w:trPr>
          <w:trHeight w:val="20"/>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4557E9" w14:textId="77777777" w:rsidR="00FE6590" w:rsidRPr="00297A26" w:rsidRDefault="00FE6590" w:rsidP="00A04566">
            <w:pPr>
              <w:jc w:val="center"/>
              <w:rPr>
                <w:rFonts w:eastAsia="Times New Roman" w:cs="Arial"/>
                <w:b/>
                <w:bCs/>
                <w:sz w:val="16"/>
                <w:szCs w:val="16"/>
                <w:lang w:val="es-ES_tradnl" w:eastAsia="es-ES_tradnl"/>
              </w:rPr>
            </w:pPr>
            <w:r w:rsidRPr="00297A26">
              <w:rPr>
                <w:rFonts w:eastAsia="Times New Roman" w:cs="Arial"/>
                <w:b/>
                <w:bCs/>
                <w:sz w:val="16"/>
                <w:szCs w:val="16"/>
                <w:lang w:val="es-ES_tradnl" w:eastAsia="es-ES_tradnl"/>
              </w:rPr>
              <w:lastRenderedPageBreak/>
              <w:t>Evaluaciones Específicas</w:t>
            </w:r>
          </w:p>
        </w:tc>
      </w:tr>
      <w:tr w:rsidR="00FE6590" w:rsidRPr="00297A26" w14:paraId="1368E848" w14:textId="77777777" w:rsidTr="00A04566">
        <w:trPr>
          <w:trHeight w:val="20"/>
          <w:jc w:val="center"/>
        </w:trPr>
        <w:tc>
          <w:tcPr>
            <w:tcW w:w="421" w:type="dxa"/>
            <w:vAlign w:val="center"/>
          </w:tcPr>
          <w:p w14:paraId="48FCD1C1" w14:textId="77777777" w:rsidR="00FE6590" w:rsidRPr="00297A26" w:rsidRDefault="00FE6590" w:rsidP="00A04566">
            <w:pPr>
              <w:jc w:val="left"/>
              <w:rPr>
                <w:rFonts w:eastAsia="Times New Roman" w:cs="Arial"/>
                <w:sz w:val="16"/>
                <w:szCs w:val="16"/>
                <w:lang w:val="es-ES_tradnl" w:eastAsia="es-ES_tradnl"/>
              </w:rPr>
            </w:pPr>
            <w:bookmarkStart w:id="6" w:name="_Hlk140220522"/>
            <w:r w:rsidRPr="00297A26">
              <w:rPr>
                <w:rFonts w:eastAsia="Times New Roman" w:cs="Arial"/>
                <w:sz w:val="16"/>
                <w:szCs w:val="16"/>
                <w:lang w:val="es-ES_tradnl" w:eastAsia="es-ES_tradnl"/>
              </w:rPr>
              <w:t>5</w:t>
            </w:r>
          </w:p>
        </w:tc>
        <w:tc>
          <w:tcPr>
            <w:tcW w:w="1842" w:type="dxa"/>
            <w:vAlign w:val="center"/>
          </w:tcPr>
          <w:p w14:paraId="2607AC23"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Colegio de Educación Profesional Técnica del Estado.</w:t>
            </w:r>
          </w:p>
        </w:tc>
        <w:tc>
          <w:tcPr>
            <w:tcW w:w="1985" w:type="dxa"/>
            <w:vAlign w:val="center"/>
          </w:tcPr>
          <w:p w14:paraId="0F637816"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Fondo de Aportaciones para la Educación Tecnológica y de Adultos, FAETA.</w:t>
            </w:r>
          </w:p>
        </w:tc>
        <w:tc>
          <w:tcPr>
            <w:tcW w:w="2693" w:type="dxa"/>
            <w:vAlign w:val="center"/>
          </w:tcPr>
          <w:p w14:paraId="76028E66"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E84.- Educación Media Superior CONALEP.</w:t>
            </w:r>
          </w:p>
        </w:tc>
        <w:tc>
          <w:tcPr>
            <w:tcW w:w="1843" w:type="dxa"/>
            <w:vAlign w:val="center"/>
          </w:tcPr>
          <w:p w14:paraId="5B1DD7EA"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Específica de Desempeño.</w:t>
            </w:r>
          </w:p>
          <w:p w14:paraId="22F10566"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Ejercicio fiscal 2023.</w:t>
            </w:r>
          </w:p>
        </w:tc>
      </w:tr>
      <w:tr w:rsidR="00FE6590" w:rsidRPr="00093C99" w14:paraId="53C3CC58" w14:textId="77777777" w:rsidTr="00A04566">
        <w:trPr>
          <w:trHeight w:val="20"/>
          <w:jc w:val="center"/>
        </w:trPr>
        <w:tc>
          <w:tcPr>
            <w:tcW w:w="8784" w:type="dxa"/>
            <w:gridSpan w:val="5"/>
            <w:vAlign w:val="center"/>
          </w:tcPr>
          <w:p w14:paraId="3AA3DDE9" w14:textId="77777777" w:rsidR="00FE6590" w:rsidRPr="00093C99" w:rsidRDefault="00FE6590" w:rsidP="00A04566">
            <w:pPr>
              <w:rPr>
                <w:rFonts w:eastAsia="Arial" w:cs="Arial"/>
                <w:b/>
                <w:bCs/>
                <w:sz w:val="14"/>
                <w:szCs w:val="14"/>
              </w:rPr>
            </w:pPr>
            <w:r w:rsidRPr="00093C99">
              <w:rPr>
                <w:rFonts w:eastAsia="Arial" w:cs="Arial"/>
                <w:b/>
                <w:bCs/>
                <w:sz w:val="14"/>
                <w:szCs w:val="14"/>
              </w:rPr>
              <w:t>Presupuesto.</w:t>
            </w:r>
          </w:p>
          <w:p w14:paraId="3B84FF9F" w14:textId="77777777" w:rsidR="00FE6590" w:rsidRPr="00093C99" w:rsidRDefault="00FE6590" w:rsidP="00A04566">
            <w:pPr>
              <w:pStyle w:val="TableParagraph"/>
              <w:kinsoku w:val="0"/>
              <w:overflowPunct w:val="0"/>
              <w:spacing w:line="240" w:lineRule="auto"/>
              <w:rPr>
                <w:color w:val="212121"/>
                <w:sz w:val="14"/>
                <w:szCs w:val="14"/>
              </w:rPr>
            </w:pPr>
            <w:r w:rsidRPr="00093C99">
              <w:rPr>
                <w:sz w:val="14"/>
                <w:szCs w:val="14"/>
              </w:rPr>
              <w:t>El presupuesto autorizado para el ejercicio fiscal evaluado fue de 68 millones 841 mil 931 pesos, de los cuales 54 millones 228 mil 508 pesos correspondieron a recursos del Fondo de Aportaciones para la Educación Tecnológica y de Adultos (FAETA) lo cual representa el 78.8 por ciento, 8 millones 922 mil 824 fueron ingresos propios, que representan el 13.0 por ciento, y 5 millones 690 mil 599 pesos fueron recursos estatales que representa el 8.2 por ciento.</w:t>
            </w:r>
          </w:p>
          <w:p w14:paraId="784F57A4" w14:textId="77777777" w:rsidR="00FE6590" w:rsidRPr="00093C99" w:rsidRDefault="00FE6590" w:rsidP="00A04566">
            <w:pPr>
              <w:rPr>
                <w:rFonts w:eastAsia="Arial" w:cs="Arial"/>
                <w:b/>
                <w:bCs/>
                <w:sz w:val="14"/>
                <w:szCs w:val="14"/>
              </w:rPr>
            </w:pPr>
            <w:r w:rsidRPr="00093C99">
              <w:rPr>
                <w:rFonts w:eastAsia="Arial" w:cs="Arial"/>
                <w:b/>
                <w:bCs/>
                <w:sz w:val="14"/>
                <w:szCs w:val="14"/>
              </w:rPr>
              <w:t>Principales Resultados de la Evaluación.</w:t>
            </w:r>
          </w:p>
          <w:p w14:paraId="16E22977" w14:textId="77777777" w:rsidR="00FE6590" w:rsidRPr="00093C99" w:rsidRDefault="00FE6590" w:rsidP="00A04566">
            <w:pPr>
              <w:rPr>
                <w:rFonts w:cs="Arial"/>
                <w:color w:val="212121"/>
                <w:sz w:val="14"/>
                <w:szCs w:val="14"/>
              </w:rPr>
            </w:pPr>
            <w:r w:rsidRPr="00093C99">
              <w:rPr>
                <w:rFonts w:cs="Arial"/>
                <w:color w:val="212121"/>
                <w:sz w:val="14"/>
                <w:szCs w:val="14"/>
              </w:rPr>
              <w:t>De acuerdo a la evaluación, la población potencial del Programa presupuestario E84 Educación Media Superior CONALEP, es el total de personas en el estado de Colima que tiene entre 15 y 17 años de edad; siendo de acuerdo con los últimos datos que nos proporciona el Instituto Nacional de Estadística y Geografía (INEGI) del Censo de Población y Vivienda 2020 (Censo 2020) en Colima, 32 mil 239 personas.</w:t>
            </w:r>
          </w:p>
          <w:p w14:paraId="7D5D6982" w14:textId="77777777" w:rsidR="00FE6590" w:rsidRPr="00093C99" w:rsidRDefault="00FE6590" w:rsidP="00A04566">
            <w:pPr>
              <w:rPr>
                <w:rFonts w:cs="Arial"/>
                <w:color w:val="212121"/>
                <w:sz w:val="14"/>
                <w:szCs w:val="14"/>
              </w:rPr>
            </w:pPr>
            <w:r w:rsidRPr="00093C99">
              <w:rPr>
                <w:rFonts w:cs="Arial"/>
                <w:color w:val="212121"/>
                <w:sz w:val="14"/>
                <w:szCs w:val="14"/>
              </w:rPr>
              <w:t>La población objetivo es aquella que se tiene planeado o programado atender y que cumple con los criterios de elegibilidad establecidos en la normatividad. Tomando en cuenta los datos considerados de alumnos matriculados en escuelas de nivel superior en el ciclo escolar 2022-2023, se tiene un universo de 31 mil 754 estudiantes en nivel medio superior en el Estado, en diferentes modalidades, considerando tanto escuelas públicas como privadas; las cuales se considerarán la población objetivo.</w:t>
            </w:r>
          </w:p>
          <w:p w14:paraId="03A591AC" w14:textId="77777777" w:rsidR="00FE6590" w:rsidRPr="00093C99" w:rsidRDefault="00FE6590" w:rsidP="00A04566">
            <w:pPr>
              <w:rPr>
                <w:rFonts w:cs="Arial"/>
                <w:sz w:val="14"/>
                <w:szCs w:val="14"/>
              </w:rPr>
            </w:pPr>
            <w:r w:rsidRPr="00093C99">
              <w:rPr>
                <w:rFonts w:cs="Arial"/>
                <w:color w:val="212121"/>
                <w:sz w:val="14"/>
                <w:szCs w:val="14"/>
              </w:rPr>
              <w:t>Existe una población potencial de 32 mil 239 personas de las cuales solo 31 mil 754 son población objetivo del</w:t>
            </w:r>
            <w:r>
              <w:rPr>
                <w:rFonts w:cs="Arial"/>
                <w:color w:val="212121"/>
                <w:sz w:val="14"/>
                <w:szCs w:val="14"/>
              </w:rPr>
              <w:t xml:space="preserve"> </w:t>
            </w:r>
            <w:proofErr w:type="spellStart"/>
            <w:r w:rsidRPr="00093C99">
              <w:rPr>
                <w:rFonts w:cs="Arial"/>
                <w:color w:val="212121"/>
                <w:sz w:val="14"/>
                <w:szCs w:val="14"/>
              </w:rPr>
              <w:t>Pp</w:t>
            </w:r>
            <w:proofErr w:type="spellEnd"/>
            <w:r>
              <w:rPr>
                <w:rFonts w:cs="Arial"/>
                <w:color w:val="212121"/>
                <w:sz w:val="14"/>
                <w:szCs w:val="14"/>
              </w:rPr>
              <w:t xml:space="preserve"> </w:t>
            </w:r>
            <w:r w:rsidRPr="00093C99">
              <w:rPr>
                <w:rFonts w:cs="Arial"/>
                <w:color w:val="212121"/>
                <w:sz w:val="14"/>
                <w:szCs w:val="14"/>
              </w:rPr>
              <w:t xml:space="preserve">y se atienden a través del CONALEP </w:t>
            </w:r>
            <w:r w:rsidRPr="00605F8B">
              <w:rPr>
                <w:rFonts w:cs="Arial"/>
                <w:color w:val="212121"/>
                <w:sz w:val="14"/>
                <w:szCs w:val="14"/>
              </w:rPr>
              <w:t>1 mil 887</w:t>
            </w:r>
            <w:r w:rsidRPr="00093C99">
              <w:rPr>
                <w:rFonts w:cs="Arial"/>
                <w:color w:val="212121"/>
                <w:sz w:val="14"/>
                <w:szCs w:val="14"/>
              </w:rPr>
              <w:t>; es decir, la población atendida constituye más del 5.94 por ciento de la población objetivo.</w:t>
            </w:r>
          </w:p>
          <w:p w14:paraId="01D22744" w14:textId="77777777" w:rsidR="00FE6590" w:rsidRPr="00093C99" w:rsidRDefault="00FE6590" w:rsidP="00A04566">
            <w:pPr>
              <w:pStyle w:val="TableParagraph"/>
              <w:kinsoku w:val="0"/>
              <w:overflowPunct w:val="0"/>
              <w:spacing w:line="240" w:lineRule="auto"/>
              <w:rPr>
                <w:color w:val="212121"/>
                <w:sz w:val="14"/>
                <w:szCs w:val="14"/>
              </w:rPr>
            </w:pPr>
            <w:r w:rsidRPr="00093C99">
              <w:rPr>
                <w:color w:val="212121"/>
                <w:sz w:val="14"/>
                <w:szCs w:val="14"/>
              </w:rPr>
              <w:t>En lo que se refiere a la asignación de recursos, se observa que el presupuesto para el CONALEP Colima incrementó un 1.11 por ciento; el 86 por ciento se destina servicios personales.</w:t>
            </w:r>
            <w:r>
              <w:rPr>
                <w:color w:val="212121"/>
                <w:sz w:val="14"/>
                <w:szCs w:val="14"/>
              </w:rPr>
              <w:t xml:space="preserve">    </w:t>
            </w:r>
          </w:p>
          <w:p w14:paraId="7638FC85" w14:textId="77777777" w:rsidR="00FE6590" w:rsidRPr="00093C99" w:rsidRDefault="00FE6590" w:rsidP="00A04566">
            <w:pPr>
              <w:pStyle w:val="TableParagraph"/>
              <w:kinsoku w:val="0"/>
              <w:overflowPunct w:val="0"/>
              <w:spacing w:line="240" w:lineRule="auto"/>
              <w:rPr>
                <w:color w:val="212121"/>
                <w:sz w:val="14"/>
                <w:szCs w:val="14"/>
              </w:rPr>
            </w:pPr>
            <w:r w:rsidRPr="00093C99">
              <w:rPr>
                <w:color w:val="212121"/>
                <w:sz w:val="14"/>
                <w:szCs w:val="14"/>
              </w:rPr>
              <w:t>Como parte de los resultados de la evaluación, el CONALEP en Colima ha superado la contribución a la meta planteada al indicador estratégico denominado “Tasa de variación de beneficiarios atendidos en centros de trabajo públicos de media superior con igualdad”. Ya que la meta planteada fue incrementar anualmente el 0.25 por ciento en la cobertura del servicio educativo en dichos centros; por tanto, a dos años de inicio del Programa Sectorial, se debería tener un acumulado de 0.5 por ciento más en su cobertura del servicio educativo; por lo cual, el incremento debería ser 10 alumnos en los siguientes dos años. Sin embargo, el CONALEP incrementó en ese periodo 38 alumnos, dando cumplimiento a su compromiso como institución al indicador sectorial.</w:t>
            </w:r>
          </w:p>
          <w:p w14:paraId="033C6997" w14:textId="77777777" w:rsidR="00FE6590" w:rsidRPr="00093C99" w:rsidRDefault="00FE6590" w:rsidP="00A04566">
            <w:pPr>
              <w:pStyle w:val="TableParagraph"/>
              <w:kinsoku w:val="0"/>
              <w:overflowPunct w:val="0"/>
              <w:spacing w:line="240" w:lineRule="auto"/>
              <w:rPr>
                <w:color w:val="212121"/>
                <w:sz w:val="14"/>
                <w:szCs w:val="14"/>
              </w:rPr>
            </w:pPr>
            <w:r w:rsidRPr="00093C99">
              <w:rPr>
                <w:color w:val="212121"/>
                <w:sz w:val="14"/>
                <w:szCs w:val="14"/>
              </w:rPr>
              <w:t>Se considera, que la definición de sus indicadores a nivel de componente y actividad, son más concretos y que se utilizó la Metodología del Marco Lógico a través de los árboles de problemas y de objetivos respectivamente.</w:t>
            </w:r>
            <w:r>
              <w:rPr>
                <w:color w:val="212121"/>
                <w:sz w:val="14"/>
                <w:szCs w:val="14"/>
              </w:rPr>
              <w:t xml:space="preserve">  </w:t>
            </w:r>
          </w:p>
          <w:p w14:paraId="3FAB8638" w14:textId="77777777" w:rsidR="00FE6590" w:rsidRPr="00093C99" w:rsidRDefault="00FE6590" w:rsidP="00A04566">
            <w:pPr>
              <w:rPr>
                <w:rFonts w:cs="Arial"/>
                <w:sz w:val="14"/>
                <w:szCs w:val="14"/>
              </w:rPr>
            </w:pPr>
          </w:p>
          <w:p w14:paraId="3248ED4F" w14:textId="77777777" w:rsidR="00FE6590" w:rsidRPr="00093C99" w:rsidRDefault="00FE6590" w:rsidP="00A04566">
            <w:pPr>
              <w:pStyle w:val="TableParagraph"/>
              <w:kinsoku w:val="0"/>
              <w:overflowPunct w:val="0"/>
              <w:spacing w:line="240" w:lineRule="auto"/>
              <w:rPr>
                <w:color w:val="212121"/>
                <w:sz w:val="14"/>
                <w:szCs w:val="14"/>
              </w:rPr>
            </w:pPr>
            <w:r w:rsidRPr="00093C99">
              <w:rPr>
                <w:color w:val="212121"/>
                <w:sz w:val="14"/>
                <w:szCs w:val="14"/>
              </w:rPr>
              <w:t>Así mismo, se otorgó seguimiento a los indicadores a través del Sistema de Recursos Federales Transferidos (SRFT), pero de los cuatro informes trimestrales solo existen resultados en el tercero y/o cuarto trimestre, por las características de los propios indicadores.</w:t>
            </w:r>
          </w:p>
          <w:p w14:paraId="32C4CDCF" w14:textId="77777777" w:rsidR="00FE6590" w:rsidRPr="00093C99" w:rsidRDefault="00FE6590" w:rsidP="00A04566">
            <w:pPr>
              <w:rPr>
                <w:rFonts w:eastAsia="Arial" w:cs="Arial"/>
                <w:b/>
                <w:bCs/>
                <w:sz w:val="14"/>
                <w:szCs w:val="14"/>
              </w:rPr>
            </w:pPr>
            <w:r w:rsidRPr="00093C99">
              <w:rPr>
                <w:rFonts w:eastAsia="Arial" w:cs="Arial"/>
                <w:b/>
                <w:bCs/>
                <w:sz w:val="14"/>
                <w:szCs w:val="14"/>
              </w:rPr>
              <w:t>Principales Recomendaciones:</w:t>
            </w:r>
          </w:p>
          <w:p w14:paraId="43185D6F" w14:textId="77777777" w:rsidR="00FE6590" w:rsidRPr="00093C99" w:rsidRDefault="00FE6590" w:rsidP="00A04566">
            <w:pPr>
              <w:pStyle w:val="TableParagraph"/>
              <w:kinsoku w:val="0"/>
              <w:overflowPunct w:val="0"/>
              <w:spacing w:line="240" w:lineRule="auto"/>
              <w:ind w:right="186"/>
              <w:rPr>
                <w:color w:val="212121"/>
                <w:sz w:val="14"/>
                <w:szCs w:val="14"/>
              </w:rPr>
            </w:pPr>
            <w:r w:rsidRPr="00093C99">
              <w:rPr>
                <w:color w:val="212121"/>
                <w:sz w:val="14"/>
                <w:szCs w:val="14"/>
              </w:rPr>
              <w:t>1.- Devengar todo el recurso autorizado para no contar con subejercicios en la medida de lo posible.</w:t>
            </w:r>
          </w:p>
          <w:p w14:paraId="18C53FFF" w14:textId="77777777" w:rsidR="00FE6590" w:rsidRPr="00093C99" w:rsidRDefault="00FE6590" w:rsidP="00A04566">
            <w:pPr>
              <w:pStyle w:val="TableParagraph"/>
              <w:kinsoku w:val="0"/>
              <w:overflowPunct w:val="0"/>
              <w:spacing w:line="240" w:lineRule="auto"/>
              <w:ind w:right="186"/>
              <w:rPr>
                <w:color w:val="212121"/>
                <w:sz w:val="14"/>
                <w:szCs w:val="14"/>
              </w:rPr>
            </w:pPr>
            <w:r w:rsidRPr="00093C99">
              <w:rPr>
                <w:color w:val="212121"/>
                <w:sz w:val="14"/>
                <w:szCs w:val="14"/>
              </w:rPr>
              <w:t>2.- Revisar la MIR del Programa presupuestario para hacer los ajustes necesarios en los indicadores, su método de cálculo, frecuencia, tomando en cuenta la guía para la elaboración de MIR elaborada por el CONEVAL, así como revalorar sus metas alcanzadas.</w:t>
            </w:r>
          </w:p>
          <w:p w14:paraId="6234D6DA" w14:textId="77777777" w:rsidR="00FE6590" w:rsidRPr="00093C99" w:rsidRDefault="00FE6590" w:rsidP="00A04566">
            <w:pPr>
              <w:pStyle w:val="TableParagraph"/>
              <w:kinsoku w:val="0"/>
              <w:overflowPunct w:val="0"/>
              <w:spacing w:line="240" w:lineRule="auto"/>
              <w:ind w:right="186"/>
              <w:rPr>
                <w:color w:val="212121"/>
                <w:sz w:val="14"/>
                <w:szCs w:val="14"/>
              </w:rPr>
            </w:pPr>
            <w:r w:rsidRPr="00093C99">
              <w:rPr>
                <w:color w:val="212121"/>
                <w:sz w:val="14"/>
                <w:szCs w:val="14"/>
              </w:rPr>
              <w:t>3.- Seguir reportando la información de sus indicadores tanto del Programa presupuestario como del Fondo, así como la información en el SRFT.</w:t>
            </w:r>
          </w:p>
          <w:p w14:paraId="20235266" w14:textId="77777777" w:rsidR="00FE6590" w:rsidRPr="00093C99" w:rsidRDefault="00FE6590" w:rsidP="00A04566">
            <w:pPr>
              <w:pStyle w:val="TableParagraph"/>
              <w:kinsoku w:val="0"/>
              <w:overflowPunct w:val="0"/>
              <w:spacing w:line="240" w:lineRule="auto"/>
              <w:ind w:right="186"/>
              <w:rPr>
                <w:color w:val="212121"/>
                <w:sz w:val="14"/>
                <w:szCs w:val="14"/>
              </w:rPr>
            </w:pPr>
            <w:r w:rsidRPr="00093C99">
              <w:rPr>
                <w:color w:val="212121"/>
                <w:sz w:val="14"/>
                <w:szCs w:val="14"/>
              </w:rPr>
              <w:t>4.- Replantear el “Estudio para la Creación y Modificación de Programas presupuestarios” (Anexo 1) realizado para el Programa presupuestario prioritario E 84.</w:t>
            </w:r>
          </w:p>
          <w:p w14:paraId="061CC76F" w14:textId="77777777" w:rsidR="00FE6590" w:rsidRPr="00093C99" w:rsidRDefault="00FE6590" w:rsidP="00A04566">
            <w:pPr>
              <w:pStyle w:val="TableParagraph"/>
              <w:kinsoku w:val="0"/>
              <w:overflowPunct w:val="0"/>
              <w:spacing w:line="240" w:lineRule="auto"/>
              <w:ind w:right="186"/>
              <w:rPr>
                <w:color w:val="212121"/>
                <w:sz w:val="14"/>
                <w:szCs w:val="14"/>
              </w:rPr>
            </w:pPr>
            <w:r w:rsidRPr="00093C99">
              <w:rPr>
                <w:color w:val="212121"/>
                <w:sz w:val="14"/>
                <w:szCs w:val="14"/>
              </w:rPr>
              <w:t>5.- Replantear su definición de Población Potencial, Objetivo y Atendida de acuerdo con la normativa y así darle seguimiento a su evolución.</w:t>
            </w:r>
          </w:p>
          <w:p w14:paraId="191B9F87" w14:textId="77777777" w:rsidR="00FE6590" w:rsidRPr="00093C99" w:rsidRDefault="00FE6590" w:rsidP="00A04566">
            <w:pPr>
              <w:tabs>
                <w:tab w:val="left" w:pos="4050"/>
              </w:tabs>
              <w:rPr>
                <w:rFonts w:eastAsia="Times New Roman" w:cs="Arial"/>
                <w:sz w:val="14"/>
                <w:szCs w:val="14"/>
                <w:lang w:eastAsia="es-ES_tradnl"/>
              </w:rPr>
            </w:pPr>
            <w:r w:rsidRPr="00093C99">
              <w:rPr>
                <w:rFonts w:cs="Arial"/>
                <w:color w:val="212121"/>
                <w:sz w:val="14"/>
                <w:szCs w:val="14"/>
              </w:rPr>
              <w:t>6.- Dar seguimiento a las recomendaciones emitidas en esta evaluación mediante el Mecanismo de Seguimiento de los Aspectos Susceptibles de Mejora.</w:t>
            </w:r>
            <w:r>
              <w:rPr>
                <w:rFonts w:cs="Arial"/>
                <w:color w:val="212121"/>
                <w:sz w:val="14"/>
                <w:szCs w:val="14"/>
              </w:rPr>
              <w:t xml:space="preserve"> </w:t>
            </w:r>
          </w:p>
        </w:tc>
      </w:tr>
      <w:tr w:rsidR="00FE6590" w:rsidRPr="00297A26" w14:paraId="24319ACA" w14:textId="77777777" w:rsidTr="00A04566">
        <w:trPr>
          <w:trHeight w:val="20"/>
          <w:jc w:val="center"/>
        </w:trPr>
        <w:tc>
          <w:tcPr>
            <w:tcW w:w="421" w:type="dxa"/>
            <w:vAlign w:val="center"/>
          </w:tcPr>
          <w:p w14:paraId="19831EB1"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6</w:t>
            </w:r>
          </w:p>
        </w:tc>
        <w:tc>
          <w:tcPr>
            <w:tcW w:w="1842" w:type="dxa"/>
            <w:vAlign w:val="center"/>
          </w:tcPr>
          <w:p w14:paraId="563D3428"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Secretaría de Salud.</w:t>
            </w:r>
          </w:p>
        </w:tc>
        <w:tc>
          <w:tcPr>
            <w:tcW w:w="1985" w:type="dxa"/>
            <w:vAlign w:val="center"/>
          </w:tcPr>
          <w:p w14:paraId="0506C3CB"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U-013 INSABI.</w:t>
            </w:r>
          </w:p>
        </w:tc>
        <w:tc>
          <w:tcPr>
            <w:tcW w:w="2693" w:type="dxa"/>
            <w:vAlign w:val="center"/>
          </w:tcPr>
          <w:p w14:paraId="6F91ED61"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I02.- Salud. Componente C: Calidad en la Atención Médica Brindada. Programa de Medicamentos Gratuitos para la Población sin Seguridad, Atención a la Salud y Social Laboral.</w:t>
            </w:r>
          </w:p>
        </w:tc>
        <w:tc>
          <w:tcPr>
            <w:tcW w:w="1843" w:type="dxa"/>
            <w:vAlign w:val="center"/>
          </w:tcPr>
          <w:p w14:paraId="4C4C89A4"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Específica de Desempeño.</w:t>
            </w:r>
          </w:p>
          <w:p w14:paraId="2F492588"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Ejercicio fiscal 2023.</w:t>
            </w:r>
          </w:p>
        </w:tc>
      </w:tr>
      <w:tr w:rsidR="00FE6590" w:rsidRPr="00093C99" w14:paraId="2B2CCC9D" w14:textId="77777777" w:rsidTr="00A04566">
        <w:trPr>
          <w:trHeight w:val="20"/>
          <w:jc w:val="center"/>
        </w:trPr>
        <w:tc>
          <w:tcPr>
            <w:tcW w:w="8784" w:type="dxa"/>
            <w:gridSpan w:val="5"/>
            <w:vAlign w:val="center"/>
          </w:tcPr>
          <w:p w14:paraId="1E0BFCB2" w14:textId="77777777" w:rsidR="00FE6590" w:rsidRPr="00093C99" w:rsidRDefault="00FE6590" w:rsidP="00A04566">
            <w:pPr>
              <w:rPr>
                <w:rFonts w:eastAsia="Arial" w:cs="Arial"/>
                <w:b/>
                <w:bCs/>
                <w:sz w:val="14"/>
                <w:szCs w:val="14"/>
              </w:rPr>
            </w:pPr>
            <w:r w:rsidRPr="00093C99">
              <w:rPr>
                <w:rFonts w:eastAsia="Arial" w:cs="Arial"/>
                <w:b/>
                <w:bCs/>
                <w:sz w:val="14"/>
                <w:szCs w:val="14"/>
              </w:rPr>
              <w:t>Presupuesto.</w:t>
            </w:r>
          </w:p>
          <w:p w14:paraId="4CE9ECD0" w14:textId="77777777" w:rsidR="00FE6590" w:rsidRPr="00093C99" w:rsidRDefault="00FE6590" w:rsidP="00A04566">
            <w:pPr>
              <w:rPr>
                <w:rFonts w:cs="Arial"/>
                <w:sz w:val="14"/>
                <w:szCs w:val="14"/>
              </w:rPr>
            </w:pPr>
            <w:r w:rsidRPr="00093C99">
              <w:rPr>
                <w:rFonts w:cs="Arial"/>
                <w:sz w:val="14"/>
                <w:szCs w:val="14"/>
              </w:rPr>
              <w:t>El presupuesto total autorizado fue de 342 millones 564 mil 383 pesos, de los cuales 181 millones 984 mil 858 pesos corresponden a recurso federal provenientes del programa U-013 INSABI, que representa el 53.1 por ciento y 160 millones 579 mil 524 pesos a recurso estatal que representa el 46.9 por ciento.</w:t>
            </w:r>
          </w:p>
          <w:p w14:paraId="452ED196" w14:textId="77777777" w:rsidR="00FE6590" w:rsidRPr="00093C99" w:rsidRDefault="00FE6590" w:rsidP="00A04566">
            <w:pPr>
              <w:rPr>
                <w:rFonts w:eastAsia="Arial" w:cs="Arial"/>
                <w:b/>
                <w:bCs/>
                <w:sz w:val="14"/>
                <w:szCs w:val="14"/>
              </w:rPr>
            </w:pPr>
            <w:r w:rsidRPr="00093C99">
              <w:rPr>
                <w:rFonts w:eastAsia="Arial" w:cs="Arial"/>
                <w:b/>
                <w:bCs/>
                <w:sz w:val="14"/>
                <w:szCs w:val="14"/>
              </w:rPr>
              <w:t>Principales Resultados de la Evaluación.</w:t>
            </w:r>
          </w:p>
          <w:p w14:paraId="302B4228" w14:textId="77777777" w:rsidR="00FE6590" w:rsidRPr="00093C99" w:rsidRDefault="00FE6590" w:rsidP="00A04566">
            <w:pPr>
              <w:pStyle w:val="TableParagraph"/>
              <w:kinsoku w:val="0"/>
              <w:overflowPunct w:val="0"/>
              <w:spacing w:line="240" w:lineRule="auto"/>
              <w:rPr>
                <w:color w:val="212121"/>
                <w:sz w:val="14"/>
                <w:szCs w:val="14"/>
              </w:rPr>
            </w:pPr>
            <w:r w:rsidRPr="00093C99">
              <w:rPr>
                <w:color w:val="212121"/>
                <w:sz w:val="14"/>
                <w:szCs w:val="14"/>
              </w:rPr>
              <w:t xml:space="preserve">La falta de atención médica y medicamentos de forma gratuita, accesible, equitativa y oportuna a las personas sin seguridad social es una </w:t>
            </w:r>
            <w:r w:rsidRPr="00093C99">
              <w:rPr>
                <w:color w:val="212121"/>
                <w:sz w:val="14"/>
                <w:szCs w:val="14"/>
              </w:rPr>
              <w:lastRenderedPageBreak/>
              <w:t xml:space="preserve">de las causas que genera el que la población de Colima no reciba servicios de salud adecuados, accesibles, oportunos y suficientes, es entonces que la problemática que atiende el Programa presupuestario es la falta de atención médica y medicamentos de forma gratuita a la población colimense que no cuenta con </w:t>
            </w:r>
            <w:proofErr w:type="spellStart"/>
            <w:r w:rsidRPr="004B6BCE">
              <w:rPr>
                <w:color w:val="212121"/>
                <w:sz w:val="14"/>
                <w:szCs w:val="14"/>
              </w:rPr>
              <w:t>derechohabiencia</w:t>
            </w:r>
            <w:proofErr w:type="spellEnd"/>
            <w:r w:rsidRPr="00093C99">
              <w:rPr>
                <w:color w:val="212121"/>
                <w:sz w:val="14"/>
                <w:szCs w:val="14"/>
              </w:rPr>
              <w:t>.</w:t>
            </w:r>
            <w:r>
              <w:rPr>
                <w:color w:val="212121"/>
                <w:sz w:val="14"/>
                <w:szCs w:val="14"/>
              </w:rPr>
              <w:t xml:space="preserve"> </w:t>
            </w:r>
          </w:p>
          <w:p w14:paraId="0695CA22" w14:textId="77777777" w:rsidR="00FE6590" w:rsidRPr="00093C99" w:rsidRDefault="00FE6590" w:rsidP="00A04566">
            <w:pPr>
              <w:pStyle w:val="TableParagraph"/>
              <w:kinsoku w:val="0"/>
              <w:overflowPunct w:val="0"/>
              <w:spacing w:line="240" w:lineRule="auto"/>
              <w:rPr>
                <w:color w:val="212121"/>
                <w:sz w:val="14"/>
                <w:szCs w:val="14"/>
              </w:rPr>
            </w:pPr>
            <w:r w:rsidRPr="00093C99">
              <w:rPr>
                <w:color w:val="212121"/>
                <w:sz w:val="14"/>
                <w:szCs w:val="14"/>
              </w:rPr>
              <w:t>Se identifica y clasifica a la población en: población potencial, población objetivo y población atendida.</w:t>
            </w:r>
            <w:r>
              <w:rPr>
                <w:color w:val="212121"/>
                <w:sz w:val="14"/>
                <w:szCs w:val="14"/>
              </w:rPr>
              <w:t xml:space="preserve"> </w:t>
            </w:r>
          </w:p>
          <w:p w14:paraId="3B782669" w14:textId="77777777" w:rsidR="00FE6590" w:rsidRPr="00093C99" w:rsidRDefault="00FE6590" w:rsidP="00A04566">
            <w:pPr>
              <w:pStyle w:val="TableParagraph"/>
              <w:kinsoku w:val="0"/>
              <w:overflowPunct w:val="0"/>
              <w:spacing w:line="240" w:lineRule="auto"/>
              <w:rPr>
                <w:color w:val="212121"/>
                <w:sz w:val="14"/>
                <w:szCs w:val="14"/>
              </w:rPr>
            </w:pPr>
            <w:r w:rsidRPr="00093C99">
              <w:rPr>
                <w:color w:val="212121"/>
                <w:sz w:val="14"/>
                <w:szCs w:val="14"/>
              </w:rPr>
              <w:t>Con base en el Presupuesto de Egresos de la Federación del ejercicio fiscal 2023 y atendiendo</w:t>
            </w:r>
            <w:r>
              <w:rPr>
                <w:color w:val="212121"/>
                <w:sz w:val="14"/>
                <w:szCs w:val="14"/>
              </w:rPr>
              <w:t xml:space="preserve"> </w:t>
            </w:r>
            <w:r w:rsidRPr="00AB33C1">
              <w:rPr>
                <w:color w:val="212121"/>
                <w:sz w:val="14"/>
                <w:szCs w:val="14"/>
              </w:rPr>
              <w:t>el</w:t>
            </w:r>
            <w:r w:rsidRPr="00093C99">
              <w:rPr>
                <w:color w:val="212121"/>
                <w:sz w:val="14"/>
                <w:szCs w:val="14"/>
              </w:rPr>
              <w:t xml:space="preserve"> Anexo 4: Monto de Recursos a Transferir y Conceptos de Gasto del “Acuerdo de Coordinación para Garantizar la Prestación Gratuita de Servicios de Salud, Medicamentos y demás Insumos Asociados para las Personas Sin Seguridad Social en los términos previstos en el Título Tercero Bis de la Ley General de Salud celebrado por el Ejecutivo Federal, a través de la Secretaría de Salud y el Instituto de Salud para el Bienestar y el Ejecutivo del Estado de Colima”, es que se transfieren los recursos presupuestarios a la entidad para incidir en la gratuidad de la atención médica.</w:t>
            </w:r>
          </w:p>
          <w:p w14:paraId="0B665C7F" w14:textId="77777777" w:rsidR="00FE6590" w:rsidRPr="00093C99" w:rsidRDefault="00FE6590" w:rsidP="00A04566">
            <w:pPr>
              <w:pStyle w:val="TableParagraph"/>
              <w:kinsoku w:val="0"/>
              <w:overflowPunct w:val="0"/>
              <w:spacing w:line="240" w:lineRule="auto"/>
              <w:rPr>
                <w:color w:val="212121"/>
                <w:sz w:val="14"/>
                <w:szCs w:val="14"/>
              </w:rPr>
            </w:pPr>
            <w:r w:rsidRPr="00093C99">
              <w:rPr>
                <w:color w:val="212121"/>
                <w:sz w:val="14"/>
                <w:szCs w:val="14"/>
              </w:rPr>
              <w:t xml:space="preserve">Se identifican como fortalezas al incremento anual que ha tenido el </w:t>
            </w:r>
            <w:proofErr w:type="spellStart"/>
            <w:r w:rsidRPr="00093C99">
              <w:rPr>
                <w:color w:val="212121"/>
                <w:sz w:val="14"/>
                <w:szCs w:val="14"/>
              </w:rPr>
              <w:t>Pp</w:t>
            </w:r>
            <w:proofErr w:type="spellEnd"/>
            <w:r w:rsidRPr="00093C99">
              <w:rPr>
                <w:color w:val="212121"/>
                <w:sz w:val="14"/>
                <w:szCs w:val="14"/>
              </w:rPr>
              <w:t xml:space="preserve"> para transferirse a las entidades federativas, la convergencia de recursos mediante el compromiso establecido en el Anexo 4 de aportar recursos estatales para el mismo fin; no se identificaron oportunidades. </w:t>
            </w:r>
          </w:p>
          <w:p w14:paraId="70F71926" w14:textId="77777777" w:rsidR="00FE6590" w:rsidRPr="00093C99" w:rsidRDefault="00FE6590" w:rsidP="00A04566">
            <w:pPr>
              <w:pStyle w:val="TableParagraph"/>
              <w:kinsoku w:val="0"/>
              <w:overflowPunct w:val="0"/>
              <w:spacing w:line="240" w:lineRule="auto"/>
              <w:rPr>
                <w:color w:val="212121"/>
                <w:sz w:val="14"/>
                <w:szCs w:val="14"/>
              </w:rPr>
            </w:pPr>
            <w:r w:rsidRPr="00093C99">
              <w:rPr>
                <w:color w:val="212121"/>
                <w:sz w:val="14"/>
                <w:szCs w:val="14"/>
              </w:rPr>
              <w:t xml:space="preserve">Las debilidades se encuentran identificadas en la baja comprobación de los recursos por parte de las entidades federativas; el decremento que se tiene en el cumplimiento de las metas establecidas en la MIR del Pp. Así como, la falta de: armonización de los indicadores federales con los establecidos a nivel de cada entidad federativa; mecanismos para comprobar la no </w:t>
            </w:r>
            <w:proofErr w:type="spellStart"/>
            <w:r w:rsidRPr="00093C99">
              <w:rPr>
                <w:color w:val="212121"/>
                <w:sz w:val="14"/>
                <w:szCs w:val="14"/>
              </w:rPr>
              <w:t>derechohabiencia</w:t>
            </w:r>
            <w:proofErr w:type="spellEnd"/>
            <w:r w:rsidRPr="00093C99">
              <w:rPr>
                <w:color w:val="212121"/>
                <w:sz w:val="14"/>
                <w:szCs w:val="14"/>
              </w:rPr>
              <w:t xml:space="preserve"> de la población objetivo; mecanismos de control e información para medir el impacto que tiene el ejercicio de los recursos en la economía del ciudadano; coordinación entre el ente ejecutor de los recursos y el ente responsable de la prestación de los servicios de atención médica y medicamentos.</w:t>
            </w:r>
            <w:r>
              <w:rPr>
                <w:color w:val="212121"/>
                <w:sz w:val="14"/>
                <w:szCs w:val="14"/>
              </w:rPr>
              <w:t xml:space="preserve"> </w:t>
            </w:r>
          </w:p>
          <w:p w14:paraId="528CBCAB" w14:textId="77777777" w:rsidR="00FE6590" w:rsidRPr="00093C99" w:rsidRDefault="00FE6590" w:rsidP="00A04566">
            <w:pPr>
              <w:rPr>
                <w:rFonts w:eastAsia="Courier New" w:cs="Arial"/>
                <w:color w:val="212121"/>
                <w:sz w:val="14"/>
                <w:szCs w:val="14"/>
              </w:rPr>
            </w:pPr>
            <w:r w:rsidRPr="00093C99">
              <w:rPr>
                <w:rFonts w:eastAsia="Courier New" w:cs="Arial"/>
                <w:color w:val="212121"/>
                <w:sz w:val="14"/>
                <w:szCs w:val="14"/>
              </w:rPr>
              <w:t xml:space="preserve">Las amenazas identificadas en el análisis de Fortalezas, Oportunidades, Debilidades y Amenazas (FODA) son: la transición de las Unidades médicas al OPD IMSS-BIENESTAR, la inminente disolución del INSABI, falta de información relacionada con la continuidad del </w:t>
            </w:r>
            <w:proofErr w:type="spellStart"/>
            <w:r w:rsidRPr="00093C99">
              <w:rPr>
                <w:rFonts w:eastAsia="Courier New" w:cs="Arial"/>
                <w:color w:val="212121"/>
                <w:sz w:val="14"/>
                <w:szCs w:val="14"/>
              </w:rPr>
              <w:t>Pp</w:t>
            </w:r>
            <w:proofErr w:type="spellEnd"/>
            <w:r w:rsidRPr="00093C99">
              <w:rPr>
                <w:rFonts w:eastAsia="Courier New" w:cs="Arial"/>
                <w:color w:val="212121"/>
                <w:sz w:val="14"/>
                <w:szCs w:val="14"/>
              </w:rPr>
              <w:t xml:space="preserve"> bajo los mismos lineamientos y mecanismos de operación.</w:t>
            </w:r>
            <w:r>
              <w:rPr>
                <w:rFonts w:eastAsia="Courier New" w:cs="Arial"/>
                <w:color w:val="212121"/>
                <w:sz w:val="14"/>
                <w:szCs w:val="14"/>
              </w:rPr>
              <w:t xml:space="preserve"> </w:t>
            </w:r>
          </w:p>
          <w:p w14:paraId="7C2EBB51" w14:textId="77777777" w:rsidR="00FE6590" w:rsidRPr="00093C99" w:rsidRDefault="00FE6590" w:rsidP="00A04566">
            <w:pPr>
              <w:rPr>
                <w:rFonts w:eastAsia="Arial" w:cs="Arial"/>
                <w:b/>
                <w:bCs/>
                <w:sz w:val="14"/>
                <w:szCs w:val="14"/>
              </w:rPr>
            </w:pPr>
            <w:r w:rsidRPr="00093C99">
              <w:rPr>
                <w:rFonts w:eastAsia="Arial" w:cs="Arial"/>
                <w:b/>
                <w:bCs/>
                <w:sz w:val="14"/>
                <w:szCs w:val="14"/>
              </w:rPr>
              <w:t>Principales Recomendaciones:</w:t>
            </w:r>
          </w:p>
          <w:p w14:paraId="27D51268" w14:textId="77777777" w:rsidR="00FE6590" w:rsidRPr="00093C99" w:rsidRDefault="00FE6590" w:rsidP="00A04566">
            <w:pPr>
              <w:rPr>
                <w:rFonts w:eastAsia="Courier New" w:cs="Arial"/>
                <w:color w:val="212121"/>
                <w:sz w:val="14"/>
                <w:szCs w:val="14"/>
              </w:rPr>
            </w:pPr>
            <w:r w:rsidRPr="00093C99">
              <w:rPr>
                <w:rFonts w:eastAsia="Courier New" w:cs="Arial"/>
                <w:color w:val="212121"/>
                <w:sz w:val="14"/>
                <w:szCs w:val="14"/>
              </w:rPr>
              <w:t>1.- Fortalecer los mecanismos de control y rendición de cuentas para la comprobación de los recursos transferidos a las entidades federativas.</w:t>
            </w:r>
          </w:p>
          <w:p w14:paraId="342FDC8D" w14:textId="77777777" w:rsidR="00FE6590" w:rsidRPr="00093C99" w:rsidRDefault="00FE6590" w:rsidP="00A04566">
            <w:pPr>
              <w:rPr>
                <w:rFonts w:eastAsia="Times New Roman" w:cs="Arial"/>
                <w:sz w:val="14"/>
                <w:szCs w:val="14"/>
                <w:lang w:eastAsia="es-ES_tradnl"/>
              </w:rPr>
            </w:pPr>
            <w:r w:rsidRPr="00093C99">
              <w:rPr>
                <w:rFonts w:eastAsia="Courier New" w:cs="Arial"/>
                <w:color w:val="212121"/>
                <w:sz w:val="14"/>
                <w:szCs w:val="14"/>
              </w:rPr>
              <w:t xml:space="preserve">2.- Se sugiere modificar la MIR para incluir indicadores que midan el nivel de apoyo que brinda a la población no derechohabiente con estos recursos. </w:t>
            </w:r>
          </w:p>
        </w:tc>
      </w:tr>
      <w:tr w:rsidR="00FE6590" w:rsidRPr="00297A26" w14:paraId="574F9FDD" w14:textId="77777777" w:rsidTr="00A04566">
        <w:trPr>
          <w:trHeight w:val="20"/>
          <w:jc w:val="center"/>
        </w:trPr>
        <w:tc>
          <w:tcPr>
            <w:tcW w:w="421" w:type="dxa"/>
            <w:vAlign w:val="center"/>
          </w:tcPr>
          <w:p w14:paraId="70B27022"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lastRenderedPageBreak/>
              <w:t>7</w:t>
            </w:r>
          </w:p>
        </w:tc>
        <w:tc>
          <w:tcPr>
            <w:tcW w:w="1842" w:type="dxa"/>
            <w:vAlign w:val="center"/>
          </w:tcPr>
          <w:p w14:paraId="0884C509"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Secretaría de Salud.</w:t>
            </w:r>
          </w:p>
        </w:tc>
        <w:tc>
          <w:tcPr>
            <w:tcW w:w="1985" w:type="dxa"/>
            <w:vAlign w:val="center"/>
          </w:tcPr>
          <w:p w14:paraId="6887A755"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Ramo 12 CRESCA.</w:t>
            </w:r>
          </w:p>
        </w:tc>
        <w:tc>
          <w:tcPr>
            <w:tcW w:w="2693" w:type="dxa"/>
            <w:vAlign w:val="center"/>
          </w:tcPr>
          <w:p w14:paraId="372B6981"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I02.- Salud. Componente G: Salud Mental y Adicciones de la Población Atendida. Programa E-025 “Prevención y Atención contra las Adicciones”.</w:t>
            </w:r>
          </w:p>
        </w:tc>
        <w:tc>
          <w:tcPr>
            <w:tcW w:w="1843" w:type="dxa"/>
            <w:vAlign w:val="center"/>
          </w:tcPr>
          <w:p w14:paraId="177B5CD9"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Específica de Desempeño.</w:t>
            </w:r>
          </w:p>
          <w:p w14:paraId="72A5A248"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Ejercicio fiscal 2023.</w:t>
            </w:r>
          </w:p>
        </w:tc>
      </w:tr>
      <w:tr w:rsidR="00FE6590" w:rsidRPr="00093C99" w14:paraId="1B2496F7" w14:textId="77777777" w:rsidTr="00A04566">
        <w:trPr>
          <w:trHeight w:val="20"/>
          <w:jc w:val="center"/>
        </w:trPr>
        <w:tc>
          <w:tcPr>
            <w:tcW w:w="8784" w:type="dxa"/>
            <w:gridSpan w:val="5"/>
            <w:vAlign w:val="center"/>
          </w:tcPr>
          <w:p w14:paraId="24B4B6EE" w14:textId="77777777" w:rsidR="00FE6590" w:rsidRPr="00093C99" w:rsidRDefault="00FE6590" w:rsidP="00A04566">
            <w:pPr>
              <w:rPr>
                <w:rFonts w:eastAsia="Arial" w:cs="Arial"/>
                <w:b/>
                <w:bCs/>
                <w:sz w:val="14"/>
                <w:szCs w:val="14"/>
              </w:rPr>
            </w:pPr>
            <w:r w:rsidRPr="00093C99">
              <w:rPr>
                <w:rFonts w:eastAsia="Arial" w:cs="Arial"/>
                <w:b/>
                <w:bCs/>
                <w:sz w:val="14"/>
                <w:szCs w:val="14"/>
              </w:rPr>
              <w:t>Presupuesto.</w:t>
            </w:r>
          </w:p>
          <w:p w14:paraId="43DA938A" w14:textId="77777777" w:rsidR="00FE6590" w:rsidRPr="00093C99" w:rsidRDefault="00FE6590" w:rsidP="00A04566">
            <w:pPr>
              <w:rPr>
                <w:rFonts w:cs="Arial"/>
                <w:sz w:val="14"/>
                <w:szCs w:val="14"/>
              </w:rPr>
            </w:pPr>
            <w:r w:rsidRPr="00093C99">
              <w:rPr>
                <w:rFonts w:cs="Arial"/>
                <w:sz w:val="14"/>
                <w:szCs w:val="14"/>
              </w:rPr>
              <w:t>El presupuesto total del ejercicio fiscal evaluado fue de 3 millones 157 mil 116 pesos del Ramo 12, correspondiendo al 100 por ciento de los recursos.</w:t>
            </w:r>
            <w:r>
              <w:rPr>
                <w:rFonts w:cs="Arial"/>
                <w:sz w:val="14"/>
                <w:szCs w:val="14"/>
              </w:rPr>
              <w:t xml:space="preserve"> </w:t>
            </w:r>
          </w:p>
          <w:p w14:paraId="335AEF1F" w14:textId="77777777" w:rsidR="00FE6590" w:rsidRPr="00093C99" w:rsidRDefault="00FE6590" w:rsidP="00A04566">
            <w:pPr>
              <w:rPr>
                <w:rFonts w:eastAsia="Arial" w:cs="Arial"/>
                <w:b/>
                <w:bCs/>
                <w:sz w:val="14"/>
                <w:szCs w:val="14"/>
              </w:rPr>
            </w:pPr>
            <w:r w:rsidRPr="00093C99">
              <w:rPr>
                <w:rFonts w:eastAsia="Arial" w:cs="Arial"/>
                <w:b/>
                <w:bCs/>
                <w:sz w:val="14"/>
                <w:szCs w:val="14"/>
              </w:rPr>
              <w:t>Principales Resultados de la Evaluación.</w:t>
            </w:r>
          </w:p>
          <w:p w14:paraId="429457DF" w14:textId="77777777" w:rsidR="00FE6590" w:rsidRPr="00093C99" w:rsidRDefault="00FE6590" w:rsidP="00A04566">
            <w:pPr>
              <w:pStyle w:val="TableParagraph"/>
              <w:kinsoku w:val="0"/>
              <w:overflowPunct w:val="0"/>
              <w:spacing w:line="240" w:lineRule="auto"/>
              <w:rPr>
                <w:rFonts w:eastAsia="Calibri"/>
                <w:sz w:val="14"/>
                <w:szCs w:val="14"/>
                <w:lang w:val="es-MX"/>
              </w:rPr>
            </w:pPr>
            <w:r w:rsidRPr="00093C99">
              <w:rPr>
                <w:rFonts w:eastAsia="Calibri"/>
                <w:sz w:val="14"/>
                <w:szCs w:val="14"/>
                <w:lang w:val="es-MX"/>
              </w:rPr>
              <w:t xml:space="preserve">En materia de adicciones, una de las causas de que la población de Colima no reciba servicios de salud adecuados, accesibles, oportunos y suficientes, es la insuficiente cultura y la escasa acción en temas preventivos; entonces se dice que la problemática que atiende el Programa presupuestario es el consumo de drogas y los efectos a la salud pública que eso conlleva. </w:t>
            </w:r>
          </w:p>
          <w:p w14:paraId="4FFBD729" w14:textId="77777777" w:rsidR="00FE6590" w:rsidRPr="00093C99" w:rsidRDefault="00FE6590" w:rsidP="00A04566">
            <w:pPr>
              <w:pStyle w:val="TableParagraph"/>
              <w:kinsoku w:val="0"/>
              <w:overflowPunct w:val="0"/>
              <w:spacing w:line="240" w:lineRule="auto"/>
              <w:rPr>
                <w:rFonts w:eastAsia="Calibri"/>
                <w:sz w:val="14"/>
                <w:szCs w:val="14"/>
                <w:lang w:val="es-MX"/>
              </w:rPr>
            </w:pPr>
            <w:r w:rsidRPr="00093C99">
              <w:rPr>
                <w:rFonts w:eastAsia="Calibri"/>
                <w:sz w:val="14"/>
                <w:szCs w:val="14"/>
                <w:lang w:val="es-MX"/>
              </w:rPr>
              <w:t>Se identifica y clasifica a la población en: población potencial, población objetivo y población atendida.</w:t>
            </w:r>
          </w:p>
          <w:p w14:paraId="0B7A0EDF" w14:textId="77777777" w:rsidR="00FE6590" w:rsidRPr="00093C99" w:rsidRDefault="00FE6590" w:rsidP="00A04566">
            <w:pPr>
              <w:pStyle w:val="TableParagraph"/>
              <w:kinsoku w:val="0"/>
              <w:overflowPunct w:val="0"/>
              <w:spacing w:line="240" w:lineRule="auto"/>
              <w:rPr>
                <w:rFonts w:eastAsia="Calibri"/>
                <w:sz w:val="14"/>
                <w:szCs w:val="14"/>
                <w:lang w:val="es-MX"/>
              </w:rPr>
            </w:pPr>
            <w:r w:rsidRPr="00093C99">
              <w:rPr>
                <w:rFonts w:eastAsia="Calibri"/>
                <w:sz w:val="14"/>
                <w:szCs w:val="14"/>
                <w:lang w:val="es-MX"/>
              </w:rPr>
              <w:t xml:space="preserve">Con base en el Presupuesto de Egresos de la Federación, se distribuyen los recursos del programa E—025 mediante convenios de transferencia de recursos presupuestales que la </w:t>
            </w:r>
            <w:r w:rsidRPr="00AB33C1">
              <w:rPr>
                <w:rFonts w:eastAsia="Calibri"/>
                <w:sz w:val="14"/>
                <w:szCs w:val="14"/>
                <w:lang w:val="es-MX"/>
              </w:rPr>
              <w:t>Comisión Nacional Contra las Adicciones</w:t>
            </w:r>
            <w:r>
              <w:rPr>
                <w:rFonts w:eastAsia="Calibri"/>
                <w:sz w:val="14"/>
                <w:szCs w:val="14"/>
                <w:lang w:val="es-MX"/>
              </w:rPr>
              <w:t xml:space="preserve"> (</w:t>
            </w:r>
            <w:r w:rsidRPr="00093C99">
              <w:rPr>
                <w:rFonts w:eastAsia="Calibri"/>
                <w:sz w:val="14"/>
                <w:szCs w:val="14"/>
                <w:lang w:val="es-MX"/>
              </w:rPr>
              <w:t>CONADIC</w:t>
            </w:r>
            <w:r>
              <w:rPr>
                <w:rFonts w:eastAsia="Calibri"/>
                <w:sz w:val="14"/>
                <w:szCs w:val="14"/>
                <w:lang w:val="es-MX"/>
              </w:rPr>
              <w:t>)</w:t>
            </w:r>
            <w:r w:rsidRPr="00093C99">
              <w:rPr>
                <w:rFonts w:eastAsia="Calibri"/>
                <w:sz w:val="14"/>
                <w:szCs w:val="14"/>
                <w:lang w:val="es-MX"/>
              </w:rPr>
              <w:t xml:space="preserve"> suscribe anualmente con las 32 entidades federativas. Al estado de Colima el incremento presupuestal del 2022 al 2023 fue de 4.2 por ciento, ascendiendo a ciento veintisiete mil seiscientos sesenta y seis pesos. </w:t>
            </w:r>
          </w:p>
          <w:p w14:paraId="649945B8" w14:textId="77777777" w:rsidR="00FE6590" w:rsidRPr="00093C99" w:rsidRDefault="00FE6590" w:rsidP="00A04566">
            <w:pPr>
              <w:rPr>
                <w:rFonts w:cs="Arial"/>
                <w:sz w:val="14"/>
                <w:szCs w:val="14"/>
              </w:rPr>
            </w:pPr>
            <w:r w:rsidRPr="00093C99">
              <w:rPr>
                <w:rFonts w:cs="Arial"/>
                <w:sz w:val="14"/>
                <w:szCs w:val="14"/>
              </w:rPr>
              <w:t xml:space="preserve">Respecto al análisis FODA, se encuentra como fortalezas la vinculación con otras dependencias para llevar a cabo las acciones derivadas del convenio de asignación de recursos; alineación de metas e indicadores prioritarios en ambas MIR y; proactividad y trabajo en equipo del personal para incidir positivamente en el cumplimiento de metas. </w:t>
            </w:r>
          </w:p>
          <w:p w14:paraId="67149356" w14:textId="77777777" w:rsidR="00FE6590" w:rsidRPr="00093C99" w:rsidRDefault="00FE6590" w:rsidP="00A04566">
            <w:pPr>
              <w:rPr>
                <w:rFonts w:cs="Arial"/>
                <w:sz w:val="14"/>
                <w:szCs w:val="14"/>
              </w:rPr>
            </w:pPr>
            <w:r w:rsidRPr="00093C99">
              <w:rPr>
                <w:rFonts w:cs="Arial"/>
                <w:sz w:val="14"/>
                <w:szCs w:val="14"/>
              </w:rPr>
              <w:t xml:space="preserve">Como oportunidades se recomienda realizar un diagnóstico sobre la situación del consumo de drogas en la entidad; gestión de recursos de otras fuentes de financiamiento para el cumplimiento de metas establecidas en la MIR estatal; utilizar los resultados de la evaluación y dar seguimiento a las recomendaciones mediante los Aspectos Susceptibles de Mejora, a fin de fortalecer el Programa presupuestario. </w:t>
            </w:r>
          </w:p>
          <w:p w14:paraId="1B652EE0" w14:textId="77777777" w:rsidR="00FE6590" w:rsidRPr="00093C99" w:rsidRDefault="00FE6590" w:rsidP="00A04566">
            <w:pPr>
              <w:rPr>
                <w:rFonts w:cs="Arial"/>
                <w:sz w:val="14"/>
                <w:szCs w:val="14"/>
              </w:rPr>
            </w:pPr>
            <w:r w:rsidRPr="00093C99">
              <w:rPr>
                <w:rFonts w:cs="Arial"/>
                <w:sz w:val="14"/>
                <w:szCs w:val="14"/>
              </w:rPr>
              <w:t xml:space="preserve">En el apartado de debilidades se encuentra el sobrecumplimiento de las metas establecidas en la MIR Estatal y en el Convenio de Transferencia de Recursos, reflejando una no adecuada metodología para la definición de metas; el sistema estadístico de </w:t>
            </w:r>
            <w:r w:rsidRPr="00AB33C1">
              <w:rPr>
                <w:rFonts w:cs="Arial"/>
                <w:sz w:val="14"/>
                <w:szCs w:val="14"/>
              </w:rPr>
              <w:t>los Servicios de Salud (SSA)</w:t>
            </w:r>
            <w:r w:rsidRPr="00093C99">
              <w:rPr>
                <w:rFonts w:cs="Arial"/>
                <w:sz w:val="14"/>
                <w:szCs w:val="14"/>
              </w:rPr>
              <w:t xml:space="preserve"> no incluye todas las variables de información que actualmente utiliza la </w:t>
            </w:r>
            <w:r w:rsidRPr="00EC2A62">
              <w:rPr>
                <w:rFonts w:cs="Arial"/>
                <w:sz w:val="14"/>
                <w:szCs w:val="14"/>
              </w:rPr>
              <w:t xml:space="preserve">CESMAC </w:t>
            </w:r>
            <w:r w:rsidRPr="00093C99">
              <w:rPr>
                <w:rFonts w:cs="Arial"/>
                <w:sz w:val="14"/>
                <w:szCs w:val="14"/>
              </w:rPr>
              <w:t xml:space="preserve">para el cumplimiento a sus metas e indicadores; planeación de metas y asignación de recursos sin un adecuado diagnóstico local. </w:t>
            </w:r>
          </w:p>
          <w:p w14:paraId="13C3F8AE" w14:textId="77777777" w:rsidR="00FE6590" w:rsidRPr="00093C99" w:rsidRDefault="00FE6590" w:rsidP="00A04566">
            <w:pPr>
              <w:rPr>
                <w:rFonts w:cs="Arial"/>
                <w:sz w:val="14"/>
                <w:szCs w:val="14"/>
              </w:rPr>
            </w:pPr>
            <w:r w:rsidRPr="00093C99">
              <w:rPr>
                <w:rFonts w:cs="Arial"/>
                <w:sz w:val="14"/>
                <w:szCs w:val="14"/>
              </w:rPr>
              <w:t>Finalmente, se encuentran como amenazas el riesgo de bajo cumplimiento de metas a causa de la inseguridad local y, la disminución presupuestal a nivel local que pueda afectar el nivel de cumplimiento de las metas e indicadores.</w:t>
            </w:r>
          </w:p>
          <w:p w14:paraId="6027F29E" w14:textId="77777777" w:rsidR="00FE6590" w:rsidRPr="00093C99" w:rsidRDefault="00FE6590" w:rsidP="00A04566">
            <w:pPr>
              <w:rPr>
                <w:rFonts w:eastAsia="Arial" w:cs="Arial"/>
                <w:b/>
                <w:bCs/>
                <w:sz w:val="14"/>
                <w:szCs w:val="14"/>
              </w:rPr>
            </w:pPr>
            <w:r w:rsidRPr="00093C99">
              <w:rPr>
                <w:rFonts w:eastAsia="Arial" w:cs="Arial"/>
                <w:b/>
                <w:bCs/>
                <w:sz w:val="14"/>
                <w:szCs w:val="14"/>
              </w:rPr>
              <w:t>Principales Recomendaciones:</w:t>
            </w:r>
          </w:p>
          <w:p w14:paraId="77937535" w14:textId="77777777" w:rsidR="00FE6590" w:rsidRPr="00093C99" w:rsidRDefault="00FE6590" w:rsidP="00A04566">
            <w:pPr>
              <w:rPr>
                <w:rFonts w:cs="Arial"/>
                <w:sz w:val="14"/>
                <w:szCs w:val="14"/>
              </w:rPr>
            </w:pPr>
            <w:r w:rsidRPr="00093C99">
              <w:rPr>
                <w:rFonts w:cs="Arial"/>
                <w:sz w:val="14"/>
                <w:szCs w:val="14"/>
              </w:rPr>
              <w:t>1.- Se sugiere elaborar un diagnóstico estatal sobre la problemática del consumo de drogas que permita replantear adecuadamente las metas e indicadores.</w:t>
            </w:r>
          </w:p>
          <w:p w14:paraId="6F045BFA" w14:textId="77777777" w:rsidR="00FE6590" w:rsidRPr="00093C99" w:rsidRDefault="00FE6590" w:rsidP="00A04566">
            <w:pPr>
              <w:pStyle w:val="TableParagraph"/>
              <w:kinsoku w:val="0"/>
              <w:overflowPunct w:val="0"/>
              <w:spacing w:line="240" w:lineRule="auto"/>
              <w:rPr>
                <w:rFonts w:eastAsia="Calibri"/>
                <w:sz w:val="14"/>
                <w:szCs w:val="14"/>
                <w:lang w:val="es-MX"/>
              </w:rPr>
            </w:pPr>
            <w:r w:rsidRPr="00093C99">
              <w:rPr>
                <w:rFonts w:eastAsia="Calibri"/>
                <w:sz w:val="14"/>
                <w:szCs w:val="14"/>
                <w:lang w:val="es-MX"/>
              </w:rPr>
              <w:t>2.- Se recomienda devengar todo el recurso autorizado para no contar con subejercicios en la medida de lo posible.</w:t>
            </w:r>
          </w:p>
          <w:p w14:paraId="15496B0D" w14:textId="77777777" w:rsidR="00FE6590" w:rsidRPr="00093C99" w:rsidRDefault="00FE6590" w:rsidP="00A04566">
            <w:pPr>
              <w:pStyle w:val="TableParagraph"/>
              <w:kinsoku w:val="0"/>
              <w:overflowPunct w:val="0"/>
              <w:spacing w:line="240" w:lineRule="auto"/>
              <w:rPr>
                <w:rFonts w:eastAsia="Calibri"/>
                <w:sz w:val="14"/>
                <w:szCs w:val="14"/>
                <w:lang w:val="es-MX"/>
              </w:rPr>
            </w:pPr>
            <w:r w:rsidRPr="00093C99">
              <w:rPr>
                <w:rFonts w:eastAsia="Calibri"/>
                <w:sz w:val="14"/>
                <w:szCs w:val="14"/>
                <w:lang w:val="es-MX"/>
              </w:rPr>
              <w:t>3.- Se recomienda revisar la MIR Estatal del Programa presupuestario para hacer los ajustes necesarios en los indicadores, su método de cálculo, frecuencia, tomando en cuenta la guía para la elaboración de MIR elaborada por la Secretaría de Planeación, Finanzas y Administración del Gobierno del Estado.</w:t>
            </w:r>
          </w:p>
          <w:p w14:paraId="3C9C947C" w14:textId="77777777" w:rsidR="00FE6590" w:rsidRPr="00093C99" w:rsidRDefault="00FE6590" w:rsidP="00A04566">
            <w:pPr>
              <w:pStyle w:val="TableParagraph"/>
              <w:kinsoku w:val="0"/>
              <w:overflowPunct w:val="0"/>
              <w:spacing w:line="240" w:lineRule="auto"/>
              <w:rPr>
                <w:rFonts w:eastAsia="Calibri"/>
                <w:sz w:val="14"/>
                <w:szCs w:val="14"/>
                <w:lang w:val="es-MX"/>
              </w:rPr>
            </w:pPr>
            <w:r w:rsidRPr="00093C99">
              <w:rPr>
                <w:rFonts w:eastAsia="Calibri"/>
                <w:sz w:val="14"/>
                <w:szCs w:val="14"/>
                <w:lang w:val="es-MX"/>
              </w:rPr>
              <w:t>4.- Se recomienda replantear las metas establecidas tanto en la MIR Estatal como en el Convenio de Transferencia de Recursos, ya que existe un sobrecumplimiento en alguna de ellas y un bajo o nulo cumplimiento en otras.</w:t>
            </w:r>
          </w:p>
          <w:p w14:paraId="5DF92CD1" w14:textId="77777777" w:rsidR="00FE6590" w:rsidRPr="00093C99" w:rsidRDefault="00FE6590" w:rsidP="00A04566">
            <w:pPr>
              <w:pStyle w:val="TableParagraph"/>
              <w:kinsoku w:val="0"/>
              <w:overflowPunct w:val="0"/>
              <w:spacing w:line="240" w:lineRule="auto"/>
              <w:rPr>
                <w:rFonts w:eastAsia="Calibri"/>
                <w:sz w:val="14"/>
                <w:szCs w:val="14"/>
                <w:lang w:val="es-MX"/>
              </w:rPr>
            </w:pPr>
            <w:r w:rsidRPr="00093C99">
              <w:rPr>
                <w:rFonts w:eastAsia="Calibri"/>
                <w:sz w:val="14"/>
                <w:szCs w:val="14"/>
                <w:lang w:val="es-MX"/>
              </w:rPr>
              <w:t>5.-Se sugiere seguir reportando la información de sus indicadores tanto del Programa presupuestario como del Convenio de transferencia de recursos.</w:t>
            </w:r>
          </w:p>
          <w:p w14:paraId="3B392A9D" w14:textId="77777777" w:rsidR="00FE6590" w:rsidRPr="00093C99" w:rsidRDefault="00FE6590" w:rsidP="00A04566">
            <w:pPr>
              <w:rPr>
                <w:rFonts w:eastAsia="Times New Roman" w:cs="Arial"/>
                <w:sz w:val="14"/>
                <w:szCs w:val="14"/>
                <w:lang w:eastAsia="es-ES_tradnl"/>
              </w:rPr>
            </w:pPr>
            <w:r w:rsidRPr="00093C99">
              <w:rPr>
                <w:rFonts w:cs="Arial"/>
                <w:sz w:val="14"/>
                <w:szCs w:val="14"/>
              </w:rPr>
              <w:lastRenderedPageBreak/>
              <w:t xml:space="preserve">6.- Se recomienda incluir tanto en el árbol de problemas como en el de objetivos la problemática y los objetivos relacionados con el </w:t>
            </w:r>
            <w:proofErr w:type="spellStart"/>
            <w:r w:rsidRPr="00093C99">
              <w:rPr>
                <w:rFonts w:cs="Arial"/>
                <w:sz w:val="14"/>
                <w:szCs w:val="14"/>
              </w:rPr>
              <w:t>Pp</w:t>
            </w:r>
            <w:proofErr w:type="spellEnd"/>
            <w:r w:rsidRPr="00093C99">
              <w:rPr>
                <w:rFonts w:cs="Arial"/>
                <w:sz w:val="14"/>
                <w:szCs w:val="14"/>
              </w:rPr>
              <w:t xml:space="preserve"> E-025.</w:t>
            </w:r>
          </w:p>
        </w:tc>
      </w:tr>
      <w:tr w:rsidR="00FE6590" w:rsidRPr="00297A26" w14:paraId="43399790" w14:textId="77777777" w:rsidTr="00A04566">
        <w:trPr>
          <w:trHeight w:val="20"/>
          <w:jc w:val="center"/>
        </w:trPr>
        <w:tc>
          <w:tcPr>
            <w:tcW w:w="421" w:type="dxa"/>
            <w:vAlign w:val="center"/>
          </w:tcPr>
          <w:p w14:paraId="65C0319C"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lastRenderedPageBreak/>
              <w:t>8</w:t>
            </w:r>
          </w:p>
        </w:tc>
        <w:tc>
          <w:tcPr>
            <w:tcW w:w="1842" w:type="dxa"/>
            <w:vAlign w:val="center"/>
          </w:tcPr>
          <w:p w14:paraId="193C0A23"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Instituto Colimense de la Infraestructura Física Educativa.</w:t>
            </w:r>
          </w:p>
        </w:tc>
        <w:tc>
          <w:tcPr>
            <w:tcW w:w="1985" w:type="dxa"/>
            <w:vAlign w:val="center"/>
          </w:tcPr>
          <w:p w14:paraId="2F5D99BD"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Fondo de Aportaciones Múltiples-Infraestructura Educativa. FAM-IE.</w:t>
            </w:r>
          </w:p>
        </w:tc>
        <w:tc>
          <w:tcPr>
            <w:tcW w:w="2693" w:type="dxa"/>
            <w:vAlign w:val="center"/>
          </w:tcPr>
          <w:p w14:paraId="34DFA3E7"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E11.- Infraestructura Educativa Básica.</w:t>
            </w:r>
          </w:p>
        </w:tc>
        <w:tc>
          <w:tcPr>
            <w:tcW w:w="1843" w:type="dxa"/>
            <w:vAlign w:val="center"/>
          </w:tcPr>
          <w:p w14:paraId="029FB042" w14:textId="77777777" w:rsidR="00FE6590" w:rsidRPr="00297A26" w:rsidRDefault="00FE6590" w:rsidP="00A04566">
            <w:pPr>
              <w:jc w:val="left"/>
              <w:rPr>
                <w:rFonts w:eastAsia="Times New Roman" w:cs="Arial"/>
                <w:sz w:val="16"/>
                <w:szCs w:val="16"/>
                <w:lang w:val="es-ES_tradnl" w:eastAsia="es-ES_tradnl"/>
              </w:rPr>
            </w:pPr>
            <w:r w:rsidRPr="00297A26">
              <w:rPr>
                <w:rFonts w:eastAsia="Times New Roman" w:cs="Arial"/>
                <w:sz w:val="16"/>
                <w:szCs w:val="16"/>
                <w:lang w:val="es-ES_tradnl" w:eastAsia="es-ES_tradnl"/>
              </w:rPr>
              <w:t>Específica de Indicadores. Multianual 2022-2023.</w:t>
            </w:r>
          </w:p>
        </w:tc>
      </w:tr>
      <w:tr w:rsidR="00FE6590" w:rsidRPr="00093C99" w14:paraId="71CA1F6D" w14:textId="77777777" w:rsidTr="00A04566">
        <w:trPr>
          <w:trHeight w:val="20"/>
          <w:jc w:val="center"/>
        </w:trPr>
        <w:tc>
          <w:tcPr>
            <w:tcW w:w="8784" w:type="dxa"/>
            <w:gridSpan w:val="5"/>
            <w:vAlign w:val="center"/>
          </w:tcPr>
          <w:p w14:paraId="13784303" w14:textId="77777777" w:rsidR="00FE6590" w:rsidRPr="00093C99" w:rsidRDefault="00FE6590" w:rsidP="00A04566">
            <w:pPr>
              <w:rPr>
                <w:rFonts w:eastAsia="Arial" w:cs="Arial"/>
                <w:b/>
                <w:bCs/>
                <w:sz w:val="14"/>
                <w:szCs w:val="14"/>
              </w:rPr>
            </w:pPr>
            <w:r w:rsidRPr="00093C99">
              <w:rPr>
                <w:rFonts w:eastAsia="Arial" w:cs="Arial"/>
                <w:b/>
                <w:bCs/>
                <w:sz w:val="14"/>
                <w:szCs w:val="14"/>
              </w:rPr>
              <w:t>Presupuesto.</w:t>
            </w:r>
          </w:p>
          <w:p w14:paraId="07AF9074" w14:textId="77777777" w:rsidR="00FE6590" w:rsidRPr="00093C99" w:rsidRDefault="00FE6590" w:rsidP="00A04566">
            <w:pPr>
              <w:rPr>
                <w:rFonts w:cs="Arial"/>
                <w:sz w:val="14"/>
                <w:szCs w:val="14"/>
              </w:rPr>
            </w:pPr>
            <w:r w:rsidRPr="00093C99">
              <w:rPr>
                <w:rFonts w:cs="Arial"/>
                <w:sz w:val="14"/>
                <w:szCs w:val="14"/>
              </w:rPr>
              <w:t>El presupuesto total autorizado de los dos ejercicios fiscales evaluados (2022 y</w:t>
            </w:r>
            <w:r>
              <w:rPr>
                <w:rFonts w:cs="Arial"/>
                <w:sz w:val="14"/>
                <w:szCs w:val="14"/>
              </w:rPr>
              <w:t xml:space="preserve"> </w:t>
            </w:r>
            <w:r w:rsidRPr="00093C99">
              <w:rPr>
                <w:rFonts w:cs="Arial"/>
                <w:sz w:val="14"/>
                <w:szCs w:val="14"/>
              </w:rPr>
              <w:t>2023) fue de 290 millones 633 mil 167 pesos, de los cuales 269 millones 633 mil 758 pesos correspondientes a recursos del Fondo de Aportaciones Múltiples-Infraestructura Educativa (FAM-IE), que representa el 93 por ciento y 20 millones 999 mil 409 pesos de recurso estatal que representa el 7 por ciento.</w:t>
            </w:r>
            <w:r>
              <w:rPr>
                <w:rFonts w:cs="Arial"/>
                <w:sz w:val="14"/>
                <w:szCs w:val="14"/>
              </w:rPr>
              <w:t xml:space="preserve"> </w:t>
            </w:r>
          </w:p>
          <w:p w14:paraId="754554C1" w14:textId="77777777" w:rsidR="00FE6590" w:rsidRPr="00093C99" w:rsidRDefault="00FE6590" w:rsidP="00A04566">
            <w:pPr>
              <w:rPr>
                <w:rFonts w:eastAsia="Arial" w:cs="Arial"/>
                <w:b/>
                <w:bCs/>
                <w:sz w:val="14"/>
                <w:szCs w:val="14"/>
              </w:rPr>
            </w:pPr>
            <w:r w:rsidRPr="00093C99">
              <w:rPr>
                <w:rFonts w:eastAsia="Arial" w:cs="Arial"/>
                <w:b/>
                <w:bCs/>
                <w:sz w:val="14"/>
                <w:szCs w:val="14"/>
              </w:rPr>
              <w:t>Principales Resultados de la Evaluación.</w:t>
            </w:r>
          </w:p>
          <w:p w14:paraId="7FD16D2A" w14:textId="77777777" w:rsidR="00FE6590" w:rsidRPr="00093C99" w:rsidRDefault="00FE6590" w:rsidP="00A04566">
            <w:pPr>
              <w:pStyle w:val="TableParagraph"/>
              <w:kinsoku w:val="0"/>
              <w:overflowPunct w:val="0"/>
              <w:spacing w:line="240" w:lineRule="auto"/>
              <w:ind w:right="-8"/>
              <w:rPr>
                <w:color w:val="212121"/>
                <w:sz w:val="14"/>
                <w:szCs w:val="14"/>
              </w:rPr>
            </w:pPr>
            <w:r w:rsidRPr="00093C99">
              <w:rPr>
                <w:color w:val="212121"/>
                <w:sz w:val="14"/>
                <w:szCs w:val="14"/>
              </w:rPr>
              <w:t xml:space="preserve">Se detectaron fortalezas institucionales encaminadas al seguimiento de los compromisos de la Dependencia para el </w:t>
            </w:r>
            <w:r w:rsidRPr="00AB33C1">
              <w:rPr>
                <w:color w:val="212121"/>
                <w:sz w:val="14"/>
                <w:szCs w:val="14"/>
              </w:rPr>
              <w:t>logro</w:t>
            </w:r>
            <w:r w:rsidRPr="00093C99">
              <w:rPr>
                <w:color w:val="212121"/>
                <w:sz w:val="14"/>
                <w:szCs w:val="14"/>
              </w:rPr>
              <w:t xml:space="preserve"> de los objetivos del Programa presupuestario (</w:t>
            </w:r>
            <w:proofErr w:type="spellStart"/>
            <w:r w:rsidRPr="00093C99">
              <w:rPr>
                <w:color w:val="212121"/>
                <w:sz w:val="14"/>
                <w:szCs w:val="14"/>
              </w:rPr>
              <w:t>Pp</w:t>
            </w:r>
            <w:proofErr w:type="spellEnd"/>
            <w:r w:rsidRPr="00093C99">
              <w:rPr>
                <w:color w:val="212121"/>
                <w:sz w:val="14"/>
                <w:szCs w:val="14"/>
              </w:rPr>
              <w:t xml:space="preserve">) y en general de la atención de necesidades a nuestra población objetivo en tiempo y forma. Así mismo, se detectó que se cuenta con un sistema interno de captación y detección de necesidades que permite tener un banco de proyectos. </w:t>
            </w:r>
          </w:p>
          <w:p w14:paraId="2055EA9B" w14:textId="77777777" w:rsidR="00FE6590" w:rsidRPr="00093C99" w:rsidRDefault="00FE6590" w:rsidP="00A04566">
            <w:pPr>
              <w:pStyle w:val="TableParagraph"/>
              <w:kinsoku w:val="0"/>
              <w:overflowPunct w:val="0"/>
              <w:spacing w:line="240" w:lineRule="auto"/>
              <w:ind w:right="-8"/>
              <w:rPr>
                <w:color w:val="212121"/>
                <w:sz w:val="14"/>
                <w:szCs w:val="14"/>
              </w:rPr>
            </w:pPr>
            <w:r w:rsidRPr="00093C99">
              <w:rPr>
                <w:color w:val="212121"/>
                <w:sz w:val="14"/>
                <w:szCs w:val="14"/>
              </w:rPr>
              <w:t>Se observó la alineación de los instrumentos metodológicos estatales y del Fondo en sus objetivos en los niveles de la Matriz de Indicadores para Resultados (MIR) de FIN, PROPÓSITO Y COMPONENTE.</w:t>
            </w:r>
          </w:p>
          <w:p w14:paraId="1B160A03" w14:textId="77777777" w:rsidR="00FE6590" w:rsidRPr="00093C99" w:rsidRDefault="00FE6590" w:rsidP="00A04566">
            <w:pPr>
              <w:pStyle w:val="TableParagraph"/>
              <w:kinsoku w:val="0"/>
              <w:overflowPunct w:val="0"/>
              <w:spacing w:line="240" w:lineRule="auto"/>
              <w:ind w:right="-8"/>
              <w:rPr>
                <w:color w:val="212121"/>
                <w:sz w:val="14"/>
                <w:szCs w:val="14"/>
              </w:rPr>
            </w:pPr>
            <w:r w:rsidRPr="00093C99">
              <w:rPr>
                <w:color w:val="212121"/>
                <w:sz w:val="14"/>
                <w:szCs w:val="14"/>
              </w:rPr>
              <w:t xml:space="preserve">También se cuentan con una alineación puntual de objetivos y metas del </w:t>
            </w:r>
            <w:proofErr w:type="spellStart"/>
            <w:r w:rsidRPr="00093C99">
              <w:rPr>
                <w:color w:val="212121"/>
                <w:sz w:val="14"/>
                <w:szCs w:val="14"/>
              </w:rPr>
              <w:t>Pp</w:t>
            </w:r>
            <w:proofErr w:type="spellEnd"/>
            <w:r w:rsidRPr="00093C99">
              <w:rPr>
                <w:color w:val="212121"/>
                <w:sz w:val="14"/>
                <w:szCs w:val="14"/>
              </w:rPr>
              <w:t xml:space="preserve"> E11 con los Planes Nacional de Desarrollo 2019-2024, del Plan Estatal de Desarrollo 2021-2027 y con el Programa Sectorial de Educación, Cultura y Deporte 2021-2027 y con los Objetivos de Desarrollo Sostenible ODS – Agenda 2030.</w:t>
            </w:r>
          </w:p>
          <w:p w14:paraId="378AD66E" w14:textId="77777777" w:rsidR="00FE6590" w:rsidRPr="00093C99" w:rsidRDefault="00FE6590" w:rsidP="00A04566">
            <w:pPr>
              <w:pStyle w:val="TableParagraph"/>
              <w:kinsoku w:val="0"/>
              <w:overflowPunct w:val="0"/>
              <w:spacing w:line="240" w:lineRule="auto"/>
              <w:ind w:right="-8"/>
              <w:rPr>
                <w:color w:val="212121"/>
                <w:sz w:val="14"/>
                <w:szCs w:val="14"/>
              </w:rPr>
            </w:pPr>
            <w:r w:rsidRPr="00093C99">
              <w:rPr>
                <w:color w:val="212121"/>
                <w:sz w:val="14"/>
                <w:szCs w:val="14"/>
              </w:rPr>
              <w:t>Así mismo, en materia de transparencia y rendición de cuentas, se constató que la totalidad de la información se encuentra publicada en el portal conforme lo marca la Ley.</w:t>
            </w:r>
          </w:p>
          <w:p w14:paraId="6450FC6C" w14:textId="77777777" w:rsidR="00FE6590" w:rsidRPr="00093C99" w:rsidRDefault="00FE6590" w:rsidP="00A04566">
            <w:pPr>
              <w:pStyle w:val="TableParagraph"/>
              <w:kinsoku w:val="0"/>
              <w:overflowPunct w:val="0"/>
              <w:spacing w:line="240" w:lineRule="auto"/>
              <w:ind w:right="-8"/>
              <w:rPr>
                <w:b/>
                <w:bCs/>
                <w:sz w:val="14"/>
                <w:szCs w:val="14"/>
              </w:rPr>
            </w:pPr>
            <w:r w:rsidRPr="00093C99">
              <w:rPr>
                <w:color w:val="212121"/>
                <w:sz w:val="14"/>
                <w:szCs w:val="14"/>
              </w:rPr>
              <w:t xml:space="preserve">De igual manera, se detectaron áreas de oportunidad en la redacción de metas e indicadores de la Matriz de Indicadores para Resultados, principalmente en los medios de verificación, supuestos; así como, indicadores que, en el histórico de atención, se detectó que no son necesarios. Se realizó la recomendación de la actualización del diagnóstico de creación del </w:t>
            </w:r>
            <w:proofErr w:type="spellStart"/>
            <w:r w:rsidRPr="00093C99">
              <w:rPr>
                <w:color w:val="212121"/>
                <w:sz w:val="14"/>
                <w:szCs w:val="14"/>
              </w:rPr>
              <w:t>Pp</w:t>
            </w:r>
            <w:proofErr w:type="spellEnd"/>
            <w:r w:rsidRPr="00093C99">
              <w:rPr>
                <w:color w:val="212121"/>
                <w:sz w:val="14"/>
                <w:szCs w:val="14"/>
              </w:rPr>
              <w:t xml:space="preserve"> y la implementación de un Programa Anual de Trabajo.</w:t>
            </w:r>
            <w:r w:rsidRPr="00093C99">
              <w:rPr>
                <w:b/>
                <w:bCs/>
                <w:sz w:val="14"/>
                <w:szCs w:val="14"/>
              </w:rPr>
              <w:br w:type="page"/>
            </w:r>
          </w:p>
          <w:p w14:paraId="11F0997F" w14:textId="77777777" w:rsidR="00FE6590" w:rsidRPr="00093C99" w:rsidRDefault="00FE6590" w:rsidP="00A04566">
            <w:pPr>
              <w:rPr>
                <w:rFonts w:eastAsia="Arial" w:cs="Arial"/>
                <w:b/>
                <w:bCs/>
                <w:sz w:val="14"/>
                <w:szCs w:val="14"/>
              </w:rPr>
            </w:pPr>
            <w:r w:rsidRPr="00093C99">
              <w:rPr>
                <w:rFonts w:eastAsia="Arial" w:cs="Arial"/>
                <w:b/>
                <w:bCs/>
                <w:sz w:val="14"/>
                <w:szCs w:val="14"/>
              </w:rPr>
              <w:t>Principales Recomendaciones:</w:t>
            </w:r>
          </w:p>
          <w:p w14:paraId="563D63F1" w14:textId="77777777" w:rsidR="00FE6590" w:rsidRPr="00093C99" w:rsidRDefault="00FE6590" w:rsidP="00A04566">
            <w:pPr>
              <w:ind w:right="265"/>
              <w:rPr>
                <w:rFonts w:eastAsia="Courier New" w:cs="Arial"/>
                <w:color w:val="212121"/>
                <w:sz w:val="14"/>
                <w:szCs w:val="14"/>
              </w:rPr>
            </w:pPr>
            <w:r w:rsidRPr="00093C99">
              <w:rPr>
                <w:rFonts w:eastAsia="Courier New" w:cs="Arial"/>
                <w:color w:val="212121"/>
                <w:sz w:val="14"/>
                <w:szCs w:val="14"/>
              </w:rPr>
              <w:t>1.- Se recomienda reestructurar su estudio de creación de Programas presupuestarios de los dos ejercicios fiscales evaluados, ya que son prácticamente iguales, actualizar su diagnóstico, justificación y sus definiciones de población potencial y objetivo.</w:t>
            </w:r>
          </w:p>
          <w:p w14:paraId="0C300758" w14:textId="77777777" w:rsidR="00FE6590" w:rsidRPr="00093C99" w:rsidRDefault="00FE6590" w:rsidP="00A04566">
            <w:pPr>
              <w:ind w:right="265"/>
              <w:rPr>
                <w:rFonts w:eastAsia="Courier New" w:cs="Arial"/>
                <w:color w:val="212121"/>
                <w:sz w:val="14"/>
                <w:szCs w:val="14"/>
              </w:rPr>
            </w:pPr>
            <w:r w:rsidRPr="00093C99">
              <w:rPr>
                <w:rFonts w:eastAsia="Courier New" w:cs="Arial"/>
                <w:color w:val="212121"/>
                <w:sz w:val="14"/>
                <w:szCs w:val="14"/>
              </w:rPr>
              <w:t xml:space="preserve">2.- La estructura analítica del </w:t>
            </w:r>
            <w:proofErr w:type="spellStart"/>
            <w:r w:rsidRPr="00093C99">
              <w:rPr>
                <w:rFonts w:eastAsia="Courier New" w:cs="Arial"/>
                <w:color w:val="212121"/>
                <w:sz w:val="14"/>
                <w:szCs w:val="14"/>
              </w:rPr>
              <w:t>Pp</w:t>
            </w:r>
            <w:proofErr w:type="spellEnd"/>
            <w:r w:rsidRPr="00093C99">
              <w:rPr>
                <w:rFonts w:eastAsia="Courier New" w:cs="Arial"/>
                <w:color w:val="212121"/>
                <w:sz w:val="14"/>
                <w:szCs w:val="14"/>
              </w:rPr>
              <w:t xml:space="preserve"> es correcta, sin embargo, se detectan algunas áreas de oportunidad, por lo que se recomienda actualizar el árbol de problemas y el árbol de objetivos incluyendo las funciones fundamentales del INCOIFED.</w:t>
            </w:r>
          </w:p>
          <w:p w14:paraId="299678F0" w14:textId="77777777" w:rsidR="00FE6590" w:rsidRPr="00093C99" w:rsidRDefault="00FE6590" w:rsidP="00A04566">
            <w:pPr>
              <w:ind w:right="265"/>
              <w:rPr>
                <w:rFonts w:eastAsia="Courier New" w:cs="Arial"/>
                <w:color w:val="212121"/>
                <w:sz w:val="14"/>
                <w:szCs w:val="14"/>
              </w:rPr>
            </w:pPr>
            <w:r w:rsidRPr="00093C99">
              <w:rPr>
                <w:rFonts w:eastAsia="Courier New" w:cs="Arial"/>
                <w:color w:val="212121"/>
                <w:sz w:val="14"/>
                <w:szCs w:val="14"/>
              </w:rPr>
              <w:t>3.- Se recomienda que en la MIR de próximos ejercicios fiscales se redacten los medios de verificación que corresponde a cada nivel, ya que pueden ser estadísticas existentes o preparadas específicamente para el cálculo de los indicadores del programa, material publicado que contenga información útil para verificar el logro de los objetivos del programa, el resultado de encuestas y los informes de auditorías y registros contables del programa.</w:t>
            </w:r>
          </w:p>
          <w:p w14:paraId="0CAA4AFC" w14:textId="77777777" w:rsidR="00FE6590" w:rsidRPr="00093C99" w:rsidRDefault="00FE6590" w:rsidP="00A04566">
            <w:pPr>
              <w:ind w:right="265"/>
              <w:rPr>
                <w:rFonts w:eastAsia="Courier New" w:cs="Arial"/>
                <w:color w:val="212121"/>
                <w:sz w:val="14"/>
                <w:szCs w:val="14"/>
              </w:rPr>
            </w:pPr>
            <w:r w:rsidRPr="00093C99">
              <w:rPr>
                <w:rFonts w:eastAsia="Courier New" w:cs="Arial"/>
                <w:color w:val="212121"/>
                <w:sz w:val="14"/>
                <w:szCs w:val="14"/>
              </w:rPr>
              <w:t xml:space="preserve">4.- Parte importante de la MIR son los supuestos y se constató la carencia de los mismos tanto en la MIR del </w:t>
            </w:r>
            <w:proofErr w:type="spellStart"/>
            <w:r w:rsidRPr="00093C99">
              <w:rPr>
                <w:rFonts w:eastAsia="Courier New" w:cs="Arial"/>
                <w:color w:val="212121"/>
                <w:sz w:val="14"/>
                <w:szCs w:val="14"/>
              </w:rPr>
              <w:t>Pp</w:t>
            </w:r>
            <w:proofErr w:type="spellEnd"/>
            <w:r w:rsidRPr="00093C99">
              <w:rPr>
                <w:rFonts w:eastAsia="Courier New" w:cs="Arial"/>
                <w:color w:val="212121"/>
                <w:sz w:val="14"/>
                <w:szCs w:val="14"/>
              </w:rPr>
              <w:t xml:space="preserve"> E11 del ejercicio fiscal 2022 como del 2023, por lo que se recomienda que, al realizar su actualización, se efectúe un ejercicio analítico de determinación de los supuestos a ser incluidos.</w:t>
            </w:r>
          </w:p>
          <w:p w14:paraId="7C0B5712" w14:textId="77777777" w:rsidR="00FE6590" w:rsidRPr="00093C99" w:rsidRDefault="00FE6590" w:rsidP="00A04566">
            <w:pPr>
              <w:ind w:right="265"/>
              <w:rPr>
                <w:rFonts w:eastAsia="Courier New" w:cs="Arial"/>
                <w:color w:val="212121"/>
                <w:sz w:val="14"/>
                <w:szCs w:val="14"/>
              </w:rPr>
            </w:pPr>
            <w:r w:rsidRPr="00093C99">
              <w:rPr>
                <w:rFonts w:eastAsia="Courier New" w:cs="Arial"/>
                <w:color w:val="212121"/>
                <w:sz w:val="14"/>
                <w:szCs w:val="14"/>
              </w:rPr>
              <w:t>5.- Se recomienda que se realice una revisión y actualización de la MIR para próximos ejercicios fiscales, se establezcan las metas e indicadores de conformidad a la normatividad en la materia y que se relacionen con los objetivos de los indicadores.</w:t>
            </w:r>
          </w:p>
          <w:p w14:paraId="5A185036" w14:textId="77777777" w:rsidR="00FE6590" w:rsidRPr="00093C99" w:rsidRDefault="00FE6590" w:rsidP="00A04566">
            <w:pPr>
              <w:rPr>
                <w:rFonts w:eastAsia="Times New Roman" w:cs="Arial"/>
                <w:sz w:val="14"/>
                <w:szCs w:val="14"/>
                <w:lang w:eastAsia="es-ES_tradnl"/>
              </w:rPr>
            </w:pPr>
            <w:r w:rsidRPr="00093C99">
              <w:rPr>
                <w:rFonts w:eastAsia="Courier New" w:cs="Arial"/>
                <w:color w:val="212121"/>
                <w:sz w:val="14"/>
                <w:szCs w:val="14"/>
              </w:rPr>
              <w:t>6.- Se recomienda gestionar mayores recursos para las funciones operativas, administrativas, funcionales y de supervisión, para que se desarrollen mejoras en los procesos, además de tener mayor efectividad en el cumplimiento de las acciones y actividades.</w:t>
            </w:r>
            <w:r>
              <w:rPr>
                <w:rFonts w:eastAsia="Courier New" w:cs="Arial"/>
                <w:color w:val="212121"/>
                <w:sz w:val="14"/>
                <w:szCs w:val="14"/>
              </w:rPr>
              <w:t xml:space="preserve"> </w:t>
            </w:r>
          </w:p>
        </w:tc>
      </w:tr>
      <w:bookmarkEnd w:id="6"/>
    </w:tbl>
    <w:p w14:paraId="6C0093D6" w14:textId="4DFBAF4B" w:rsidR="000B5B46" w:rsidRDefault="000B5B46">
      <w:pPr>
        <w:spacing w:after="160" w:line="259" w:lineRule="auto"/>
        <w:jc w:val="left"/>
        <w:rPr>
          <w:rFonts w:cs="Arial"/>
          <w:b/>
        </w:rPr>
      </w:pPr>
    </w:p>
    <w:p w14:paraId="4B80ABCF" w14:textId="77777777" w:rsidR="000B5B46" w:rsidRDefault="000B5B46">
      <w:pPr>
        <w:spacing w:after="160" w:line="259" w:lineRule="auto"/>
        <w:jc w:val="left"/>
        <w:rPr>
          <w:rFonts w:cs="Arial"/>
          <w:b/>
        </w:rPr>
      </w:pPr>
      <w:r>
        <w:rPr>
          <w:rFonts w:cs="Arial"/>
          <w:b/>
        </w:rPr>
        <w:br w:type="page"/>
      </w:r>
    </w:p>
    <w:p w14:paraId="25E5589A" w14:textId="77777777" w:rsidR="00BF5974" w:rsidRDefault="00BF5974" w:rsidP="00BF5974">
      <w:pPr>
        <w:rPr>
          <w:rFonts w:cs="Arial"/>
          <w:b/>
        </w:rPr>
      </w:pPr>
      <w:r>
        <w:rPr>
          <w:rFonts w:cs="Arial"/>
          <w:b/>
        </w:rPr>
        <w:lastRenderedPageBreak/>
        <w:t xml:space="preserve">Por lo anteriormente expuesto y fundado, someto a la consideración de esta Honorable Asamblea, la siguiente Iniciativa con Proyecto de Decreto por el que: </w:t>
      </w:r>
    </w:p>
    <w:p w14:paraId="6A84BFDE" w14:textId="77777777" w:rsidR="00BF5974" w:rsidRDefault="00BF5974" w:rsidP="00BF5974">
      <w:pPr>
        <w:rPr>
          <w:rFonts w:cs="Arial"/>
          <w:b/>
        </w:rPr>
      </w:pPr>
    </w:p>
    <w:p w14:paraId="01C1A322" w14:textId="77777777" w:rsidR="00BF5974" w:rsidRDefault="00BF5974" w:rsidP="00BF5974">
      <w:pPr>
        <w:ind w:left="708" w:hanging="708"/>
        <w:rPr>
          <w:rFonts w:eastAsia="Calibri" w:cs="Arial"/>
          <w:lang w:eastAsia="en-US"/>
        </w:rPr>
      </w:pPr>
      <w:bookmarkStart w:id="7" w:name="_Toc465292883"/>
      <w:bookmarkStart w:id="8" w:name="_Toc465292955"/>
      <w:r>
        <w:rPr>
          <w:rFonts w:eastAsia="Calibri" w:cs="Arial"/>
          <w:b/>
          <w:lang w:eastAsia="en-US"/>
        </w:rPr>
        <w:t>ÚNICO</w:t>
      </w:r>
      <w:r>
        <w:rPr>
          <w:rFonts w:eastAsia="Calibri" w:cs="Arial"/>
          <w:lang w:eastAsia="en-US"/>
        </w:rPr>
        <w:t xml:space="preserve">. Se aprueba el </w:t>
      </w:r>
      <w:r>
        <w:rPr>
          <w:rFonts w:eastAsia="Calibri" w:cs="Arial"/>
          <w:b/>
          <w:lang w:eastAsia="en-US"/>
        </w:rPr>
        <w:t>Presupuesto de Egresos del Estado de Colima para el Ejercicio Fiscal 2025</w:t>
      </w:r>
      <w:r>
        <w:rPr>
          <w:rFonts w:eastAsia="Calibri" w:cs="Arial"/>
          <w:lang w:eastAsia="en-US"/>
        </w:rPr>
        <w:t xml:space="preserve">, en los siguientes términos: </w:t>
      </w:r>
    </w:p>
    <w:p w14:paraId="7C9C1003" w14:textId="77777777" w:rsidR="00BF5974" w:rsidRDefault="00BF5974" w:rsidP="00BF5974">
      <w:pPr>
        <w:rPr>
          <w:rFonts w:eastAsia="Calibri" w:cs="Arial"/>
          <w:lang w:eastAsia="en-US"/>
        </w:rPr>
      </w:pPr>
    </w:p>
    <w:p w14:paraId="0A1F39EF" w14:textId="77777777" w:rsidR="00BF5974" w:rsidRDefault="00BF5974" w:rsidP="00BF5974">
      <w:pPr>
        <w:rPr>
          <w:rFonts w:eastAsia="Times New Roman" w:cs="Arial"/>
          <w:lang w:val="es-ES" w:eastAsia="es-ES"/>
        </w:rPr>
      </w:pPr>
    </w:p>
    <w:p w14:paraId="6AFE2D29" w14:textId="77777777" w:rsidR="00BF5974" w:rsidRDefault="00BF5974" w:rsidP="00BF5974">
      <w:pPr>
        <w:autoSpaceDE w:val="0"/>
        <w:autoSpaceDN w:val="0"/>
        <w:adjustRightInd w:val="0"/>
        <w:jc w:val="center"/>
        <w:rPr>
          <w:rFonts w:cs="Arial"/>
          <w:b/>
          <w:bCs/>
        </w:rPr>
      </w:pPr>
      <w:r>
        <w:rPr>
          <w:rFonts w:cs="Arial"/>
          <w:b/>
          <w:bCs/>
        </w:rPr>
        <w:t xml:space="preserve">PRESUPUESTO DE EGRESOS DEL ESTADO DE COLIMA </w:t>
      </w:r>
    </w:p>
    <w:p w14:paraId="34176599" w14:textId="77777777" w:rsidR="00BF5974" w:rsidRDefault="00BF5974" w:rsidP="00BF5974">
      <w:pPr>
        <w:autoSpaceDE w:val="0"/>
        <w:autoSpaceDN w:val="0"/>
        <w:adjustRightInd w:val="0"/>
        <w:jc w:val="center"/>
        <w:rPr>
          <w:rFonts w:cs="Arial"/>
          <w:b/>
          <w:bCs/>
        </w:rPr>
      </w:pPr>
      <w:r>
        <w:rPr>
          <w:rFonts w:cs="Arial"/>
          <w:b/>
          <w:bCs/>
        </w:rPr>
        <w:t>PARA EL EJERCICIO FISCAL 2025</w:t>
      </w:r>
    </w:p>
    <w:p w14:paraId="00A1610C" w14:textId="77777777" w:rsidR="00BF5974" w:rsidRDefault="00BF5974" w:rsidP="00BF5974">
      <w:pPr>
        <w:rPr>
          <w:rFonts w:cs="Arial"/>
          <w:lang w:val="es-ES"/>
        </w:rPr>
      </w:pPr>
    </w:p>
    <w:p w14:paraId="4A14C141" w14:textId="77777777" w:rsidR="00BF5974" w:rsidRDefault="00BF5974" w:rsidP="00BF5974">
      <w:pPr>
        <w:jc w:val="center"/>
        <w:rPr>
          <w:rFonts w:cs="Arial"/>
          <w:b/>
          <w:lang w:val="es-ES"/>
        </w:rPr>
      </w:pPr>
      <w:r>
        <w:rPr>
          <w:rFonts w:cs="Arial"/>
          <w:b/>
          <w:lang w:val="es-ES"/>
        </w:rPr>
        <w:t>TÍTULO PRIMERO</w:t>
      </w:r>
    </w:p>
    <w:p w14:paraId="1946C7CA" w14:textId="77777777" w:rsidR="00BF5974" w:rsidRDefault="00BF5974" w:rsidP="00BF5974">
      <w:pPr>
        <w:jc w:val="center"/>
        <w:rPr>
          <w:rFonts w:cs="Arial"/>
          <w:b/>
          <w:lang w:val="es-ES"/>
        </w:rPr>
      </w:pPr>
      <w:r>
        <w:rPr>
          <w:rFonts w:cs="Arial"/>
          <w:b/>
          <w:lang w:val="es-ES"/>
        </w:rPr>
        <w:t>DE LAS ASIGNACIONES DEL PRESUPUESTO DE EGRESOS DEL ESTADO</w:t>
      </w:r>
    </w:p>
    <w:p w14:paraId="4B6B41E9" w14:textId="77777777" w:rsidR="00BF5974" w:rsidRDefault="00BF5974" w:rsidP="00BF5974">
      <w:pPr>
        <w:jc w:val="center"/>
        <w:rPr>
          <w:rFonts w:cs="Arial"/>
          <w:lang w:val="es-ES"/>
        </w:rPr>
      </w:pPr>
    </w:p>
    <w:p w14:paraId="6CCC63F4" w14:textId="77777777" w:rsidR="00BF5974" w:rsidRDefault="00BF5974" w:rsidP="00BF5974">
      <w:pPr>
        <w:jc w:val="center"/>
        <w:rPr>
          <w:rFonts w:eastAsia="Times New Roman" w:cs="Arial"/>
          <w:b/>
          <w:lang w:val="es-ES"/>
        </w:rPr>
      </w:pPr>
      <w:bookmarkStart w:id="9" w:name="_Toc522869226"/>
      <w:bookmarkStart w:id="10" w:name="_Toc526757432"/>
      <w:bookmarkStart w:id="11" w:name="_Toc22021870"/>
      <w:bookmarkStart w:id="12" w:name="_Toc22983148"/>
      <w:r>
        <w:rPr>
          <w:rFonts w:eastAsia="Times New Roman" w:cs="Arial"/>
          <w:b/>
          <w:lang w:val="es-ES"/>
        </w:rPr>
        <w:t>CAPÍTULO I</w:t>
      </w:r>
      <w:bookmarkEnd w:id="9"/>
      <w:bookmarkEnd w:id="10"/>
      <w:bookmarkEnd w:id="11"/>
      <w:bookmarkEnd w:id="12"/>
    </w:p>
    <w:p w14:paraId="78237F73" w14:textId="77777777" w:rsidR="00BF5974" w:rsidRDefault="00BF5974" w:rsidP="00BF5974">
      <w:pPr>
        <w:keepNext/>
        <w:keepLines/>
        <w:jc w:val="center"/>
        <w:outlineLvl w:val="0"/>
        <w:rPr>
          <w:rFonts w:eastAsia="Times New Roman" w:cs="Arial"/>
          <w:b/>
          <w:lang w:val="es-ES"/>
        </w:rPr>
      </w:pPr>
      <w:bookmarkStart w:id="13" w:name="_Toc522869227"/>
      <w:bookmarkStart w:id="14" w:name="_Toc526757433"/>
      <w:bookmarkStart w:id="15" w:name="_Toc22021871"/>
      <w:bookmarkStart w:id="16" w:name="_Toc22983149"/>
      <w:r>
        <w:rPr>
          <w:rFonts w:eastAsia="Times New Roman" w:cs="Arial"/>
          <w:b/>
          <w:lang w:val="es-ES"/>
        </w:rPr>
        <w:t>DISPOSICIONES GENERALES</w:t>
      </w:r>
      <w:bookmarkEnd w:id="13"/>
      <w:bookmarkEnd w:id="14"/>
      <w:bookmarkEnd w:id="15"/>
      <w:bookmarkEnd w:id="16"/>
    </w:p>
    <w:p w14:paraId="04DD49B4" w14:textId="77777777" w:rsidR="00BF5974" w:rsidRDefault="00BF5974" w:rsidP="00BF5974">
      <w:pPr>
        <w:rPr>
          <w:rFonts w:cs="Arial"/>
          <w:b/>
        </w:rPr>
      </w:pPr>
    </w:p>
    <w:p w14:paraId="386139A9" w14:textId="77777777" w:rsidR="00BF5974" w:rsidRDefault="00BF5974" w:rsidP="00BF5974">
      <w:pPr>
        <w:rPr>
          <w:rFonts w:cs="Arial"/>
        </w:rPr>
      </w:pPr>
      <w:r>
        <w:rPr>
          <w:rFonts w:cs="Arial"/>
          <w:b/>
        </w:rPr>
        <w:t>Artículo 1</w:t>
      </w:r>
      <w:r>
        <w:rPr>
          <w:rFonts w:cs="Arial"/>
        </w:rPr>
        <w:t>. El presente Decreto tiene por objeto regular la asignación, ejercicio, control y evaluación del gasto público del Estado de Colima para el Ejercicio Fiscal 2025.</w:t>
      </w:r>
    </w:p>
    <w:p w14:paraId="04EDD5E0" w14:textId="77777777" w:rsidR="00BF5974" w:rsidRDefault="00BF5974" w:rsidP="00BF5974">
      <w:pPr>
        <w:rPr>
          <w:rFonts w:cs="Arial"/>
        </w:rPr>
      </w:pPr>
    </w:p>
    <w:p w14:paraId="33329ECF" w14:textId="77777777" w:rsidR="00BF5974" w:rsidRDefault="00BF5974" w:rsidP="00BF5974">
      <w:pPr>
        <w:rPr>
          <w:rFonts w:cs="Arial"/>
        </w:rPr>
      </w:pPr>
      <w:r>
        <w:rPr>
          <w:rFonts w:cs="Arial"/>
        </w:rPr>
        <w:t xml:space="preserve">La asignación, ejercicio, control y evaluación del gasto público del Gobierno del Estado de Colima para el Ejercicio 2025, se sujetará a las disposiciones contenidas en el presente Decreto, así como en: la Ley General de Contabilidad Gubernamental; la Ley de Disciplina Financiera de las Entidades Federativas y los Municipios; la Ley de Coordinación Fiscal; la </w:t>
      </w:r>
      <w:r>
        <w:rPr>
          <w:rFonts w:eastAsia="Times New Roman" w:cs="Arial"/>
        </w:rPr>
        <w:t xml:space="preserve">Ley General de Responsabilidades Administrativas; </w:t>
      </w:r>
      <w:r>
        <w:rPr>
          <w:rFonts w:cs="Arial"/>
        </w:rPr>
        <w:t>la Ley de Presupuesto y Responsabilidad Hacendaria del Estado de Colima; la Ley Orgánica del Poder Ejecutivo y de la Administración Pública del Estado de Colima; la Ley de las Entidades Paraestatales del Estado de Colima; la Ley de Fiscalización Superior y Rendición de Cuentas del Estado de Colima; la Ley de Coordinación Fiscal del Estado; la Ley de Justicia Administrativa del Estado de Colima; la Ley de Adquisiciones, Arrendamientos y Servicios del Sector Público del Estado de Colima; la Ley que Fija las Bases para las Remuneraciones de los Servidores Públicos del Estado y los Municipios; la Ley Estatal de Obras Públicas, Ley de Austeridad del Estado de Colima y las demás disposiciones aplicables en la materia.</w:t>
      </w:r>
    </w:p>
    <w:p w14:paraId="38033A06" w14:textId="77777777" w:rsidR="00BF5974" w:rsidRDefault="00BF5974" w:rsidP="00BF5974">
      <w:pPr>
        <w:rPr>
          <w:rFonts w:cs="Arial"/>
        </w:rPr>
      </w:pPr>
    </w:p>
    <w:p w14:paraId="6ED5D550" w14:textId="77777777" w:rsidR="00BF5974" w:rsidRDefault="00BF5974" w:rsidP="00BF5974">
      <w:pPr>
        <w:rPr>
          <w:rFonts w:cs="Arial"/>
        </w:rPr>
      </w:pPr>
      <w:r>
        <w:rPr>
          <w:rFonts w:cs="Arial"/>
        </w:rPr>
        <w:t>Será responsabilidad de la Secretaría de Planeación, Finanzas y Administración y de la Contraloría General del Estado, en el ámbito de sus respectivas competencias, cumplir y hacer cumplir las disposiciones establecidas en el presente Decreto, así como determinar las normas y procedimientos administrativos tendientes a armonizar, transparentar, racionalizar y llevar a cabo un mejor control del gasto público estatal.</w:t>
      </w:r>
    </w:p>
    <w:p w14:paraId="1C6555CD" w14:textId="77777777" w:rsidR="00BF5974" w:rsidRDefault="00BF5974" w:rsidP="00BF5974">
      <w:pPr>
        <w:rPr>
          <w:rFonts w:cs="Arial"/>
        </w:rPr>
      </w:pPr>
    </w:p>
    <w:p w14:paraId="76995723" w14:textId="77777777" w:rsidR="00BF5974" w:rsidRDefault="00BF5974" w:rsidP="00BF5974">
      <w:pPr>
        <w:rPr>
          <w:rFonts w:cs="Arial"/>
        </w:rPr>
      </w:pPr>
      <w:r>
        <w:rPr>
          <w:rFonts w:cs="Arial"/>
        </w:rPr>
        <w:t>La interpretación del presente Presupuesto de Egresos para efectos administrativos y exclusivamente en el ámbito de competencia del Ejecutivo Estatal, corresponde a la Secretaría de Planeación, Finanzas y Administración</w:t>
      </w:r>
      <w:r>
        <w:rPr>
          <w:rFonts w:cs="Arial"/>
          <w:color w:val="FF0000"/>
        </w:rPr>
        <w:t xml:space="preserve"> </w:t>
      </w:r>
      <w:r>
        <w:rPr>
          <w:rFonts w:cs="Arial"/>
        </w:rPr>
        <w:t xml:space="preserve">y a la Contraloría General del Estado </w:t>
      </w:r>
      <w:r>
        <w:rPr>
          <w:rFonts w:cs="Arial"/>
        </w:rPr>
        <w:lastRenderedPageBreak/>
        <w:t>en el ámbito de sus atribuciones, conforme a las disposiciones y definiciones que establezca la Ley de Presupuesto y Responsabilidad Hacendaria del Estado de Colima. Lo anterior, sin perjuicio de la interpretación que corresponda a otros poderes estatales en el ámbito de sus respectivas competencias.</w:t>
      </w:r>
    </w:p>
    <w:p w14:paraId="73B0C65C" w14:textId="77777777" w:rsidR="00BF5974" w:rsidRDefault="00BF5974" w:rsidP="00BF5974">
      <w:pPr>
        <w:rPr>
          <w:rFonts w:cs="Arial"/>
        </w:rPr>
      </w:pPr>
    </w:p>
    <w:p w14:paraId="5FB69FF2" w14:textId="77777777" w:rsidR="00BF5974" w:rsidRDefault="00BF5974" w:rsidP="00BF5974">
      <w:pPr>
        <w:rPr>
          <w:rFonts w:cs="Arial"/>
          <w:lang w:val="es-ES"/>
        </w:rPr>
      </w:pPr>
      <w:r>
        <w:rPr>
          <w:rFonts w:cs="Arial"/>
          <w:b/>
          <w:lang w:val="es-ES"/>
        </w:rPr>
        <w:t>Artículo 2</w:t>
      </w:r>
      <w:r>
        <w:rPr>
          <w:rFonts w:cs="Arial"/>
          <w:lang w:val="es-ES"/>
        </w:rPr>
        <w:t>.  Para los efectos de este Decreto, en singular o plural, se entenderá por:</w:t>
      </w:r>
    </w:p>
    <w:p w14:paraId="7C22EFBC" w14:textId="77777777" w:rsidR="00BF5974" w:rsidRDefault="00BF5974" w:rsidP="00BF5974">
      <w:pPr>
        <w:rPr>
          <w:rFonts w:cs="Arial"/>
          <w:lang w:val="es-ES"/>
        </w:rPr>
      </w:pPr>
    </w:p>
    <w:p w14:paraId="635403EB" w14:textId="77777777" w:rsidR="00BF5974" w:rsidRDefault="00BF5974" w:rsidP="00BF5974">
      <w:pPr>
        <w:numPr>
          <w:ilvl w:val="0"/>
          <w:numId w:val="39"/>
        </w:numPr>
        <w:ind w:left="851" w:hanging="851"/>
        <w:contextualSpacing/>
        <w:rPr>
          <w:rFonts w:eastAsia="Times New Roman" w:cs="Arial"/>
        </w:rPr>
      </w:pPr>
      <w:r>
        <w:rPr>
          <w:rFonts w:eastAsia="Times New Roman" w:cs="Arial"/>
          <w:b/>
        </w:rPr>
        <w:t>Adecuaciones Presupuestarias</w:t>
      </w:r>
      <w:r>
        <w:rPr>
          <w:rFonts w:eastAsia="Times New Roman" w:cs="Arial"/>
        </w:rPr>
        <w:t>: Las modificaciones a los calendarios presupuestales, las ampliaciones y reducciones al Presupuesto de Egresos del Estado mediante movimientos compensados y las liberaciones anticipadas de recursos públicos calendarizados realizadas por el Ejecutivo Estatal a través de la Secretaría de Planeación, Finanzas y Administración, siempre que permitan un mejor cumplimiento de los objetivos y metas de los Programas Presupuestarios a cargo de los Ejecutores de Gasto.</w:t>
      </w:r>
    </w:p>
    <w:p w14:paraId="29273BB1" w14:textId="77777777" w:rsidR="00BF5974" w:rsidRDefault="00BF5974" w:rsidP="00BF5974">
      <w:pPr>
        <w:numPr>
          <w:ilvl w:val="0"/>
          <w:numId w:val="39"/>
        </w:numPr>
        <w:ind w:left="851" w:hanging="851"/>
        <w:contextualSpacing/>
        <w:rPr>
          <w:rFonts w:eastAsia="Times New Roman" w:cs="Arial"/>
        </w:rPr>
      </w:pPr>
      <w:r>
        <w:rPr>
          <w:rFonts w:eastAsia="Times New Roman" w:cs="Arial"/>
          <w:b/>
        </w:rPr>
        <w:t>Adeudos de Ejercicios Fiscales Anteriores (ADEFAS)</w:t>
      </w:r>
      <w:r>
        <w:rPr>
          <w:rFonts w:eastAsia="Times New Roman" w:cs="Arial"/>
        </w:rPr>
        <w:t>: Las asignaciones destinadas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p w14:paraId="6129CFAA" w14:textId="77777777" w:rsidR="00BF5974" w:rsidRDefault="00BF5974" w:rsidP="00BF5974">
      <w:pPr>
        <w:numPr>
          <w:ilvl w:val="0"/>
          <w:numId w:val="39"/>
        </w:numPr>
        <w:ind w:left="851" w:hanging="851"/>
        <w:contextualSpacing/>
        <w:rPr>
          <w:rFonts w:eastAsia="Times New Roman" w:cs="Arial"/>
        </w:rPr>
      </w:pPr>
      <w:r>
        <w:rPr>
          <w:rFonts w:eastAsia="Times New Roman" w:cs="Arial"/>
          <w:b/>
        </w:rPr>
        <w:t>Administración Pública Centralizada</w:t>
      </w:r>
      <w:r>
        <w:rPr>
          <w:rFonts w:eastAsia="Times New Roman" w:cs="Arial"/>
        </w:rPr>
        <w:t>: La Oficina de la Gubernatura, las Secretarías, la Consejería Jurídica y la Contraloría General, a las que se les denominará genéricamente Dependencias.</w:t>
      </w:r>
    </w:p>
    <w:p w14:paraId="1C1088D9" w14:textId="77777777" w:rsidR="00BF5974" w:rsidRDefault="00BF5974" w:rsidP="00BF5974">
      <w:pPr>
        <w:numPr>
          <w:ilvl w:val="0"/>
          <w:numId w:val="39"/>
        </w:numPr>
        <w:ind w:left="851" w:hanging="851"/>
        <w:contextualSpacing/>
        <w:rPr>
          <w:rFonts w:eastAsia="Times New Roman" w:cs="Arial"/>
        </w:rPr>
      </w:pPr>
      <w:r>
        <w:rPr>
          <w:rFonts w:eastAsia="Times New Roman" w:cs="Arial"/>
          <w:b/>
        </w:rPr>
        <w:t>Administración Pública Paraestatal</w:t>
      </w:r>
      <w:r>
        <w:rPr>
          <w:rFonts w:eastAsia="Times New Roman" w:cs="Arial"/>
        </w:rPr>
        <w:t>: Los organismos descentralizados, empresas de participación estatal mayoritaria y los fideicomisos públicos, a los que se les denominará genéricamente como entidades.</w:t>
      </w:r>
    </w:p>
    <w:p w14:paraId="415EA960" w14:textId="77777777" w:rsidR="00BF5974" w:rsidRDefault="00BF5974" w:rsidP="00BF5974">
      <w:pPr>
        <w:numPr>
          <w:ilvl w:val="0"/>
          <w:numId w:val="39"/>
        </w:numPr>
        <w:ind w:left="851" w:hanging="851"/>
        <w:contextualSpacing/>
        <w:rPr>
          <w:rFonts w:eastAsia="Times New Roman" w:cs="Arial"/>
        </w:rPr>
      </w:pPr>
      <w:r>
        <w:rPr>
          <w:rFonts w:eastAsia="Times New Roman" w:cs="Arial"/>
          <w:b/>
        </w:rPr>
        <w:t>Agenda 2030 y los Objetivos del Desarrollo Sostenible</w:t>
      </w:r>
      <w:r>
        <w:rPr>
          <w:rFonts w:eastAsia="Times New Roman" w:cs="Arial"/>
        </w:rPr>
        <w:t>: La Agenda 2030 para el Desarrollo Sostenible es una hoja de ruta para erradicar la pobreza, proteger al planeta y asegurar la prosperidad para todos sin comprometer los recursos para las futuras generaciones. Consiste en 17 Objetivos de Desarrollo Sostenible, con metas específicas, que constituyen una agenda integral y multisectorial.</w:t>
      </w:r>
    </w:p>
    <w:p w14:paraId="679498B8" w14:textId="77777777" w:rsidR="00BF5974" w:rsidRDefault="00BF5974" w:rsidP="00BF5974">
      <w:pPr>
        <w:numPr>
          <w:ilvl w:val="0"/>
          <w:numId w:val="39"/>
        </w:numPr>
        <w:ind w:left="851" w:hanging="851"/>
        <w:contextualSpacing/>
        <w:rPr>
          <w:rFonts w:eastAsia="Times New Roman" w:cs="Arial"/>
        </w:rPr>
      </w:pPr>
      <w:r>
        <w:rPr>
          <w:rFonts w:eastAsia="Times New Roman" w:cs="Arial"/>
          <w:b/>
        </w:rPr>
        <w:t>Amortización de la Deuda y Disminución de Pasivos</w:t>
      </w:r>
      <w:r>
        <w:rPr>
          <w:rFonts w:eastAsia="Times New Roman" w:cs="Arial"/>
        </w:rPr>
        <w:t>: Representa la cancelación mediante pago o cualquier forma por la cual se extinga la obligación principal de los pasivos contraídos por el Gobierno del Estado.</w:t>
      </w:r>
    </w:p>
    <w:p w14:paraId="4AB3CAAC" w14:textId="77777777" w:rsidR="00BF5974" w:rsidRDefault="00BF5974" w:rsidP="00BF5974">
      <w:pPr>
        <w:numPr>
          <w:ilvl w:val="0"/>
          <w:numId w:val="39"/>
        </w:numPr>
        <w:ind w:left="851" w:hanging="851"/>
        <w:contextualSpacing/>
        <w:rPr>
          <w:rFonts w:eastAsia="Times New Roman" w:cs="Arial"/>
        </w:rPr>
      </w:pPr>
      <w:r>
        <w:rPr>
          <w:rFonts w:eastAsia="Times New Roman" w:cs="Arial"/>
          <w:b/>
        </w:rPr>
        <w:t>Asignaciones Presupuestales</w:t>
      </w:r>
      <w:r>
        <w:rPr>
          <w:rFonts w:eastAsia="Times New Roman" w:cs="Arial"/>
        </w:rPr>
        <w:t>: Las previsiones de Gasto Público aprobadas, mediante el Presupuesto de Egresos del Estado, que realiza el Titular del Poder Ejecutivo del Estado a través de la Secretaría de Planeación, Finanzas y Administración y los Ejecutores de Gasto.</w:t>
      </w:r>
    </w:p>
    <w:p w14:paraId="6E72FDAD" w14:textId="77777777" w:rsidR="00BF5974" w:rsidRDefault="00BF5974" w:rsidP="00BF5974">
      <w:pPr>
        <w:numPr>
          <w:ilvl w:val="0"/>
          <w:numId w:val="39"/>
        </w:numPr>
        <w:ind w:left="851" w:hanging="851"/>
        <w:contextualSpacing/>
        <w:rPr>
          <w:rFonts w:eastAsia="Times New Roman" w:cs="Arial"/>
        </w:rPr>
      </w:pPr>
      <w:r>
        <w:rPr>
          <w:rFonts w:eastAsia="Times New Roman" w:cs="Arial"/>
          <w:b/>
        </w:rPr>
        <w:t>Ayudas</w:t>
      </w:r>
      <w:r>
        <w:rPr>
          <w:rFonts w:eastAsia="Times New Roman" w:cs="Arial"/>
        </w:rPr>
        <w:t>: Las aportaciones de recursos públicos en numerario o en especie otorgadas por el Gobierno del Estado con base en los objetivos y metas de los Programas Presupuestarios.</w:t>
      </w:r>
    </w:p>
    <w:p w14:paraId="4C7AC3D8" w14:textId="77777777" w:rsidR="00BF5974" w:rsidRDefault="00BF5974" w:rsidP="00BF5974">
      <w:pPr>
        <w:numPr>
          <w:ilvl w:val="0"/>
          <w:numId w:val="39"/>
        </w:numPr>
        <w:ind w:left="851" w:hanging="851"/>
        <w:contextualSpacing/>
        <w:rPr>
          <w:rFonts w:eastAsia="Times New Roman" w:cs="Arial"/>
        </w:rPr>
      </w:pPr>
      <w:r>
        <w:rPr>
          <w:rFonts w:eastAsia="Times New Roman" w:cs="Arial"/>
          <w:b/>
        </w:rPr>
        <w:lastRenderedPageBreak/>
        <w:t>Balance Presupuestario</w:t>
      </w:r>
      <w:r>
        <w:rPr>
          <w:rFonts w:eastAsia="Times New Roman" w:cs="Arial"/>
        </w:rPr>
        <w:t>: La diferencia entre los Ingresos totales incluidos en la Ley de Ingresos, y los gastos totales considerados en el Presupuesto de Egresos, con excepción de la amortización de la deuda.</w:t>
      </w:r>
    </w:p>
    <w:p w14:paraId="1CB801D3" w14:textId="77777777" w:rsidR="00BF5974" w:rsidRDefault="00BF5974" w:rsidP="00BF5974">
      <w:pPr>
        <w:numPr>
          <w:ilvl w:val="0"/>
          <w:numId w:val="39"/>
        </w:numPr>
        <w:ind w:left="851" w:hanging="851"/>
        <w:contextualSpacing/>
        <w:rPr>
          <w:rFonts w:eastAsia="Times New Roman" w:cs="Arial"/>
        </w:rPr>
      </w:pPr>
      <w:r>
        <w:rPr>
          <w:rFonts w:eastAsia="Times New Roman" w:cs="Arial"/>
          <w:b/>
        </w:rPr>
        <w:t>Balance Presupuestario de Recursos Disponibles</w:t>
      </w:r>
      <w:r>
        <w:rPr>
          <w:rFonts w:eastAsia="Times New Roman" w:cs="Arial"/>
        </w:rPr>
        <w:t>: La diferencia entre los Ingresos de Libre Disposición, incluidos en la Ley de Ingresos, más el Financiamiento Neto y los Gastos No Etiquetados considerados en el Presupuesto de Egresos, con excepción de la amortización de la deuda.</w:t>
      </w:r>
    </w:p>
    <w:p w14:paraId="5A2AB2A6" w14:textId="77777777" w:rsidR="00BF5974" w:rsidRDefault="00BF5974" w:rsidP="00BF5974">
      <w:pPr>
        <w:numPr>
          <w:ilvl w:val="0"/>
          <w:numId w:val="39"/>
        </w:numPr>
        <w:ind w:left="851" w:hanging="851"/>
        <w:contextualSpacing/>
        <w:rPr>
          <w:rFonts w:eastAsia="Times New Roman" w:cs="Arial"/>
        </w:rPr>
      </w:pPr>
      <w:r>
        <w:rPr>
          <w:rFonts w:eastAsia="Times New Roman" w:cs="Arial"/>
          <w:b/>
        </w:rPr>
        <w:t>Capítulo de Gasto</w:t>
      </w:r>
      <w:r>
        <w:rPr>
          <w:rFonts w:eastAsia="Times New Roman" w:cs="Arial"/>
        </w:rPr>
        <w:t>: Al mayor nivel de agregación que identifica el conjunto homogéneo y ordenado de los bienes y servicios requeridos por los Entes Públicos.</w:t>
      </w:r>
    </w:p>
    <w:p w14:paraId="33147095" w14:textId="77777777" w:rsidR="00BF5974" w:rsidRDefault="00BF5974" w:rsidP="00BF5974">
      <w:pPr>
        <w:numPr>
          <w:ilvl w:val="0"/>
          <w:numId w:val="39"/>
        </w:numPr>
        <w:ind w:left="851" w:hanging="851"/>
        <w:contextualSpacing/>
        <w:rPr>
          <w:rFonts w:eastAsia="Times New Roman" w:cs="Arial"/>
        </w:rPr>
      </w:pPr>
      <w:r>
        <w:rPr>
          <w:rFonts w:eastAsia="Times New Roman" w:cs="Arial"/>
          <w:b/>
        </w:rPr>
        <w:t>Clasificación Funcional del Gasto</w:t>
      </w:r>
      <w:r>
        <w:rPr>
          <w:rFonts w:eastAsia="Times New Roman" w:cs="Arial"/>
        </w:rPr>
        <w:t>: La que agrupa los gastos según los propósitos u objetivos socioeconómicos que persiguen los diferentes Entes Públicos. Presenta el gasto público según la naturaleza de los servicios gubernamentales brindados a la población. Con dicha clasificación se identifica el presupuesto destinado a finalidades de: Gobierno, Desarrollo Social, Desarrollo Económico y Otros no Clasificados; permitiendo determinar los objetivos generales de las políticas públicas y los recursos financieros que se asignan para alcanzarlos.</w:t>
      </w:r>
    </w:p>
    <w:p w14:paraId="322FDBA5" w14:textId="77777777" w:rsidR="00BF5974" w:rsidRDefault="00BF5974" w:rsidP="00BF5974">
      <w:pPr>
        <w:numPr>
          <w:ilvl w:val="0"/>
          <w:numId w:val="39"/>
        </w:numPr>
        <w:ind w:left="851" w:hanging="851"/>
        <w:contextualSpacing/>
        <w:rPr>
          <w:rFonts w:eastAsia="Times New Roman" w:cs="Arial"/>
        </w:rPr>
      </w:pPr>
      <w:r>
        <w:rPr>
          <w:rFonts w:eastAsia="Times New Roman" w:cs="Arial"/>
          <w:b/>
        </w:rPr>
        <w:t>Clasificación por Objeto del Gasto</w:t>
      </w:r>
      <w:r>
        <w:rPr>
          <w:rFonts w:eastAsia="Times New Roman" w:cs="Arial"/>
        </w:rPr>
        <w:t>: La que resume, ordena y presenta los gastos programados en el presupuesto de acuerdo con la naturaleza de los bienes, servicios, activos y pasivos financieros. Alcanza a todas las transacciones que realizan los Entes Públicos para obtener bienes y servicios que se utilizan en la prestación de servicios públicos y en la realización de transferencias, en el marco del Presupuesto de Egresos.</w:t>
      </w:r>
    </w:p>
    <w:p w14:paraId="710A28C6" w14:textId="77777777" w:rsidR="00BF5974" w:rsidRDefault="00BF5974" w:rsidP="00BF5974">
      <w:pPr>
        <w:numPr>
          <w:ilvl w:val="0"/>
          <w:numId w:val="39"/>
        </w:numPr>
        <w:ind w:left="851" w:hanging="851"/>
        <w:contextualSpacing/>
        <w:rPr>
          <w:rFonts w:eastAsia="Times New Roman" w:cs="Arial"/>
        </w:rPr>
      </w:pPr>
      <w:r>
        <w:rPr>
          <w:rFonts w:eastAsia="Times New Roman" w:cs="Arial"/>
          <w:b/>
        </w:rPr>
        <w:t>Clasificación por Fuentes de Financiamiento</w:t>
      </w:r>
      <w:r>
        <w:rPr>
          <w:rFonts w:eastAsia="Times New Roman" w:cs="Arial"/>
        </w:rPr>
        <w:t>: La clasificación por fuentes de financiamiento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2DCB19FC" w14:textId="77777777" w:rsidR="00BF5974" w:rsidRDefault="00BF5974" w:rsidP="00BF5974">
      <w:pPr>
        <w:numPr>
          <w:ilvl w:val="0"/>
          <w:numId w:val="39"/>
        </w:numPr>
        <w:ind w:left="851" w:hanging="851"/>
        <w:contextualSpacing/>
        <w:rPr>
          <w:rFonts w:eastAsia="Times New Roman" w:cs="Arial"/>
        </w:rPr>
      </w:pPr>
      <w:r>
        <w:rPr>
          <w:rFonts w:eastAsia="Times New Roman" w:cs="Arial"/>
          <w:b/>
        </w:rPr>
        <w:t>Clasificación Económica de los Ingresos, de los Gastos y del Financiamiento de los Entes Públicos</w:t>
      </w:r>
      <w:r>
        <w:rPr>
          <w:rFonts w:eastAsia="Times New Roman" w:cs="Arial"/>
        </w:rPr>
        <w:t>: La Clasificación Económica de las transacciones de los Entes Públicos permite ordenar a éstas de acuerdo con su naturaleza económica, con el propósito general de analizar y evaluar el impacto de la política y gestión fiscal y sus componentes sobre la economía en general.</w:t>
      </w:r>
    </w:p>
    <w:p w14:paraId="63B09B4E" w14:textId="77777777" w:rsidR="00BF5974" w:rsidRDefault="00BF5974" w:rsidP="00BF5974">
      <w:pPr>
        <w:numPr>
          <w:ilvl w:val="0"/>
          <w:numId w:val="39"/>
        </w:numPr>
        <w:ind w:left="851" w:hanging="851"/>
        <w:contextualSpacing/>
        <w:rPr>
          <w:rFonts w:eastAsia="Times New Roman" w:cs="Arial"/>
        </w:rPr>
      </w:pPr>
      <w:r>
        <w:rPr>
          <w:rFonts w:eastAsia="Times New Roman" w:cs="Arial"/>
          <w:b/>
        </w:rPr>
        <w:t>Clasificación Administrativa</w:t>
      </w:r>
      <w:r>
        <w:rPr>
          <w:rFonts w:eastAsia="Times New Roman" w:cs="Arial"/>
        </w:rPr>
        <w:t>: La que tiene como objetivo identificar el agente que realiza la erogación de los recursos públicos, se desglosa a través de asignaciones denominadas ramos presupuestarios como el de la Administración Pública, de los Poderes, o de los Órganos Autónomos del Estado.</w:t>
      </w:r>
    </w:p>
    <w:p w14:paraId="0942F979" w14:textId="77777777" w:rsidR="00BF5974" w:rsidRDefault="00BF5974" w:rsidP="00BF5974">
      <w:pPr>
        <w:numPr>
          <w:ilvl w:val="0"/>
          <w:numId w:val="39"/>
        </w:numPr>
        <w:ind w:left="851" w:hanging="851"/>
        <w:contextualSpacing/>
        <w:rPr>
          <w:rFonts w:eastAsia="Times New Roman" w:cs="Arial"/>
        </w:rPr>
      </w:pPr>
      <w:r>
        <w:rPr>
          <w:rFonts w:eastAsia="Times New Roman" w:cs="Arial"/>
          <w:b/>
        </w:rPr>
        <w:t>Clasificación Programática</w:t>
      </w:r>
      <w:r>
        <w:rPr>
          <w:rFonts w:eastAsia="Times New Roman" w:cs="Arial"/>
        </w:rPr>
        <w:t xml:space="preserve">: Técnica presupuestaria que pone especial atención a las actividades que se realizan más que a los bienes y servicios que se adquieren. Contiene un conjunto armónico de programas, proyectos y metas que se deben realizar a corto plazo y permite la racionalización en el uso de recursos </w:t>
      </w:r>
      <w:r>
        <w:rPr>
          <w:rFonts w:eastAsia="Times New Roman" w:cs="Arial"/>
        </w:rPr>
        <w:lastRenderedPageBreak/>
        <w:t>al determinar objetivos y metas; asimismo, identifica responsables del programa y establece las acciones concretas para obtener los fines deseados.</w:t>
      </w:r>
    </w:p>
    <w:p w14:paraId="69694D47" w14:textId="77777777" w:rsidR="00BF5974" w:rsidRDefault="00BF5974" w:rsidP="00BF5974">
      <w:pPr>
        <w:numPr>
          <w:ilvl w:val="0"/>
          <w:numId w:val="39"/>
        </w:numPr>
        <w:ind w:left="851" w:hanging="851"/>
        <w:contextualSpacing/>
        <w:rPr>
          <w:rFonts w:eastAsia="Times New Roman" w:cs="Arial"/>
        </w:rPr>
      </w:pPr>
      <w:r>
        <w:rPr>
          <w:rFonts w:eastAsia="Times New Roman" w:cs="Arial"/>
          <w:b/>
        </w:rPr>
        <w:t>Clasificación por Tipo de Gasto</w:t>
      </w:r>
      <w:r>
        <w:rPr>
          <w:rFonts w:eastAsia="Times New Roman" w:cs="Arial"/>
        </w:rPr>
        <w:t>: La que relaciona las transacciones públicas que generan los grandes agregados de la clasificación económica presentándolos en: Corriente, de Capital, Amortización de la Deuda y Disminución de Pasivos, Pensiones y Jubilaciones y Participaciones.</w:t>
      </w:r>
    </w:p>
    <w:p w14:paraId="07C69116" w14:textId="77777777" w:rsidR="00BF5974" w:rsidRDefault="00BF5974" w:rsidP="00BF5974">
      <w:pPr>
        <w:numPr>
          <w:ilvl w:val="0"/>
          <w:numId w:val="39"/>
        </w:numPr>
        <w:ind w:left="851" w:hanging="851"/>
        <w:contextualSpacing/>
        <w:rPr>
          <w:rFonts w:eastAsia="Times New Roman" w:cs="Arial"/>
        </w:rPr>
      </w:pPr>
      <w:r>
        <w:rPr>
          <w:rFonts w:eastAsia="Times New Roman" w:cs="Arial"/>
          <w:b/>
        </w:rPr>
        <w:t>Criterios Generales de Política Económica</w:t>
      </w:r>
      <w:r>
        <w:rPr>
          <w:rFonts w:eastAsia="Times New Roman" w:cs="Arial"/>
        </w:rPr>
        <w:t>: El documento enviado por el Ejecutivo Federal al Congreso de la Unión, en los términos del artículo 42, fracción III, inciso a), de la Ley Federal de Presupuesto y Responsabilidad Hacendaria, que sirve de base para la elaboración de la Ley de Ingresos y el Presupuesto de Egresos de la Federación.</w:t>
      </w:r>
    </w:p>
    <w:p w14:paraId="67B8A8DF" w14:textId="77777777" w:rsidR="00BF5974" w:rsidRDefault="00BF5974" w:rsidP="00BF5974">
      <w:pPr>
        <w:numPr>
          <w:ilvl w:val="0"/>
          <w:numId w:val="39"/>
        </w:numPr>
        <w:ind w:left="851" w:hanging="851"/>
        <w:contextualSpacing/>
        <w:rPr>
          <w:rFonts w:eastAsia="Times New Roman" w:cs="Arial"/>
        </w:rPr>
      </w:pPr>
      <w:r>
        <w:rPr>
          <w:rFonts w:eastAsia="Times New Roman" w:cs="Arial"/>
          <w:b/>
        </w:rPr>
        <w:t>Concepto</w:t>
      </w:r>
      <w:r>
        <w:rPr>
          <w:rFonts w:eastAsia="Times New Roman" w:cs="Arial"/>
        </w:rPr>
        <w:t>: Los subconjuntos homogéneos y ordenados en forma específica, producto de la desagregación de los bienes y servicios, incluidos en cada capítulo de gasto.</w:t>
      </w:r>
    </w:p>
    <w:p w14:paraId="32334F79" w14:textId="77777777" w:rsidR="00BF5974" w:rsidRDefault="00BF5974" w:rsidP="00BF5974">
      <w:pPr>
        <w:numPr>
          <w:ilvl w:val="0"/>
          <w:numId w:val="39"/>
        </w:numPr>
        <w:ind w:left="851" w:hanging="851"/>
        <w:contextualSpacing/>
        <w:rPr>
          <w:rFonts w:eastAsia="Times New Roman" w:cs="Arial"/>
        </w:rPr>
      </w:pPr>
      <w:r>
        <w:rPr>
          <w:rFonts w:eastAsia="Times New Roman" w:cs="Arial"/>
          <w:b/>
        </w:rPr>
        <w:t>Congreso del Estado</w:t>
      </w:r>
      <w:r>
        <w:rPr>
          <w:rFonts w:eastAsia="Times New Roman" w:cs="Arial"/>
        </w:rPr>
        <w:t>: El H. Congreso del Estado Libre y Soberano de Colima.</w:t>
      </w:r>
    </w:p>
    <w:p w14:paraId="757CB456" w14:textId="77777777" w:rsidR="00BF5974" w:rsidRDefault="00BF5974" w:rsidP="00BF5974">
      <w:pPr>
        <w:numPr>
          <w:ilvl w:val="0"/>
          <w:numId w:val="39"/>
        </w:numPr>
        <w:ind w:left="851" w:hanging="851"/>
        <w:contextualSpacing/>
        <w:rPr>
          <w:rFonts w:eastAsia="Times New Roman" w:cs="Arial"/>
        </w:rPr>
      </w:pPr>
      <w:r>
        <w:rPr>
          <w:rFonts w:eastAsia="Times New Roman" w:cs="Arial"/>
          <w:b/>
        </w:rPr>
        <w:t>Contraloría General</w:t>
      </w:r>
      <w:r>
        <w:rPr>
          <w:rFonts w:eastAsia="Times New Roman" w:cs="Arial"/>
        </w:rPr>
        <w:t>: La Contraloría General del Estado.</w:t>
      </w:r>
    </w:p>
    <w:p w14:paraId="4C1F5036" w14:textId="77777777" w:rsidR="00BF5974" w:rsidRDefault="00BF5974" w:rsidP="00BF5974">
      <w:pPr>
        <w:numPr>
          <w:ilvl w:val="0"/>
          <w:numId w:val="39"/>
        </w:numPr>
        <w:ind w:left="851" w:hanging="851"/>
        <w:contextualSpacing/>
        <w:rPr>
          <w:rFonts w:eastAsia="Times New Roman" w:cs="Arial"/>
        </w:rPr>
      </w:pPr>
      <w:r>
        <w:rPr>
          <w:rFonts w:eastAsia="Times New Roman" w:cs="Arial"/>
          <w:b/>
        </w:rPr>
        <w:t>Deuda Contingente</w:t>
      </w:r>
      <w:r>
        <w:rPr>
          <w:rFonts w:eastAsia="Times New Roman" w:cs="Arial"/>
        </w:rPr>
        <w:t xml:space="preserve">: Cualquier Financiamiento sin fuente o garantía de pago definida, que sea asumida de manera solidaria o subsidiaria por la Entidad Federativa con sus Municipios, Organismos Descentralizados y empresas de participación estatal mayoritaria y Fideicomisos. </w:t>
      </w:r>
    </w:p>
    <w:p w14:paraId="685502F4" w14:textId="77777777" w:rsidR="00BF5974" w:rsidRDefault="00BF5974" w:rsidP="00BF5974">
      <w:pPr>
        <w:numPr>
          <w:ilvl w:val="0"/>
          <w:numId w:val="39"/>
        </w:numPr>
        <w:ind w:left="851" w:hanging="851"/>
        <w:contextualSpacing/>
        <w:rPr>
          <w:rFonts w:eastAsia="Times New Roman" w:cs="Arial"/>
        </w:rPr>
      </w:pPr>
      <w:r>
        <w:rPr>
          <w:rFonts w:eastAsia="Times New Roman" w:cs="Arial"/>
          <w:b/>
        </w:rPr>
        <w:t>Disciplina Financiera</w:t>
      </w:r>
      <w:r>
        <w:rPr>
          <w:rFonts w:eastAsia="Times New Roman" w:cs="Arial"/>
        </w:rPr>
        <w:t>: La observancia de los principios y las disposiciones en materia de responsabilidad hacendaria y financiera, la aplicación de reglas y criterios en el manejo de recursos y contratación de Obligaciones por los Entes Públicos, que aseguren una gestión responsable y sostenible de sus finanzas públicas, generando condiciones favorables para el crecimiento económico, el empleo y la estabilidad del sistema financiero.</w:t>
      </w:r>
    </w:p>
    <w:p w14:paraId="205F3497" w14:textId="77777777" w:rsidR="00BF5974" w:rsidRDefault="00BF5974" w:rsidP="00BF5974">
      <w:pPr>
        <w:numPr>
          <w:ilvl w:val="0"/>
          <w:numId w:val="39"/>
        </w:numPr>
        <w:ind w:left="851" w:hanging="851"/>
        <w:contextualSpacing/>
        <w:rPr>
          <w:rFonts w:eastAsia="Times New Roman" w:cs="Arial"/>
        </w:rPr>
      </w:pPr>
      <w:r>
        <w:rPr>
          <w:rFonts w:cs="Arial"/>
          <w:b/>
        </w:rPr>
        <w:t>Disponibilidades</w:t>
      </w:r>
      <w:r>
        <w:rPr>
          <w:rFonts w:cs="Arial"/>
        </w:rPr>
        <w:t>: Los recursos provenientes de los ingresos que durante los ejercicios fiscales anteriores no fueron pagados ni devengados para algún rubro del gasto presupuestado, excluyendo a las Transferencias Federales Etiquetadas.</w:t>
      </w:r>
    </w:p>
    <w:p w14:paraId="7F71588C" w14:textId="77777777" w:rsidR="00BF5974" w:rsidRDefault="00BF5974" w:rsidP="00BF5974">
      <w:pPr>
        <w:numPr>
          <w:ilvl w:val="0"/>
          <w:numId w:val="39"/>
        </w:numPr>
        <w:ind w:left="851" w:hanging="851"/>
        <w:contextualSpacing/>
        <w:rPr>
          <w:rFonts w:cs="Arial"/>
        </w:rPr>
      </w:pPr>
      <w:r>
        <w:rPr>
          <w:rFonts w:cs="Arial"/>
          <w:b/>
        </w:rPr>
        <w:t>Economías o Ahorros Presupuestarios</w:t>
      </w:r>
      <w:r>
        <w:rPr>
          <w:rFonts w:cs="Arial"/>
        </w:rPr>
        <w:t>: Los remanentes de recursos públicos del Presupuesto de Egresos del Estado no comprometidos al término del Ejercicio Fiscal; así como los ahorros realizados en un período determinado.</w:t>
      </w:r>
    </w:p>
    <w:p w14:paraId="3A5EEEF1" w14:textId="77777777" w:rsidR="00BF5974" w:rsidRDefault="00BF5974" w:rsidP="00BF5974">
      <w:pPr>
        <w:numPr>
          <w:ilvl w:val="0"/>
          <w:numId w:val="39"/>
        </w:numPr>
        <w:ind w:left="851" w:hanging="851"/>
        <w:contextualSpacing/>
        <w:rPr>
          <w:rFonts w:eastAsia="Times New Roman" w:cs="Arial"/>
        </w:rPr>
      </w:pPr>
      <w:r>
        <w:rPr>
          <w:rFonts w:eastAsia="Times New Roman" w:cs="Arial"/>
          <w:b/>
        </w:rPr>
        <w:t>Entes Públicos</w:t>
      </w:r>
      <w:r>
        <w:rPr>
          <w:rFonts w:eastAsia="Times New Roman" w:cs="Arial"/>
        </w:rPr>
        <w:t>: Los Poderes Ejecutivo, Legislativo y Judicial, los Órganos Autónomos del Estado, los Organismos Descentralizados, Empresas de Participación Estatal Mayoritaria y Fideicomisos del Estado, así como cualquier otro Ente sobre el que el Estado tenga control sobre sus decisiones o acciones.</w:t>
      </w:r>
    </w:p>
    <w:p w14:paraId="67016598" w14:textId="77777777" w:rsidR="00BF5974" w:rsidRDefault="00BF5974" w:rsidP="00BF5974">
      <w:pPr>
        <w:numPr>
          <w:ilvl w:val="0"/>
          <w:numId w:val="39"/>
        </w:numPr>
        <w:ind w:left="851" w:hanging="851"/>
        <w:contextualSpacing/>
        <w:rPr>
          <w:rFonts w:eastAsia="Times New Roman" w:cs="Arial"/>
        </w:rPr>
      </w:pPr>
      <w:r>
        <w:rPr>
          <w:rFonts w:eastAsia="Times New Roman" w:cs="Arial"/>
          <w:b/>
        </w:rPr>
        <w:t>Estado</w:t>
      </w:r>
      <w:r>
        <w:rPr>
          <w:rFonts w:eastAsia="Times New Roman" w:cs="Arial"/>
        </w:rPr>
        <w:t>: El Estado Libre y Soberano de Colima.</w:t>
      </w:r>
    </w:p>
    <w:p w14:paraId="3BA37473" w14:textId="77777777" w:rsidR="00BF5974" w:rsidRDefault="00BF5974" w:rsidP="00BF5974">
      <w:pPr>
        <w:numPr>
          <w:ilvl w:val="0"/>
          <w:numId w:val="39"/>
        </w:numPr>
        <w:tabs>
          <w:tab w:val="left" w:pos="851"/>
        </w:tabs>
        <w:ind w:left="851" w:hanging="851"/>
        <w:contextualSpacing/>
        <w:rPr>
          <w:rFonts w:eastAsia="Times New Roman" w:cs="Arial"/>
        </w:rPr>
      </w:pPr>
      <w:r>
        <w:rPr>
          <w:rFonts w:eastAsia="Times New Roman" w:cs="Arial"/>
          <w:b/>
        </w:rPr>
        <w:t>Fideicomisos Públicos</w:t>
      </w:r>
      <w:r>
        <w:rPr>
          <w:rFonts w:eastAsia="Times New Roman" w:cs="Arial"/>
        </w:rPr>
        <w:t>: Instrumentos que el Gobierno Estatal o alguna de las demás entidades paraestatales constituyen con el propósito de auxiliar al Ejecutivo del Estado en la realización de las funciones que le corresponden o en el impulso de áreas prioritarias del desarrollo, que cuenten con una estructura análoga a las otras entidades y que tengan comités técnicos.</w:t>
      </w:r>
    </w:p>
    <w:p w14:paraId="08B73FC4" w14:textId="77777777" w:rsidR="00BF5974" w:rsidRDefault="00BF5974" w:rsidP="00BF5974">
      <w:pPr>
        <w:numPr>
          <w:ilvl w:val="0"/>
          <w:numId w:val="39"/>
        </w:numPr>
        <w:tabs>
          <w:tab w:val="left" w:pos="851"/>
        </w:tabs>
        <w:ind w:left="851" w:hanging="851"/>
        <w:contextualSpacing/>
        <w:rPr>
          <w:rFonts w:eastAsia="Times New Roman" w:cs="Arial"/>
        </w:rPr>
      </w:pPr>
      <w:r>
        <w:rPr>
          <w:rFonts w:cs="Arial"/>
          <w:b/>
        </w:rPr>
        <w:lastRenderedPageBreak/>
        <w:t>Financiamiento Neto</w:t>
      </w:r>
      <w:r>
        <w:rPr>
          <w:rFonts w:cs="Arial"/>
        </w:rPr>
        <w:t>: La suma de las disposiciones realizadas de un Financiamiento, y las Disponibilidades, menos las amortizaciones efectuadas de la Deuda Pública.</w:t>
      </w:r>
    </w:p>
    <w:p w14:paraId="7915E976" w14:textId="77777777" w:rsidR="00BF5974" w:rsidRDefault="00BF5974" w:rsidP="00BF5974">
      <w:pPr>
        <w:numPr>
          <w:ilvl w:val="0"/>
          <w:numId w:val="39"/>
        </w:numPr>
        <w:tabs>
          <w:tab w:val="left" w:pos="993"/>
        </w:tabs>
        <w:ind w:left="851" w:hanging="851"/>
        <w:contextualSpacing/>
        <w:rPr>
          <w:rFonts w:eastAsia="Times New Roman" w:cs="Arial"/>
        </w:rPr>
      </w:pPr>
      <w:r>
        <w:rPr>
          <w:rFonts w:eastAsia="Times New Roman" w:cs="Arial"/>
          <w:b/>
        </w:rPr>
        <w:t>Gasto Corriente</w:t>
      </w:r>
      <w:r>
        <w:rPr>
          <w:rFonts w:eastAsia="Times New Roman" w:cs="Arial"/>
        </w:rPr>
        <w:t>: Al conjunto de erogaciones que no tienen como contrapartida la creación de activos, sino que constituyen un acto de consumo. Se refiere a los gastos en recursos humanos y de compra de bienes y servicios, necesarios para la administración y operación gubernamental.</w:t>
      </w:r>
    </w:p>
    <w:p w14:paraId="58AA5AF6" w14:textId="77777777" w:rsidR="00BF5974" w:rsidRDefault="00BF5974" w:rsidP="00BF5974">
      <w:pPr>
        <w:numPr>
          <w:ilvl w:val="0"/>
          <w:numId w:val="39"/>
        </w:numPr>
        <w:tabs>
          <w:tab w:val="left" w:pos="851"/>
        </w:tabs>
        <w:ind w:left="851" w:hanging="851"/>
        <w:contextualSpacing/>
        <w:rPr>
          <w:rFonts w:eastAsia="Times New Roman" w:cs="Arial"/>
        </w:rPr>
      </w:pPr>
      <w:r>
        <w:rPr>
          <w:rFonts w:eastAsia="Times New Roman" w:cs="Arial"/>
          <w:b/>
        </w:rPr>
        <w:t>Gasto Federalizado</w:t>
      </w:r>
      <w:r>
        <w:rPr>
          <w:rFonts w:eastAsia="Times New Roman" w:cs="Arial"/>
        </w:rPr>
        <w:t>. El gasto federalizado o descentralizado en México se integra por los recursos públicos que el Gobierno Federal transfiere a los Estados y Municipios del país para que estos últimos afronten sus necesidades de gasto en materia de educación, salud, infraestructura e inversión social, seguridad pública, entre otros rubros.</w:t>
      </w:r>
    </w:p>
    <w:p w14:paraId="1A707C64" w14:textId="77777777" w:rsidR="00BF5974" w:rsidRDefault="00BF5974" w:rsidP="00BF5974">
      <w:pPr>
        <w:numPr>
          <w:ilvl w:val="0"/>
          <w:numId w:val="39"/>
        </w:numPr>
        <w:tabs>
          <w:tab w:val="left" w:pos="851"/>
        </w:tabs>
        <w:ind w:left="851" w:hanging="851"/>
        <w:contextualSpacing/>
        <w:rPr>
          <w:rFonts w:eastAsia="Times New Roman" w:cs="Arial"/>
        </w:rPr>
      </w:pPr>
      <w:r>
        <w:rPr>
          <w:rFonts w:eastAsia="Times New Roman" w:cs="Arial"/>
          <w:b/>
        </w:rPr>
        <w:t>Gasto de Inversión o Capital</w:t>
      </w:r>
      <w:r>
        <w:rPr>
          <w:rFonts w:eastAsia="Times New Roman" w:cs="Arial"/>
        </w:rPr>
        <w:t>: Erogaciones que realizan las Dependencias de la Administración Pública Centralizada y Entidades de la Administración Pública Paraestatal tendientes a adquirir, ampliar, conservar y mejorar sus bienes de capital, incluyendo también la adquisición de acciones y títulos de crédito de terceros, construcción de obras públicas y desarrollo de acciones para promover el incremento de la capacidad productiva de los diversos sectores de la economía.</w:t>
      </w:r>
    </w:p>
    <w:p w14:paraId="6860C6D1" w14:textId="77777777" w:rsidR="00BF5974" w:rsidRDefault="00BF5974" w:rsidP="00BF5974">
      <w:pPr>
        <w:numPr>
          <w:ilvl w:val="0"/>
          <w:numId w:val="39"/>
        </w:numPr>
        <w:tabs>
          <w:tab w:val="left" w:pos="851"/>
        </w:tabs>
        <w:ind w:left="851" w:hanging="851"/>
        <w:contextualSpacing/>
        <w:rPr>
          <w:rFonts w:eastAsia="Times New Roman" w:cs="Arial"/>
        </w:rPr>
      </w:pPr>
      <w:r>
        <w:rPr>
          <w:rFonts w:eastAsia="Times New Roman" w:cs="Arial"/>
          <w:b/>
        </w:rPr>
        <w:t>Gasto Etiquetado</w:t>
      </w:r>
      <w:r>
        <w:rPr>
          <w:rFonts w:eastAsia="Times New Roman" w:cs="Arial"/>
        </w:rPr>
        <w:t>: Las erogaciones que realizan las Entidades Federativas y los Municipios con cargo a las Transferencias federales etiquetadas. En el caso de los Municipios, adicionalmente se incluyen las erogaciones que realizan con recursos de la Entidad Federativa con un destino específico.</w:t>
      </w:r>
    </w:p>
    <w:p w14:paraId="63B82C7F" w14:textId="77777777" w:rsidR="00BF5974" w:rsidRDefault="00BF5974" w:rsidP="00BF5974">
      <w:pPr>
        <w:numPr>
          <w:ilvl w:val="0"/>
          <w:numId w:val="39"/>
        </w:numPr>
        <w:tabs>
          <w:tab w:val="left" w:pos="851"/>
        </w:tabs>
        <w:ind w:left="851" w:hanging="851"/>
        <w:contextualSpacing/>
        <w:rPr>
          <w:rFonts w:eastAsia="Times New Roman" w:cs="Arial"/>
        </w:rPr>
      </w:pPr>
      <w:r>
        <w:rPr>
          <w:rFonts w:eastAsia="Times New Roman" w:cs="Arial"/>
          <w:b/>
        </w:rPr>
        <w:t>Gasto No Etiquetado</w:t>
      </w:r>
      <w:r>
        <w:rPr>
          <w:rFonts w:eastAsia="Times New Roman" w:cs="Arial"/>
        </w:rPr>
        <w:t xml:space="preserve">: Las erogaciones que realizan las Entidades Federativas y los Municipios con cargo a sus Ingresos de libre disposición y Financiamientos. </w:t>
      </w:r>
    </w:p>
    <w:p w14:paraId="2B8FE58C" w14:textId="77777777" w:rsidR="00BF5974" w:rsidRDefault="00BF5974" w:rsidP="00BF5974">
      <w:pPr>
        <w:numPr>
          <w:ilvl w:val="0"/>
          <w:numId w:val="39"/>
        </w:numPr>
        <w:tabs>
          <w:tab w:val="left" w:pos="851"/>
        </w:tabs>
        <w:ind w:left="851" w:hanging="851"/>
        <w:contextualSpacing/>
        <w:rPr>
          <w:rFonts w:eastAsia="Times New Roman" w:cs="Arial"/>
        </w:rPr>
      </w:pPr>
      <w:r>
        <w:rPr>
          <w:rFonts w:eastAsia="Times New Roman" w:cs="Arial"/>
          <w:b/>
        </w:rPr>
        <w:t>Gasto Programable:</w:t>
      </w:r>
      <w:r>
        <w:rPr>
          <w:rFonts w:eastAsia="Times New Roman" w:cs="Arial"/>
        </w:rPr>
        <w:t xml:space="preserve"> Los recursos que se destinan al cumplimiento de los fines y funciones propias del Estado, por lo cual están directamente relacionadas con los programas a cargo de los Ejecutores de Gasto previamente establecidos para alcanzar los objetivos y metas, que tienen un efecto directo en la actividad económica y social.</w:t>
      </w:r>
    </w:p>
    <w:p w14:paraId="4A65E46E" w14:textId="77777777" w:rsidR="00BF5974" w:rsidRDefault="00BF5974" w:rsidP="00BF5974">
      <w:pPr>
        <w:numPr>
          <w:ilvl w:val="0"/>
          <w:numId w:val="39"/>
        </w:numPr>
        <w:tabs>
          <w:tab w:val="left" w:pos="851"/>
        </w:tabs>
        <w:ind w:left="851" w:hanging="851"/>
        <w:contextualSpacing/>
        <w:rPr>
          <w:rFonts w:eastAsia="Times New Roman" w:cs="Arial"/>
        </w:rPr>
      </w:pPr>
      <w:r>
        <w:rPr>
          <w:rFonts w:eastAsia="Times New Roman" w:cs="Arial"/>
          <w:b/>
        </w:rPr>
        <w:t>Gasto No Programable</w:t>
      </w:r>
      <w:r>
        <w:rPr>
          <w:rFonts w:eastAsia="Times New Roman" w:cs="Arial"/>
        </w:rPr>
        <w:t>: Los recursos que se destinan al cumplimiento de los fines y funciones propias del Estado y que por su naturaleza no están asociados a programas específicos.</w:t>
      </w:r>
    </w:p>
    <w:p w14:paraId="41F92F1F" w14:textId="77777777" w:rsidR="00BF5974" w:rsidRDefault="00BF5974" w:rsidP="00BF5974">
      <w:pPr>
        <w:numPr>
          <w:ilvl w:val="0"/>
          <w:numId w:val="39"/>
        </w:numPr>
        <w:ind w:left="851" w:hanging="851"/>
        <w:contextualSpacing/>
        <w:rPr>
          <w:rFonts w:eastAsia="Times New Roman" w:cs="Arial"/>
        </w:rPr>
      </w:pPr>
      <w:r>
        <w:rPr>
          <w:rFonts w:eastAsia="Times New Roman" w:cs="Arial"/>
          <w:b/>
        </w:rPr>
        <w:t>Ingresos de Libre Disposición</w:t>
      </w:r>
      <w:r>
        <w:rPr>
          <w:rFonts w:eastAsia="Times New Roman" w:cs="Arial"/>
        </w:rPr>
        <w:t>: Los ingresos locales y las participaciones federales, así como los recursos que, en su caso, reciban del Fondo de Estabilización de los Ingresos de las Entidades Federativas en los términos del artículo 19 de la Ley Federal de Presupuesto y Responsabilidad Hacendaria y cualquier otro recurso que no esté destinado a un fin específico.</w:t>
      </w:r>
    </w:p>
    <w:p w14:paraId="0F9185F7" w14:textId="77777777" w:rsidR="00BF5974" w:rsidRDefault="00BF5974" w:rsidP="00BF5974">
      <w:pPr>
        <w:numPr>
          <w:ilvl w:val="0"/>
          <w:numId w:val="39"/>
        </w:numPr>
        <w:ind w:left="851" w:hanging="851"/>
        <w:contextualSpacing/>
        <w:rPr>
          <w:rFonts w:eastAsia="Times New Roman" w:cs="Arial"/>
        </w:rPr>
      </w:pPr>
      <w:r>
        <w:rPr>
          <w:rFonts w:eastAsia="Times New Roman" w:cs="Arial"/>
          <w:b/>
        </w:rPr>
        <w:t>Ingresos Excedentes</w:t>
      </w:r>
      <w:r>
        <w:rPr>
          <w:rFonts w:eastAsia="Times New Roman" w:cs="Arial"/>
        </w:rPr>
        <w:t>: Los recursos públicos que durante el Ejercicio Fiscal se obtienen adicionalmente a los aprobados en la Ley de Ingresos del Estado vigente.</w:t>
      </w:r>
    </w:p>
    <w:p w14:paraId="5CCD1611" w14:textId="77777777" w:rsidR="00BF5974" w:rsidRDefault="00BF5974" w:rsidP="00BF5974">
      <w:pPr>
        <w:numPr>
          <w:ilvl w:val="0"/>
          <w:numId w:val="39"/>
        </w:numPr>
        <w:ind w:left="851" w:hanging="851"/>
        <w:contextualSpacing/>
        <w:rPr>
          <w:rFonts w:eastAsia="Times New Roman" w:cs="Arial"/>
        </w:rPr>
      </w:pPr>
      <w:r>
        <w:rPr>
          <w:rFonts w:eastAsia="Times New Roman" w:cs="Arial"/>
          <w:b/>
        </w:rPr>
        <w:t>Ley de Disciplina Financiera</w:t>
      </w:r>
      <w:r>
        <w:rPr>
          <w:rFonts w:eastAsia="Times New Roman" w:cs="Arial"/>
        </w:rPr>
        <w:t>: Ley de Disciplina Financiera de las Entidades Federativas y los Municipios.</w:t>
      </w:r>
    </w:p>
    <w:p w14:paraId="42D47300" w14:textId="77777777" w:rsidR="00BF5974" w:rsidRDefault="00BF5974" w:rsidP="00BF5974">
      <w:pPr>
        <w:numPr>
          <w:ilvl w:val="0"/>
          <w:numId w:val="39"/>
        </w:numPr>
        <w:ind w:left="851" w:hanging="851"/>
        <w:contextualSpacing/>
        <w:rPr>
          <w:rFonts w:eastAsia="Times New Roman" w:cs="Arial"/>
        </w:rPr>
      </w:pPr>
      <w:r>
        <w:rPr>
          <w:rFonts w:eastAsia="Times New Roman" w:cs="Arial"/>
          <w:b/>
        </w:rPr>
        <w:t>Ley General de Contabilidad</w:t>
      </w:r>
      <w:r>
        <w:rPr>
          <w:rFonts w:eastAsia="Times New Roman" w:cs="Arial"/>
        </w:rPr>
        <w:t>: La Ley General de Contabilidad Gubernamental.</w:t>
      </w:r>
    </w:p>
    <w:p w14:paraId="6B4CA542" w14:textId="77777777" w:rsidR="00BF5974" w:rsidRDefault="00BF5974" w:rsidP="00BF5974">
      <w:pPr>
        <w:numPr>
          <w:ilvl w:val="0"/>
          <w:numId w:val="39"/>
        </w:numPr>
        <w:ind w:left="851" w:hanging="851"/>
        <w:contextualSpacing/>
        <w:rPr>
          <w:rFonts w:eastAsia="Times New Roman" w:cs="Arial"/>
        </w:rPr>
      </w:pPr>
      <w:r>
        <w:rPr>
          <w:rFonts w:eastAsia="Times New Roman" w:cs="Arial"/>
          <w:b/>
        </w:rPr>
        <w:lastRenderedPageBreak/>
        <w:t>Ley de Presupuesto</w:t>
      </w:r>
      <w:r>
        <w:rPr>
          <w:rFonts w:eastAsia="Times New Roman" w:cs="Arial"/>
        </w:rPr>
        <w:t>: La Ley de Presupuesto y Responsabilidad Hacendaria del Estado de Colima.</w:t>
      </w:r>
    </w:p>
    <w:p w14:paraId="766CC225" w14:textId="77777777" w:rsidR="00BF5974" w:rsidRDefault="00BF5974" w:rsidP="00BF5974">
      <w:pPr>
        <w:numPr>
          <w:ilvl w:val="0"/>
          <w:numId w:val="39"/>
        </w:numPr>
        <w:ind w:left="851" w:hanging="851"/>
        <w:contextualSpacing/>
        <w:rPr>
          <w:rFonts w:eastAsia="Times New Roman" w:cs="Arial"/>
        </w:rPr>
      </w:pPr>
      <w:r>
        <w:rPr>
          <w:rFonts w:eastAsia="Times New Roman" w:cs="Arial"/>
          <w:b/>
        </w:rPr>
        <w:t>Matriz de Indicadores para Resultados</w:t>
      </w:r>
      <w:r>
        <w:rPr>
          <w:rFonts w:eastAsia="Times New Roman" w:cs="Arial"/>
        </w:rPr>
        <w:t>: La herramienta de planeación estratégica que en forma resumida, sencilla y armónica establece con claridad los objetivos del Programa Presupuestario y su alineación nacional, estatal, municipal y sectorial; incorpora los indicadores que miden los objetivos y resultados esperados; identifica los medios para obtener y verificar la información de los indicadores; describe los bienes y servicios a la sociedad, así como las actividades e insumos para producirlos; e incluye supuestos que son factores externos al programa que influyen en el cumplimiento de los objetivos.</w:t>
      </w:r>
    </w:p>
    <w:p w14:paraId="4560F84E" w14:textId="77777777" w:rsidR="00BF5974" w:rsidRDefault="00BF5974" w:rsidP="00BF5974">
      <w:pPr>
        <w:numPr>
          <w:ilvl w:val="0"/>
          <w:numId w:val="39"/>
        </w:numPr>
        <w:ind w:left="851" w:hanging="851"/>
        <w:contextualSpacing/>
        <w:rPr>
          <w:rFonts w:eastAsia="Times New Roman" w:cs="Arial"/>
        </w:rPr>
      </w:pPr>
      <w:r>
        <w:rPr>
          <w:rFonts w:eastAsia="Times New Roman" w:cs="Arial"/>
          <w:b/>
        </w:rPr>
        <w:t>Órganos Autónomos del Estado:</w:t>
      </w:r>
      <w:r>
        <w:rPr>
          <w:rFonts w:eastAsia="Times New Roman" w:cs="Arial"/>
        </w:rPr>
        <w:t xml:space="preserve"> Las instituciones que expresamente se definen como tales por el artículo 22 de la Constitución Política del Estado Libre y Soberano de Colima.</w:t>
      </w:r>
    </w:p>
    <w:p w14:paraId="3422B3B6" w14:textId="77777777" w:rsidR="00BF5974" w:rsidRDefault="00BF5974" w:rsidP="00BF5974">
      <w:pPr>
        <w:numPr>
          <w:ilvl w:val="0"/>
          <w:numId w:val="39"/>
        </w:numPr>
        <w:tabs>
          <w:tab w:val="left" w:pos="851"/>
        </w:tabs>
        <w:ind w:left="851" w:hanging="851"/>
        <w:contextualSpacing/>
        <w:rPr>
          <w:rFonts w:eastAsia="Times New Roman" w:cs="Arial"/>
        </w:rPr>
      </w:pPr>
      <w:r>
        <w:rPr>
          <w:rFonts w:eastAsia="Times New Roman" w:cs="Arial"/>
          <w:b/>
        </w:rPr>
        <w:t>Partida</w:t>
      </w:r>
      <w:r>
        <w:rPr>
          <w:rFonts w:eastAsia="Times New Roman" w:cs="Arial"/>
        </w:rPr>
        <w:t>: El nivel de agregación más específico en el cual se describen las expresiones concretas y detalladas de los bienes y servicios que se adquieren y se compone de: a) Partida Genérica, b) Partida Específica.</w:t>
      </w:r>
    </w:p>
    <w:p w14:paraId="32550BC2" w14:textId="77777777" w:rsidR="00BF5974" w:rsidRDefault="00BF5974" w:rsidP="00BF5974">
      <w:pPr>
        <w:numPr>
          <w:ilvl w:val="0"/>
          <w:numId w:val="39"/>
        </w:numPr>
        <w:ind w:left="851" w:hanging="851"/>
        <w:contextualSpacing/>
        <w:rPr>
          <w:rFonts w:eastAsia="Times New Roman" w:cs="Arial"/>
        </w:rPr>
      </w:pPr>
      <w:r>
        <w:rPr>
          <w:rFonts w:eastAsia="Times New Roman" w:cs="Arial"/>
          <w:b/>
        </w:rPr>
        <w:t>Plan Estatal</w:t>
      </w:r>
      <w:r>
        <w:rPr>
          <w:rFonts w:eastAsia="Times New Roman" w:cs="Arial"/>
        </w:rPr>
        <w:t>: El Plan Estatal de Desarrollo vigente.</w:t>
      </w:r>
    </w:p>
    <w:p w14:paraId="03B0E5A0" w14:textId="77777777" w:rsidR="00BF5974" w:rsidRDefault="00BF5974" w:rsidP="00BF5974">
      <w:pPr>
        <w:numPr>
          <w:ilvl w:val="0"/>
          <w:numId w:val="39"/>
        </w:numPr>
        <w:ind w:left="851" w:hanging="851"/>
        <w:contextualSpacing/>
        <w:rPr>
          <w:rFonts w:eastAsia="Times New Roman" w:cs="Arial"/>
        </w:rPr>
      </w:pPr>
      <w:r>
        <w:rPr>
          <w:rFonts w:eastAsia="Times New Roman" w:cs="Arial"/>
          <w:b/>
        </w:rPr>
        <w:t>Poder Judicial</w:t>
      </w:r>
      <w:r>
        <w:rPr>
          <w:rFonts w:eastAsia="Times New Roman" w:cs="Arial"/>
        </w:rPr>
        <w:t>: El Poder Judicial del Estado de Colima.</w:t>
      </w:r>
    </w:p>
    <w:p w14:paraId="3465DDED" w14:textId="77777777" w:rsidR="00BF5974" w:rsidRDefault="00BF5974" w:rsidP="00BF5974">
      <w:pPr>
        <w:numPr>
          <w:ilvl w:val="0"/>
          <w:numId w:val="39"/>
        </w:numPr>
        <w:ind w:left="851" w:hanging="851"/>
        <w:contextualSpacing/>
        <w:rPr>
          <w:rFonts w:eastAsia="Times New Roman" w:cs="Arial"/>
        </w:rPr>
      </w:pPr>
      <w:r>
        <w:rPr>
          <w:rFonts w:eastAsia="Times New Roman" w:cs="Arial"/>
          <w:b/>
        </w:rPr>
        <w:t>Programa</w:t>
      </w:r>
      <w:r>
        <w:rPr>
          <w:rFonts w:eastAsia="Times New Roman" w:cs="Arial"/>
        </w:rPr>
        <w:t>: Nivel o categoría que contiene un conjunto de acciones afines y coherentes a través de las cuales se pretende alcanzar objetivos y metas previamente determinadas por la Planeación, para lo cual se requiere combinar recursos: humanos, tecnológicos, materiales, naturales, financieros; contienen un conjunto interdependiente de proyectos los cuales especifican tiempo y espacio en el que se van a desarrollar y atribuye responsabilidades a una o varias unidades ejecutoras debidamente coordinadas.</w:t>
      </w:r>
    </w:p>
    <w:p w14:paraId="42FFACC8" w14:textId="4B1F35A4" w:rsidR="00BF5974" w:rsidRDefault="00807CE2" w:rsidP="00BF5974">
      <w:pPr>
        <w:numPr>
          <w:ilvl w:val="0"/>
          <w:numId w:val="39"/>
        </w:numPr>
        <w:ind w:left="851" w:hanging="851"/>
        <w:contextualSpacing/>
        <w:rPr>
          <w:rFonts w:eastAsia="Times New Roman" w:cs="Arial"/>
        </w:rPr>
      </w:pPr>
      <w:r>
        <w:rPr>
          <w:rFonts w:eastAsia="Times New Roman" w:cs="Arial"/>
          <w:b/>
        </w:rPr>
        <w:t>Secretaría:</w:t>
      </w:r>
      <w:r w:rsidR="00BF5974">
        <w:rPr>
          <w:rFonts w:eastAsia="Times New Roman" w:cs="Arial"/>
          <w:color w:val="FF0000"/>
        </w:rPr>
        <w:t xml:space="preserve"> </w:t>
      </w:r>
      <w:r w:rsidR="00BF5974">
        <w:rPr>
          <w:rFonts w:eastAsia="Times New Roman" w:cs="Arial"/>
        </w:rPr>
        <w:t>La Secretaría de Planeación, Finanzas y Administración.</w:t>
      </w:r>
    </w:p>
    <w:p w14:paraId="65944CC5" w14:textId="62C49B90" w:rsidR="00BF5974" w:rsidRDefault="00807CE2" w:rsidP="00BF5974">
      <w:pPr>
        <w:numPr>
          <w:ilvl w:val="0"/>
          <w:numId w:val="39"/>
        </w:numPr>
        <w:ind w:left="851" w:hanging="851"/>
        <w:contextualSpacing/>
        <w:rPr>
          <w:rFonts w:eastAsia="Times New Roman" w:cs="Arial"/>
        </w:rPr>
      </w:pPr>
      <w:r>
        <w:rPr>
          <w:rFonts w:eastAsia="Times New Roman" w:cs="Arial"/>
          <w:b/>
        </w:rPr>
        <w:t>Secretari</w:t>
      </w:r>
      <w:r w:rsidR="00C7015D">
        <w:rPr>
          <w:rFonts w:eastAsia="Times New Roman" w:cs="Arial"/>
          <w:b/>
        </w:rPr>
        <w:t>o</w:t>
      </w:r>
      <w:r>
        <w:rPr>
          <w:rFonts w:eastAsia="Times New Roman" w:cs="Arial"/>
          <w:b/>
        </w:rPr>
        <w:t>:</w:t>
      </w:r>
      <w:r w:rsidR="00BF5974">
        <w:rPr>
          <w:rFonts w:eastAsia="Times New Roman" w:cs="Arial"/>
          <w:b/>
        </w:rPr>
        <w:t xml:space="preserve"> </w:t>
      </w:r>
      <w:r w:rsidR="00BF5974">
        <w:rPr>
          <w:rFonts w:eastAsia="Times New Roman" w:cs="Arial"/>
        </w:rPr>
        <w:t>A la persona titular de la Secretaría de Planeación, Finanzas y Administración.</w:t>
      </w:r>
    </w:p>
    <w:p w14:paraId="055212C9" w14:textId="77777777" w:rsidR="00BF5974" w:rsidRDefault="00BF5974" w:rsidP="00BF5974">
      <w:pPr>
        <w:numPr>
          <w:ilvl w:val="0"/>
          <w:numId w:val="39"/>
        </w:numPr>
        <w:ind w:left="851" w:hanging="851"/>
        <w:contextualSpacing/>
        <w:rPr>
          <w:rFonts w:eastAsia="Times New Roman" w:cs="Arial"/>
        </w:rPr>
      </w:pPr>
      <w:r>
        <w:rPr>
          <w:rFonts w:eastAsia="Times New Roman" w:cs="Arial"/>
          <w:b/>
        </w:rPr>
        <w:t>Subsidios</w:t>
      </w:r>
      <w:r>
        <w:rPr>
          <w:rFonts w:eastAsia="Times New Roman" w:cs="Arial"/>
        </w:rPr>
        <w:t>: Las asignaciones de recursos públicos previstas en el Presupuesto de Egresos que, a través de las Dependencias de la Administración Pública Centralizada, Entidades de la Administración Pública Paraestatal y Órganos Autónomos del Estado, se otorgan a los diferentes sectores de la sociedad o a organizaciones públicas y privadas para fomentar el desarrollo de actividades sociales o económicas prioritarias y de interés general.</w:t>
      </w:r>
    </w:p>
    <w:p w14:paraId="38A76E1B" w14:textId="77777777" w:rsidR="00BF5974" w:rsidRDefault="00BF5974" w:rsidP="00BF5974">
      <w:pPr>
        <w:numPr>
          <w:ilvl w:val="0"/>
          <w:numId w:val="39"/>
        </w:numPr>
        <w:ind w:left="851" w:hanging="851"/>
        <w:contextualSpacing/>
        <w:rPr>
          <w:rFonts w:eastAsia="Times New Roman" w:cs="Arial"/>
        </w:rPr>
      </w:pPr>
      <w:r>
        <w:rPr>
          <w:rFonts w:eastAsia="Times New Roman" w:cs="Arial"/>
          <w:b/>
        </w:rPr>
        <w:t>Titular del Poder Ejecutivo</w:t>
      </w:r>
      <w:r>
        <w:rPr>
          <w:rFonts w:eastAsia="Times New Roman" w:cs="Arial"/>
        </w:rPr>
        <w:t>: El Gobernador (a) Constitucional del Estado Libre y Soberano de Colima.</w:t>
      </w:r>
    </w:p>
    <w:p w14:paraId="0A37C76C" w14:textId="77777777" w:rsidR="00BF5974" w:rsidRDefault="00BF5974" w:rsidP="00BF5974">
      <w:pPr>
        <w:numPr>
          <w:ilvl w:val="0"/>
          <w:numId w:val="39"/>
        </w:numPr>
        <w:ind w:left="851" w:hanging="851"/>
        <w:contextualSpacing/>
        <w:rPr>
          <w:rFonts w:eastAsia="Times New Roman" w:cs="Arial"/>
        </w:rPr>
      </w:pPr>
      <w:r>
        <w:rPr>
          <w:rFonts w:eastAsia="Times New Roman" w:cs="Arial"/>
          <w:b/>
        </w:rPr>
        <w:t>Transferencias</w:t>
      </w:r>
      <w:r>
        <w:rPr>
          <w:rFonts w:eastAsia="Times New Roman" w:cs="Arial"/>
        </w:rPr>
        <w:t>: los recursos públicos previstos en el Presupuesto de Egresos para el cumplimiento de los objetivos y metas de los programas y la prestación de los bienes y servicios a cargo de los Entes Públicos.</w:t>
      </w:r>
    </w:p>
    <w:p w14:paraId="18EA23E6" w14:textId="77777777" w:rsidR="00BF5974" w:rsidRDefault="00BF5974" w:rsidP="00BF5974">
      <w:pPr>
        <w:numPr>
          <w:ilvl w:val="0"/>
          <w:numId w:val="39"/>
        </w:numPr>
        <w:ind w:left="851" w:hanging="851"/>
        <w:contextualSpacing/>
        <w:rPr>
          <w:rFonts w:eastAsia="Times New Roman" w:cs="Arial"/>
          <w:strike/>
        </w:rPr>
      </w:pPr>
      <w:r>
        <w:rPr>
          <w:rFonts w:eastAsia="Times New Roman" w:cs="Arial"/>
          <w:b/>
        </w:rPr>
        <w:t>Transferencias Federales Etiquetadas</w:t>
      </w:r>
      <w:r>
        <w:rPr>
          <w:rFonts w:eastAsia="Times New Roman" w:cs="Arial"/>
        </w:rPr>
        <w:t xml:space="preserve">: Los recursos que reciben de la Federación el Gobierno del Estado y los Municipios, que están destinados a un fin específico, entre los cuales se encuentran las aportaciones federales a que se </w:t>
      </w:r>
      <w:r>
        <w:rPr>
          <w:rFonts w:eastAsia="Times New Roman" w:cs="Arial"/>
        </w:rPr>
        <w:lastRenderedPageBreak/>
        <w:t xml:space="preserve">refiere el Capítulo V de la Ley de Coordinación Fiscal, la Cuota Social y la Aportación Solidaria Federal previstas en el Título Tercero Bis de la Ley General de Salud, los Subsidios, Convenios de Reasignación y demás recursos con destino específico que se otorguen en términos de la Ley Federal de Presupuesto y Responsabilidad Hacendaria y el Presupuesto de Egresos de la Federación. </w:t>
      </w:r>
    </w:p>
    <w:p w14:paraId="696FE1BA" w14:textId="77777777" w:rsidR="00BF5974" w:rsidRDefault="00BF5974" w:rsidP="00BF5974">
      <w:pPr>
        <w:numPr>
          <w:ilvl w:val="0"/>
          <w:numId w:val="39"/>
        </w:numPr>
        <w:ind w:left="851" w:hanging="851"/>
        <w:contextualSpacing/>
        <w:rPr>
          <w:rFonts w:eastAsia="Times New Roman" w:cs="Arial"/>
        </w:rPr>
      </w:pPr>
      <w:r>
        <w:rPr>
          <w:rFonts w:eastAsia="Times New Roman" w:cs="Arial"/>
          <w:b/>
        </w:rPr>
        <w:t>Unidad Presupuestal</w:t>
      </w:r>
      <w:r>
        <w:rPr>
          <w:rFonts w:eastAsia="Times New Roman" w:cs="Arial"/>
        </w:rPr>
        <w:t>: Las Dependencias de la Administración Pública Centralizada, Entidades de la Administración Pública Paraestatal y Órganos Autónomos del Estado que tiene a su cargo la administración de los recursos financieros, humanos, materiales y los servicios generales y sociales, a fin de cumplir con eficacia y eficiencia la misión que le ha sido conferida en las disposiciones legales y reglamentarias.</w:t>
      </w:r>
    </w:p>
    <w:p w14:paraId="04339F19" w14:textId="77777777" w:rsidR="00BF5974" w:rsidRDefault="00BF5974" w:rsidP="00BF5974">
      <w:pPr>
        <w:numPr>
          <w:ilvl w:val="0"/>
          <w:numId w:val="39"/>
        </w:numPr>
        <w:ind w:left="851" w:hanging="851"/>
        <w:contextualSpacing/>
        <w:rPr>
          <w:rFonts w:cs="Arial"/>
          <w:lang w:val="es-ES"/>
        </w:rPr>
      </w:pPr>
      <w:r>
        <w:rPr>
          <w:rFonts w:eastAsia="Times New Roman" w:cs="Arial"/>
          <w:b/>
        </w:rPr>
        <w:t>Unidad Responsable</w:t>
      </w:r>
      <w:r>
        <w:rPr>
          <w:rFonts w:eastAsia="Times New Roman" w:cs="Arial"/>
        </w:rPr>
        <w:t>: Cada una de las Unidades Administrativas subordinadas a las Unidades Presupuestales, en las que se desconcentran parte del ejercicio presupuestal y se les encomienda la ejecución de actividades, programas y proyectos para el cumplimiento de los objetivos, y metas establecidos en el Plan Estatal de Desarrollo.</w:t>
      </w:r>
    </w:p>
    <w:p w14:paraId="4B6B4598" w14:textId="77777777" w:rsidR="00BF5974" w:rsidRDefault="00BF5974" w:rsidP="00BF5974">
      <w:pPr>
        <w:numPr>
          <w:ilvl w:val="0"/>
          <w:numId w:val="39"/>
        </w:numPr>
        <w:ind w:left="851" w:hanging="851"/>
        <w:contextualSpacing/>
        <w:rPr>
          <w:rFonts w:cs="Arial"/>
          <w:lang w:val="es-ES"/>
        </w:rPr>
      </w:pPr>
      <w:r>
        <w:rPr>
          <w:rFonts w:cs="Arial"/>
          <w:lang w:val="es-ES"/>
        </w:rPr>
        <w:t xml:space="preserve">Cualquier otro término no contemplado en el presente artículo, se deberá entender conforme al glosario de la Ley General de Contabilidad, Ley de Disciplina Financiera, </w:t>
      </w:r>
      <w:r>
        <w:rPr>
          <w:rFonts w:cs="Arial"/>
        </w:rPr>
        <w:t>Ley de Presupuesto</w:t>
      </w:r>
      <w:r>
        <w:rPr>
          <w:rFonts w:cs="Arial"/>
          <w:lang w:val="es-ES"/>
        </w:rPr>
        <w:t>, y las demás leyes de la materia.</w:t>
      </w:r>
    </w:p>
    <w:p w14:paraId="6D59A4F1" w14:textId="77777777" w:rsidR="00BF5974" w:rsidRDefault="00BF5974" w:rsidP="00BF5974">
      <w:pPr>
        <w:tabs>
          <w:tab w:val="left" w:pos="993"/>
        </w:tabs>
        <w:rPr>
          <w:rFonts w:cs="Arial"/>
          <w:lang w:val="es-ES"/>
        </w:rPr>
      </w:pPr>
    </w:p>
    <w:p w14:paraId="2319B1C1" w14:textId="77777777" w:rsidR="00BF5974" w:rsidRDefault="00BF5974" w:rsidP="00BF5974">
      <w:pPr>
        <w:rPr>
          <w:rFonts w:cs="Arial"/>
          <w:lang w:val="es-ES"/>
        </w:rPr>
      </w:pPr>
      <w:r>
        <w:rPr>
          <w:rFonts w:cs="Arial"/>
          <w:b/>
          <w:lang w:val="es-ES"/>
        </w:rPr>
        <w:t>Artículo 3.</w:t>
      </w:r>
      <w:r>
        <w:rPr>
          <w:rFonts w:cs="Arial"/>
          <w:lang w:val="es-ES"/>
        </w:rPr>
        <w:t xml:space="preserve"> En la celebración y suscripción de Convenios o Acuerdos en los que se comprometa el patrimonio económico, o el erario del Estado, será obligatoria la intervención de la Secretaría. </w:t>
      </w:r>
    </w:p>
    <w:p w14:paraId="2BC50ADD" w14:textId="77777777" w:rsidR="00BF5974" w:rsidRDefault="00BF5974" w:rsidP="00BF5974">
      <w:pPr>
        <w:rPr>
          <w:rFonts w:cs="Arial"/>
          <w:lang w:val="es-ES"/>
        </w:rPr>
      </w:pPr>
    </w:p>
    <w:p w14:paraId="413E7A48" w14:textId="77777777" w:rsidR="00BF5974" w:rsidRDefault="00BF5974" w:rsidP="00BF5974">
      <w:pPr>
        <w:rPr>
          <w:rFonts w:cs="Arial"/>
          <w:lang w:val="es-ES"/>
        </w:rPr>
      </w:pPr>
      <w:r>
        <w:rPr>
          <w:rFonts w:cs="Arial"/>
          <w:lang w:val="es-ES"/>
        </w:rPr>
        <w:t>Los titulares de Administración Pública Centralizada y de la Administración Pública Paraestatal deberán precisar las fuentes de financiamiento de los recursos que sustentarán dichos Convenios o Acuerdos y deberán darlas a conocer con oportunidad a la Secretaría.</w:t>
      </w:r>
    </w:p>
    <w:p w14:paraId="14E5E643" w14:textId="77777777" w:rsidR="00BF5974" w:rsidRDefault="00BF5974" w:rsidP="00BF5974">
      <w:pPr>
        <w:rPr>
          <w:rFonts w:cs="Arial"/>
          <w:lang w:val="es-ES"/>
        </w:rPr>
      </w:pPr>
    </w:p>
    <w:p w14:paraId="52BF6477" w14:textId="77777777" w:rsidR="00BF5974" w:rsidRDefault="00BF5974" w:rsidP="00BF5974">
      <w:pPr>
        <w:rPr>
          <w:rFonts w:cs="Arial"/>
          <w:lang w:val="es-ES"/>
        </w:rPr>
      </w:pPr>
      <w:r>
        <w:rPr>
          <w:rFonts w:cs="Arial"/>
          <w:lang w:val="es-ES"/>
        </w:rPr>
        <w:t xml:space="preserve">Asimismo, deberán informar oportunamente a la Secretaría, la celebración de convenios, contratos o cualquier otro instrumento jurídico, mediante los cuales se comprometan recursos públicos. </w:t>
      </w:r>
    </w:p>
    <w:p w14:paraId="137E180D" w14:textId="77777777" w:rsidR="00BF5974" w:rsidRDefault="00BF5974" w:rsidP="00BF5974">
      <w:pPr>
        <w:rPr>
          <w:rFonts w:cs="Arial"/>
          <w:lang w:val="es-ES"/>
        </w:rPr>
      </w:pPr>
    </w:p>
    <w:p w14:paraId="676D76FF" w14:textId="77777777" w:rsidR="00BF5974" w:rsidRDefault="00BF5974" w:rsidP="00BF5974">
      <w:pPr>
        <w:rPr>
          <w:rFonts w:cs="Arial"/>
          <w:lang w:val="es-ES"/>
        </w:rPr>
      </w:pPr>
      <w:r>
        <w:rPr>
          <w:rFonts w:cs="Arial"/>
          <w:lang w:val="es-ES"/>
        </w:rPr>
        <w:t>Los compromisos contraídos por la Administración Pública Centralizada y la Administración Pública Paraestatal, se pagarán con cargo al Presupuesto de Egresos del Estado para el Ejercicio Fiscal 2025, siempre que en éste se haya previsto la suficiencia presupuestaria.</w:t>
      </w:r>
    </w:p>
    <w:p w14:paraId="6D7B1164" w14:textId="77777777" w:rsidR="00BF5974" w:rsidRDefault="00BF5974" w:rsidP="00BF5974">
      <w:pPr>
        <w:rPr>
          <w:rFonts w:cs="Arial"/>
          <w:lang w:val="es-ES"/>
        </w:rPr>
      </w:pPr>
    </w:p>
    <w:p w14:paraId="255713BA" w14:textId="77777777" w:rsidR="00BF5974" w:rsidRDefault="00BF5974" w:rsidP="00BF5974">
      <w:pPr>
        <w:rPr>
          <w:rFonts w:cs="Arial"/>
          <w:lang w:val="es-ES"/>
        </w:rPr>
      </w:pPr>
      <w:r>
        <w:rPr>
          <w:rFonts w:cs="Arial"/>
          <w:b/>
          <w:lang w:val="es-ES"/>
        </w:rPr>
        <w:t>Artículo 4.</w:t>
      </w:r>
      <w:r>
        <w:rPr>
          <w:rFonts w:cs="Arial"/>
          <w:lang w:val="es-ES"/>
        </w:rPr>
        <w:t xml:space="preserve">  Los Titulares de los Entes Públicos, en el ejercicio de sus presupuestos aprobados, sin menoscabo de las responsabilidades y atribuciones que les correspondan, serán directamente responsables de lo siguiente:</w:t>
      </w:r>
    </w:p>
    <w:p w14:paraId="189C9DB7" w14:textId="77777777" w:rsidR="00BF5974" w:rsidRDefault="00BF5974" w:rsidP="00BF5974">
      <w:pPr>
        <w:rPr>
          <w:rFonts w:cs="Arial"/>
          <w:lang w:val="es-ES"/>
        </w:rPr>
      </w:pPr>
    </w:p>
    <w:p w14:paraId="4B5B3279" w14:textId="77777777" w:rsidR="00BF5974" w:rsidRDefault="00BF5974" w:rsidP="00BF5974">
      <w:pPr>
        <w:numPr>
          <w:ilvl w:val="0"/>
          <w:numId w:val="40"/>
        </w:numPr>
        <w:rPr>
          <w:rFonts w:cs="Arial"/>
          <w:lang w:val="es-ES"/>
        </w:rPr>
      </w:pPr>
      <w:r>
        <w:rPr>
          <w:rFonts w:cs="Arial"/>
          <w:lang w:val="es-ES"/>
        </w:rPr>
        <w:t xml:space="preserve">El ejercicio del presupuesto se apegará a los principios de eficiencia, eficacia, economía, transparencia y honradez para satisfacer los objetivos a los que están </w:t>
      </w:r>
      <w:r>
        <w:rPr>
          <w:rFonts w:cs="Arial"/>
          <w:lang w:val="es-ES"/>
        </w:rPr>
        <w:lastRenderedPageBreak/>
        <w:t xml:space="preserve">destinados, </w:t>
      </w:r>
      <w:r>
        <w:rPr>
          <w:rFonts w:eastAsia="Times New Roman" w:cs="Arial"/>
        </w:rPr>
        <w:t xml:space="preserve">en apego a lo previsto en los artículos 134 de la Constitución Política de los Estados Unidos Mexicanos, 107 y 108 de la Constitución Política del Estado Libre y Soberano de Colima, y en lo dispuesto por la Ley de Disciplina Financiera, </w:t>
      </w:r>
      <w:r>
        <w:rPr>
          <w:rFonts w:cs="Arial"/>
          <w:lang w:val="es-ES"/>
        </w:rPr>
        <w:t>con base en lo siguiente:</w:t>
      </w:r>
    </w:p>
    <w:p w14:paraId="04AC2041" w14:textId="77777777" w:rsidR="00BF5974" w:rsidRDefault="00BF5974" w:rsidP="00BF5974">
      <w:pPr>
        <w:numPr>
          <w:ilvl w:val="0"/>
          <w:numId w:val="41"/>
        </w:numPr>
        <w:ind w:left="1134"/>
        <w:contextualSpacing/>
        <w:rPr>
          <w:rFonts w:cs="Arial"/>
          <w:lang w:val="es-ES"/>
        </w:rPr>
      </w:pPr>
      <w:r>
        <w:rPr>
          <w:rFonts w:cs="Arial"/>
          <w:lang w:val="es-ES"/>
        </w:rPr>
        <w:t>Priorizar la asignación de los recursos a los programas, obras y acciones de alto impacto y beneficio social que incidan en el desarrollo económico y social.</w:t>
      </w:r>
    </w:p>
    <w:p w14:paraId="5A5E1E5A" w14:textId="77777777" w:rsidR="00BF5974" w:rsidRDefault="00BF5974" w:rsidP="00BF5974">
      <w:pPr>
        <w:numPr>
          <w:ilvl w:val="0"/>
          <w:numId w:val="41"/>
        </w:numPr>
        <w:ind w:left="1134"/>
        <w:contextualSpacing/>
        <w:rPr>
          <w:rFonts w:cs="Arial"/>
          <w:lang w:val="es-ES"/>
        </w:rPr>
      </w:pPr>
      <w:r>
        <w:rPr>
          <w:rFonts w:cs="Arial"/>
          <w:lang w:val="es-ES"/>
        </w:rPr>
        <w:t>Garantizar la elevación de los niveles de calidad de vida de la población.</w:t>
      </w:r>
    </w:p>
    <w:p w14:paraId="67BF3A22" w14:textId="77777777" w:rsidR="00BF5974" w:rsidRDefault="00BF5974" w:rsidP="00BF5974">
      <w:pPr>
        <w:numPr>
          <w:ilvl w:val="0"/>
          <w:numId w:val="41"/>
        </w:numPr>
        <w:ind w:left="1134"/>
        <w:contextualSpacing/>
        <w:rPr>
          <w:rFonts w:cs="Arial"/>
          <w:lang w:val="es-ES"/>
        </w:rPr>
      </w:pPr>
      <w:r>
        <w:rPr>
          <w:rFonts w:cs="Arial"/>
          <w:lang w:val="es-ES"/>
        </w:rPr>
        <w:t>Identificación de la población objetivo, procurando atender a la menor de ingresos.</w:t>
      </w:r>
    </w:p>
    <w:p w14:paraId="2E262995" w14:textId="77777777" w:rsidR="00BF5974" w:rsidRDefault="00BF5974" w:rsidP="00BF5974">
      <w:pPr>
        <w:numPr>
          <w:ilvl w:val="0"/>
          <w:numId w:val="41"/>
        </w:numPr>
        <w:ind w:left="1134"/>
        <w:contextualSpacing/>
        <w:rPr>
          <w:rFonts w:cs="Arial"/>
          <w:lang w:val="es-ES"/>
        </w:rPr>
      </w:pPr>
      <w:r>
        <w:rPr>
          <w:rFonts w:cs="Arial"/>
          <w:lang w:val="es-ES"/>
        </w:rPr>
        <w:t>Consolidar la estructura presupuestaria que facilite la ejecución de los programas.</w:t>
      </w:r>
    </w:p>
    <w:p w14:paraId="0915FCF1" w14:textId="77777777" w:rsidR="00BF5974" w:rsidRDefault="00BF5974" w:rsidP="00BF5974">
      <w:pPr>
        <w:numPr>
          <w:ilvl w:val="0"/>
          <w:numId w:val="41"/>
        </w:numPr>
        <w:ind w:left="1134"/>
        <w:contextualSpacing/>
        <w:rPr>
          <w:rFonts w:cs="Arial"/>
          <w:lang w:val="es-ES"/>
        </w:rPr>
      </w:pPr>
      <w:r>
        <w:rPr>
          <w:rFonts w:cs="Arial"/>
          <w:lang w:val="es-ES"/>
        </w:rPr>
        <w:t>Afianzar un presupuesto basado en resultados.</w:t>
      </w:r>
    </w:p>
    <w:p w14:paraId="2B956BCA" w14:textId="77777777" w:rsidR="00BF5974" w:rsidRDefault="00BF5974" w:rsidP="00BF5974">
      <w:pPr>
        <w:numPr>
          <w:ilvl w:val="0"/>
          <w:numId w:val="40"/>
        </w:numPr>
        <w:rPr>
          <w:rFonts w:cs="Arial"/>
          <w:lang w:val="es-ES"/>
        </w:rPr>
      </w:pPr>
      <w:r>
        <w:rPr>
          <w:rFonts w:cs="Arial"/>
          <w:lang w:val="es-ES"/>
        </w:rPr>
        <w:t xml:space="preserve">En la ejecución del gasto público deberán considerar como único eje articulador el Plan Estatal, en apego a lo previsto en el artículo 12 de la Ley de Planeación Democrática para el Desarrollo del Estado de Colima. </w:t>
      </w:r>
    </w:p>
    <w:p w14:paraId="1E54EDBD" w14:textId="77777777" w:rsidR="00BF5974" w:rsidRDefault="00BF5974" w:rsidP="00BF5974">
      <w:pPr>
        <w:rPr>
          <w:rFonts w:eastAsia="Times New Roman" w:cs="Arial"/>
        </w:rPr>
      </w:pPr>
    </w:p>
    <w:p w14:paraId="3B313ED5" w14:textId="77777777" w:rsidR="00BF5974" w:rsidRDefault="00BF5974" w:rsidP="00BF5974">
      <w:pPr>
        <w:rPr>
          <w:rFonts w:cs="Arial"/>
          <w:lang w:val="es-ES"/>
        </w:rPr>
      </w:pPr>
      <w:r>
        <w:rPr>
          <w:rFonts w:cs="Arial"/>
          <w:b/>
          <w:lang w:val="es-ES"/>
        </w:rPr>
        <w:t xml:space="preserve">Artículo 5. </w:t>
      </w:r>
      <w:r>
        <w:rPr>
          <w:rFonts w:cs="Arial"/>
          <w:lang w:val="es-ES"/>
        </w:rPr>
        <w:t>Toda propuesta de aumento o creación de gasto del Presupuesto de Egresos, deberá acompañarse con la correspondiente fuente de ingresos distinta al Financiamiento, o compensarse con reducciones en otras previsiones de gasto.</w:t>
      </w:r>
    </w:p>
    <w:p w14:paraId="6B443CAE" w14:textId="77777777" w:rsidR="00BF5974" w:rsidRDefault="00BF5974" w:rsidP="00BF5974">
      <w:pPr>
        <w:rPr>
          <w:rFonts w:cs="Arial"/>
          <w:lang w:val="es-ES"/>
        </w:rPr>
      </w:pPr>
    </w:p>
    <w:p w14:paraId="33D8CE1B" w14:textId="77777777" w:rsidR="00BF5974" w:rsidRPr="00702C1C" w:rsidRDefault="00BF5974" w:rsidP="00BF5974">
      <w:pPr>
        <w:rPr>
          <w:rFonts w:cs="Arial"/>
          <w:lang w:val="es-ES"/>
        </w:rPr>
      </w:pPr>
      <w:r>
        <w:rPr>
          <w:rFonts w:cs="Arial"/>
          <w:b/>
          <w:lang w:val="es-ES"/>
        </w:rPr>
        <w:t xml:space="preserve">Artículo 6. </w:t>
      </w:r>
      <w:r>
        <w:rPr>
          <w:rFonts w:cs="Arial"/>
          <w:lang w:val="es-ES"/>
        </w:rPr>
        <w:t xml:space="preserve">La Secretaría realizará una estimación del impacto presupuestario de las iniciativas de Ley o Decreto que la persona Titular del Poder Ejecutivo presente a la consideración del Congreso del Estado, así como aquellas que el H. Congreso del Estado le solicite. Asimismo, realizar estimaciones sobre el impacto presupuestario de las </w:t>
      </w:r>
      <w:r w:rsidRPr="00702C1C">
        <w:rPr>
          <w:rFonts w:cs="Arial"/>
          <w:lang w:val="es-ES"/>
        </w:rPr>
        <w:t>disposiciones administrativas que impliquen costos para su implementación.</w:t>
      </w:r>
    </w:p>
    <w:p w14:paraId="1F67B50E" w14:textId="77777777" w:rsidR="00BF5974" w:rsidRPr="00702C1C" w:rsidRDefault="00BF5974" w:rsidP="00BF5974">
      <w:pPr>
        <w:rPr>
          <w:rFonts w:cs="Arial"/>
          <w:lang w:val="es-ES"/>
        </w:rPr>
      </w:pPr>
    </w:p>
    <w:p w14:paraId="6899AC5B" w14:textId="77777777" w:rsidR="00BF5974" w:rsidRDefault="00BF5974" w:rsidP="00BF5974">
      <w:pPr>
        <w:rPr>
          <w:rFonts w:cs="Arial"/>
          <w:lang w:val="es-ES"/>
        </w:rPr>
      </w:pPr>
      <w:r w:rsidRPr="00702C1C">
        <w:rPr>
          <w:rFonts w:cs="Arial"/>
          <w:b/>
          <w:lang w:val="es-ES"/>
        </w:rPr>
        <w:t xml:space="preserve">Artículo 7. </w:t>
      </w:r>
      <w:r w:rsidRPr="00702C1C">
        <w:rPr>
          <w:rFonts w:cs="Arial"/>
          <w:lang w:val="es-ES"/>
        </w:rPr>
        <w:t xml:space="preserve">En caso de que el H. Congreso del Estado modifique la Ley de Ingresos del </w:t>
      </w:r>
      <w:r>
        <w:rPr>
          <w:rFonts w:cs="Arial"/>
          <w:lang w:val="es-ES"/>
        </w:rPr>
        <w:t>Estado de Colima para el Ejercicio Fiscal 2025 y el Presupuesto de Egresos del Estado de Colima para el Ejercicio Fiscal 2025 de tal manera que genere un Balance Presupuestario de recursos disponibles negativo, deberá motivar su decisión sujetándose a lo dispuesto en el artículo 6 fracciones I y II de la Ley de Disciplina Financiera.</w:t>
      </w:r>
    </w:p>
    <w:p w14:paraId="6A7609D4" w14:textId="77777777" w:rsidR="00BF5974" w:rsidRDefault="00BF5974" w:rsidP="00BF5974">
      <w:pPr>
        <w:rPr>
          <w:rFonts w:cs="Arial"/>
          <w:lang w:val="es-ES"/>
        </w:rPr>
      </w:pPr>
    </w:p>
    <w:p w14:paraId="4D640400" w14:textId="77777777" w:rsidR="00BF5974" w:rsidRDefault="00BF5974" w:rsidP="00BF5974">
      <w:pPr>
        <w:rPr>
          <w:rFonts w:cs="Arial"/>
          <w:lang w:val="es-ES"/>
        </w:rPr>
      </w:pPr>
      <w:r>
        <w:rPr>
          <w:rFonts w:cs="Arial"/>
          <w:b/>
          <w:lang w:val="es-ES"/>
        </w:rPr>
        <w:t>Artículo 8</w:t>
      </w:r>
      <w:r>
        <w:rPr>
          <w:rFonts w:cs="Arial"/>
          <w:lang w:val="es-ES"/>
        </w:rPr>
        <w:t xml:space="preserve">. La Secretaría garantizará que toda la información presupuestaria y de ingresos cumpla con lo previsto en la </w:t>
      </w:r>
      <w:r>
        <w:rPr>
          <w:rFonts w:cs="Arial"/>
        </w:rPr>
        <w:t>Ley de Presupuesto</w:t>
      </w:r>
      <w:r>
        <w:rPr>
          <w:rFonts w:cs="Arial"/>
          <w:lang w:val="es-ES"/>
        </w:rPr>
        <w:t>, en la Ley General de Contabilidad y en la Ley de Disciplina Financiera.</w:t>
      </w:r>
    </w:p>
    <w:p w14:paraId="10FA42C1" w14:textId="77777777" w:rsidR="00BF5974" w:rsidRDefault="00BF5974" w:rsidP="00BF5974">
      <w:pPr>
        <w:rPr>
          <w:rFonts w:cs="Arial"/>
          <w:lang w:val="es-ES"/>
        </w:rPr>
      </w:pPr>
    </w:p>
    <w:p w14:paraId="6BDF95EA" w14:textId="77777777" w:rsidR="00BF5974" w:rsidRDefault="00BF5974" w:rsidP="00BF5974">
      <w:pPr>
        <w:rPr>
          <w:rFonts w:cs="Arial"/>
          <w:lang w:val="es-ES"/>
        </w:rPr>
      </w:pPr>
      <w:r>
        <w:rPr>
          <w:rFonts w:cs="Arial"/>
          <w:lang w:val="es-ES"/>
        </w:rPr>
        <w:t>Todas las asignaciones presupuestarias del presente Decreto y de documentos de la materia deberán cumplir con lo dispuesto por la Ley de Transparencia y Acceso a la Información Pública del Estado de Colima.</w:t>
      </w:r>
    </w:p>
    <w:p w14:paraId="7B872DDC" w14:textId="77777777" w:rsidR="00BF5974" w:rsidRDefault="00BF5974" w:rsidP="00BF5974">
      <w:pPr>
        <w:rPr>
          <w:rFonts w:cs="Arial"/>
          <w:lang w:val="es-ES"/>
        </w:rPr>
      </w:pPr>
    </w:p>
    <w:p w14:paraId="0BF75ADE" w14:textId="77777777" w:rsidR="00BF5974" w:rsidRDefault="00BF5974" w:rsidP="00BF5974">
      <w:pPr>
        <w:rPr>
          <w:rFonts w:cs="Arial"/>
          <w:lang w:val="es-ES"/>
        </w:rPr>
      </w:pPr>
      <w:r>
        <w:rPr>
          <w:rFonts w:cs="Arial"/>
          <w:b/>
          <w:lang w:val="es-ES"/>
        </w:rPr>
        <w:lastRenderedPageBreak/>
        <w:t>Artículo 9</w:t>
      </w:r>
      <w:r>
        <w:rPr>
          <w:rFonts w:cs="Arial"/>
          <w:lang w:val="es-ES"/>
        </w:rPr>
        <w:t>. La Secretaría reportará en los informes trimestrales la información señalada en la Ley General de Contabilidad, Ley de Disciplina Financiera, Ley de Presupuesto y la Ley Fiscalización Superior y Rendición de Cuentas del Estado.</w:t>
      </w:r>
    </w:p>
    <w:p w14:paraId="2B65B990" w14:textId="5840C7F5" w:rsidR="00BF5974" w:rsidRDefault="00BF5974" w:rsidP="00BF5974">
      <w:pPr>
        <w:rPr>
          <w:rFonts w:cs="Arial"/>
          <w:lang w:val="es-ES"/>
        </w:rPr>
      </w:pPr>
    </w:p>
    <w:p w14:paraId="4843F851" w14:textId="77777777" w:rsidR="00105286" w:rsidRDefault="00105286" w:rsidP="00BF5974">
      <w:pPr>
        <w:rPr>
          <w:rFonts w:cs="Arial"/>
          <w:lang w:val="es-ES"/>
        </w:rPr>
      </w:pPr>
    </w:p>
    <w:p w14:paraId="788C84A7" w14:textId="77777777" w:rsidR="00BF5974" w:rsidRDefault="00BF5974" w:rsidP="00BF5974">
      <w:pPr>
        <w:jc w:val="center"/>
        <w:rPr>
          <w:rFonts w:eastAsia="Times New Roman" w:cs="Arial"/>
          <w:b/>
          <w:lang w:val="es-ES"/>
        </w:rPr>
      </w:pPr>
      <w:r>
        <w:rPr>
          <w:rFonts w:eastAsia="Times New Roman" w:cs="Arial"/>
          <w:b/>
          <w:lang w:val="es-ES"/>
        </w:rPr>
        <w:t>CAPÍTULO II</w:t>
      </w:r>
    </w:p>
    <w:p w14:paraId="41C9F57A" w14:textId="77777777" w:rsidR="00BF5974" w:rsidRDefault="00BF5974" w:rsidP="00BF5974">
      <w:pPr>
        <w:keepNext/>
        <w:keepLines/>
        <w:jc w:val="center"/>
        <w:outlineLvl w:val="0"/>
        <w:rPr>
          <w:rFonts w:cs="Arial"/>
          <w:lang w:val="es-ES"/>
        </w:rPr>
      </w:pPr>
      <w:r>
        <w:rPr>
          <w:rFonts w:eastAsia="Times New Roman" w:cs="Arial"/>
          <w:b/>
          <w:lang w:val="es-ES"/>
        </w:rPr>
        <w:t>DE LAS EROGACIONES</w:t>
      </w:r>
    </w:p>
    <w:p w14:paraId="7BDB1811" w14:textId="77777777" w:rsidR="00BF5974" w:rsidRDefault="00BF5974" w:rsidP="00BF5974">
      <w:pPr>
        <w:rPr>
          <w:rFonts w:cs="Arial"/>
          <w:lang w:val="es-ES"/>
        </w:rPr>
      </w:pPr>
    </w:p>
    <w:p w14:paraId="1F3740B5" w14:textId="3C6A3846" w:rsidR="00BF5974" w:rsidRDefault="00BF5974" w:rsidP="00BF5974">
      <w:pPr>
        <w:shd w:val="clear" w:color="auto" w:fill="FFFFFF"/>
        <w:rPr>
          <w:rFonts w:cs="Arial"/>
          <w:lang w:val="es-ES"/>
        </w:rPr>
      </w:pPr>
      <w:r>
        <w:rPr>
          <w:rFonts w:cs="Arial"/>
          <w:b/>
          <w:lang w:val="es-ES"/>
        </w:rPr>
        <w:t>Artículo 10</w:t>
      </w:r>
      <w:r>
        <w:rPr>
          <w:rFonts w:cs="Arial"/>
          <w:lang w:val="es-ES"/>
        </w:rPr>
        <w:t>. El gasto total previsto en el Presupuesto de Egresos del Estado de Colima para el Ejercicio Fiscal 2025 asciende a la cantidad de</w:t>
      </w:r>
      <w:r>
        <w:rPr>
          <w:rFonts w:cs="Arial"/>
          <w:b/>
          <w:bCs/>
          <w:lang w:val="es-ES"/>
        </w:rPr>
        <w:t xml:space="preserve"> </w:t>
      </w:r>
      <w:r w:rsidR="009D26EB" w:rsidRPr="009D26EB">
        <w:rPr>
          <w:rFonts w:cs="Arial"/>
          <w:b/>
          <w:bCs/>
          <w:lang w:val="es-ES"/>
        </w:rPr>
        <w:t xml:space="preserve">23,004,130,279 </w:t>
      </w:r>
      <w:r>
        <w:rPr>
          <w:rFonts w:cs="Arial"/>
          <w:lang w:val="es-ES"/>
        </w:rPr>
        <w:t xml:space="preserve">pesos. </w:t>
      </w:r>
    </w:p>
    <w:p w14:paraId="25BA3566" w14:textId="77777777" w:rsidR="00BF5974" w:rsidRDefault="00BF5974" w:rsidP="00BF5974">
      <w:pPr>
        <w:shd w:val="clear" w:color="auto" w:fill="FFFFFF"/>
        <w:rPr>
          <w:rFonts w:cs="Arial"/>
          <w:lang w:val="es-ES"/>
        </w:rPr>
      </w:pPr>
    </w:p>
    <w:p w14:paraId="739F5521" w14:textId="77777777" w:rsidR="00BF5974" w:rsidRDefault="00BF5974" w:rsidP="00BF5974">
      <w:pPr>
        <w:shd w:val="clear" w:color="auto" w:fill="FFFFFF"/>
        <w:rPr>
          <w:rFonts w:cs="Arial"/>
          <w:lang w:val="es-ES"/>
        </w:rPr>
      </w:pPr>
      <w:r>
        <w:rPr>
          <w:rFonts w:eastAsia="Times New Roman" w:cs="Arial"/>
          <w:lang w:val="es-ES" w:eastAsia="es-ES"/>
        </w:rPr>
        <w:t>El total del gasto c</w:t>
      </w:r>
      <w:r>
        <w:rPr>
          <w:rFonts w:cs="Arial"/>
          <w:lang w:val="es-ES"/>
        </w:rPr>
        <w:t xml:space="preserve">orresponde al total de los ingresos estimados en la iniciativa de </w:t>
      </w:r>
      <w:r>
        <w:rPr>
          <w:rFonts w:cs="Arial"/>
          <w:bCs/>
          <w:lang w:val="es-ES"/>
        </w:rPr>
        <w:t>Ley de Ingresos del Estado de Colima para el Ejercicio Fiscal 2025;</w:t>
      </w:r>
      <w:r>
        <w:rPr>
          <w:rFonts w:cs="Arial"/>
          <w:lang w:val="es-ES"/>
        </w:rPr>
        <w:t xml:space="preserve"> su asignación se hará de acuerdo a lo estipulado en el presente Decreto.</w:t>
      </w:r>
    </w:p>
    <w:p w14:paraId="4291D357" w14:textId="77777777" w:rsidR="00BF5974" w:rsidRDefault="00BF5974" w:rsidP="00BF5974">
      <w:pPr>
        <w:rPr>
          <w:rFonts w:cs="Arial"/>
          <w:lang w:val="es-ES"/>
        </w:rPr>
      </w:pPr>
    </w:p>
    <w:p w14:paraId="6F659049" w14:textId="2BF5451B" w:rsidR="00BF5974" w:rsidRDefault="00BF5974" w:rsidP="00BF5974">
      <w:pPr>
        <w:rPr>
          <w:rFonts w:cs="Arial"/>
          <w:lang w:val="es-ES"/>
        </w:rPr>
      </w:pPr>
      <w:r>
        <w:rPr>
          <w:rFonts w:cs="Arial"/>
          <w:lang w:val="es-ES"/>
        </w:rPr>
        <w:t xml:space="preserve">El gasto total previsto para el ejercicio fiscal 2025 se integra por </w:t>
      </w:r>
      <w:r w:rsidR="00A12DCC" w:rsidRPr="00A12DCC">
        <w:rPr>
          <w:rFonts w:cs="Arial"/>
          <w:b/>
          <w:bCs/>
          <w:lang w:val="es-ES"/>
        </w:rPr>
        <w:t>10,661,115,845</w:t>
      </w:r>
      <w:r w:rsidR="00A12DCC">
        <w:rPr>
          <w:rFonts w:cs="Arial"/>
          <w:b/>
          <w:bCs/>
          <w:lang w:val="es-ES"/>
        </w:rPr>
        <w:t xml:space="preserve"> </w:t>
      </w:r>
      <w:r>
        <w:rPr>
          <w:rFonts w:cs="Arial"/>
          <w:lang w:val="es-ES"/>
        </w:rPr>
        <w:t xml:space="preserve">pesos de </w:t>
      </w:r>
      <w:r>
        <w:rPr>
          <w:rFonts w:eastAsia="Times New Roman" w:cs="Arial"/>
          <w:lang w:val="es-ES" w:eastAsia="es-ES"/>
        </w:rPr>
        <w:t xml:space="preserve">Ingresos de Libre Disposición (incluye participaciones a municipios), y Transferencias Federales Etiquetadas por </w:t>
      </w:r>
      <w:r>
        <w:rPr>
          <w:rFonts w:cs="Arial"/>
          <w:b/>
          <w:bCs/>
          <w:lang w:val="es-ES"/>
        </w:rPr>
        <w:t>12,009,</w:t>
      </w:r>
      <w:r w:rsidR="00C7015D">
        <w:rPr>
          <w:rFonts w:cs="Arial"/>
          <w:b/>
          <w:bCs/>
          <w:lang w:val="es-ES"/>
        </w:rPr>
        <w:t>772,</w:t>
      </w:r>
      <w:r>
        <w:rPr>
          <w:rFonts w:cs="Arial"/>
          <w:b/>
          <w:bCs/>
          <w:lang w:val="es-ES"/>
        </w:rPr>
        <w:t>9</w:t>
      </w:r>
      <w:r w:rsidR="00C7015D">
        <w:rPr>
          <w:rFonts w:cs="Arial"/>
          <w:b/>
          <w:bCs/>
          <w:lang w:val="es-ES"/>
        </w:rPr>
        <w:t>61</w:t>
      </w:r>
      <w:r>
        <w:rPr>
          <w:rFonts w:cs="Arial"/>
          <w:b/>
          <w:bCs/>
          <w:lang w:val="es-ES"/>
        </w:rPr>
        <w:t xml:space="preserve"> </w:t>
      </w:r>
      <w:r>
        <w:rPr>
          <w:rFonts w:eastAsia="Times New Roman" w:cs="Arial"/>
          <w:lang w:val="es-ES" w:eastAsia="es-ES"/>
        </w:rPr>
        <w:t>pesos que financiarán el Gasto Etiquetado. Para el ejercicio fiscal 2025</w:t>
      </w:r>
      <w:r w:rsidR="007E2F22">
        <w:rPr>
          <w:rFonts w:eastAsia="Times New Roman" w:cs="Arial"/>
          <w:lang w:val="es-ES" w:eastAsia="es-ES"/>
        </w:rPr>
        <w:t xml:space="preserve"> </w:t>
      </w:r>
      <w:r>
        <w:rPr>
          <w:rFonts w:eastAsia="Times New Roman" w:cs="Arial"/>
          <w:lang w:val="es-ES" w:eastAsia="es-ES"/>
        </w:rPr>
        <w:t>se prevé la contratación de Financiamientos de Corto Plazo</w:t>
      </w:r>
      <w:r w:rsidR="00A12DCC">
        <w:rPr>
          <w:rFonts w:eastAsia="Times New Roman" w:cs="Arial"/>
          <w:lang w:val="es-ES" w:eastAsia="es-ES"/>
        </w:rPr>
        <w:t xml:space="preserve"> hasta por un monto de </w:t>
      </w:r>
      <w:r w:rsidR="00A12DCC" w:rsidRPr="00A12DCC">
        <w:rPr>
          <w:rFonts w:eastAsia="Times New Roman" w:cs="Arial"/>
          <w:b/>
          <w:bCs/>
          <w:lang w:val="es-ES" w:eastAsia="es-ES"/>
        </w:rPr>
        <w:t>333,241,473</w:t>
      </w:r>
      <w:r>
        <w:rPr>
          <w:rFonts w:eastAsia="Times New Roman" w:cs="Arial"/>
          <w:lang w:val="es-ES" w:eastAsia="es-ES"/>
        </w:rPr>
        <w:t>, sin perjuicio del Techo de Financiamiento Neto al que pueda acceder el Gobierno del Estado de Colima para el ejercicio fiscal 2025 de acuerdo al artículo 46 de la Ley de Disciplina Financiera de las Entidades Federativas y Los Municipios.</w:t>
      </w:r>
    </w:p>
    <w:p w14:paraId="265D3F00" w14:textId="77777777" w:rsidR="00BF5974" w:rsidRDefault="00BF5974" w:rsidP="00BF5974">
      <w:pPr>
        <w:shd w:val="clear" w:color="auto" w:fill="FFFFFF"/>
        <w:rPr>
          <w:rFonts w:eastAsia="Times New Roman" w:cs="Arial"/>
          <w:lang w:val="es-ES" w:eastAsia="es-ES"/>
        </w:rPr>
      </w:pPr>
    </w:p>
    <w:p w14:paraId="6246ADDA" w14:textId="47E0AF5B" w:rsidR="00BF5974" w:rsidRDefault="00BF5974" w:rsidP="00BF5974">
      <w:pPr>
        <w:rPr>
          <w:rFonts w:eastAsia="Times New Roman" w:cs="Arial"/>
          <w:lang w:val="es-ES" w:eastAsia="es-ES"/>
        </w:rPr>
      </w:pPr>
      <w:r>
        <w:rPr>
          <w:rFonts w:eastAsia="Times New Roman" w:cs="Arial"/>
          <w:lang w:val="es-ES" w:eastAsia="es-ES"/>
        </w:rPr>
        <w:t xml:space="preserve">Una vez descontadas las participaciones a municipios, los Ingresos de Libre Disposición Netos de los que dispondrá el Gobierno del Estado de Colima para el Ejercicio Fiscal 2025 ascienden a </w:t>
      </w:r>
      <w:r w:rsidR="00A12DCC" w:rsidRPr="00A12DCC">
        <w:rPr>
          <w:rFonts w:eastAsia="Times New Roman" w:cs="Arial"/>
          <w:b/>
          <w:bCs/>
          <w:lang w:val="es-ES" w:eastAsia="es-ES"/>
        </w:rPr>
        <w:t>8,491,768,962</w:t>
      </w:r>
      <w:r w:rsidR="00A12DCC">
        <w:rPr>
          <w:rFonts w:eastAsia="Times New Roman" w:cs="Arial"/>
          <w:b/>
          <w:bCs/>
          <w:lang w:val="es-ES" w:eastAsia="es-ES"/>
        </w:rPr>
        <w:t xml:space="preserve"> </w:t>
      </w:r>
      <w:r>
        <w:rPr>
          <w:rFonts w:eastAsia="Times New Roman" w:cs="Arial"/>
          <w:lang w:val="es-ES" w:eastAsia="es-ES"/>
        </w:rPr>
        <w:t>pesos que se componen por ingresos locales, participaciones federales y cualquier otro fondo que no tengan un fin específico definido por Ley.</w:t>
      </w:r>
    </w:p>
    <w:p w14:paraId="4C886FA4" w14:textId="77777777" w:rsidR="00BF5974" w:rsidRDefault="00BF5974" w:rsidP="00BF5974">
      <w:pPr>
        <w:shd w:val="clear" w:color="auto" w:fill="FFFFFF"/>
        <w:rPr>
          <w:rFonts w:cs="Arial"/>
          <w:lang w:val="es-ES"/>
        </w:rPr>
      </w:pPr>
    </w:p>
    <w:p w14:paraId="292FD28D" w14:textId="16DA9B57" w:rsidR="00BF5974" w:rsidRDefault="00BF5974" w:rsidP="00BF5974">
      <w:pPr>
        <w:rPr>
          <w:rFonts w:cs="Arial"/>
          <w:bCs/>
          <w:lang w:val="es-ES"/>
        </w:rPr>
      </w:pPr>
      <w:r>
        <w:rPr>
          <w:rFonts w:cs="Arial"/>
          <w:b/>
          <w:lang w:val="es-ES"/>
        </w:rPr>
        <w:t>Artículo 11</w:t>
      </w:r>
      <w:r>
        <w:rPr>
          <w:rFonts w:cs="Arial"/>
          <w:lang w:val="es-ES"/>
        </w:rPr>
        <w:t xml:space="preserve">. La forma en que se integran los ingresos del Estado, de acuerdo con la </w:t>
      </w:r>
      <w:r>
        <w:rPr>
          <w:rFonts w:cs="Arial"/>
          <w:bCs/>
          <w:lang w:val="es-ES"/>
        </w:rPr>
        <w:t>Clasificación por Fuentes de Financiamiento, es la siguiente:</w:t>
      </w:r>
    </w:p>
    <w:p w14:paraId="2AAD3B3F" w14:textId="77777777" w:rsidR="00BF5974" w:rsidRDefault="00BF5974" w:rsidP="00BF5974">
      <w:pPr>
        <w:keepNext/>
        <w:keepLines/>
        <w:outlineLvl w:val="2"/>
        <w:rPr>
          <w:rFonts w:eastAsia="Times New Roman" w:cs="Arial"/>
          <w:b/>
          <w:szCs w:val="24"/>
          <w:lang w:val="es-ES" w:eastAsia="en-US"/>
        </w:rPr>
      </w:pPr>
    </w:p>
    <w:tbl>
      <w:tblPr>
        <w:tblW w:w="7684" w:type="dxa"/>
        <w:jc w:val="center"/>
        <w:tblCellMar>
          <w:left w:w="70" w:type="dxa"/>
          <w:right w:w="70" w:type="dxa"/>
        </w:tblCellMar>
        <w:tblLook w:val="04A0" w:firstRow="1" w:lastRow="0" w:firstColumn="1" w:lastColumn="0" w:noHBand="0" w:noVBand="1"/>
      </w:tblPr>
      <w:tblGrid>
        <w:gridCol w:w="674"/>
        <w:gridCol w:w="5478"/>
        <w:gridCol w:w="1532"/>
      </w:tblGrid>
      <w:tr w:rsidR="00BF5974" w:rsidRPr="00611C5A" w14:paraId="2CC466C3" w14:textId="77777777" w:rsidTr="00BF5974">
        <w:trPr>
          <w:trHeight w:val="20"/>
          <w:tblHeader/>
          <w:jc w:val="center"/>
        </w:trPr>
        <w:tc>
          <w:tcPr>
            <w:tcW w:w="7684" w:type="dxa"/>
            <w:gridSpan w:val="3"/>
            <w:tcBorders>
              <w:top w:val="nil"/>
              <w:left w:val="nil"/>
              <w:bottom w:val="single" w:sz="4" w:space="0" w:color="auto"/>
              <w:right w:val="nil"/>
            </w:tcBorders>
            <w:vAlign w:val="center"/>
            <w:hideMark/>
          </w:tcPr>
          <w:p w14:paraId="52C6B96D" w14:textId="77777777" w:rsidR="00BF5974" w:rsidRPr="00611C5A" w:rsidRDefault="00BF5974">
            <w:pPr>
              <w:spacing w:line="256" w:lineRule="auto"/>
              <w:jc w:val="center"/>
              <w:rPr>
                <w:rFonts w:eastAsia="Times New Roman" w:cs="Arial"/>
                <w:b/>
                <w:bCs/>
                <w:sz w:val="20"/>
                <w:szCs w:val="20"/>
                <w:lang w:val="es-ES" w:eastAsia="en-US"/>
              </w:rPr>
            </w:pPr>
            <w:r w:rsidRPr="00611C5A">
              <w:rPr>
                <w:rFonts w:eastAsia="Times New Roman" w:cs="Arial"/>
                <w:b/>
                <w:sz w:val="20"/>
                <w:szCs w:val="20"/>
                <w:lang w:val="es-ES" w:eastAsia="en-US"/>
              </w:rPr>
              <w:t>Tabla 1. Clasificación por Fuentes de Financiamiento</w:t>
            </w:r>
          </w:p>
        </w:tc>
      </w:tr>
      <w:tr w:rsidR="00BF5974" w:rsidRPr="00611C5A" w14:paraId="448D72A6" w14:textId="77777777" w:rsidTr="00BF5974">
        <w:trPr>
          <w:trHeight w:val="20"/>
          <w:tblHeader/>
          <w:jc w:val="center"/>
        </w:trPr>
        <w:tc>
          <w:tcPr>
            <w:tcW w:w="674" w:type="dxa"/>
            <w:tcBorders>
              <w:top w:val="single" w:sz="4" w:space="0" w:color="auto"/>
              <w:left w:val="single" w:sz="4" w:space="0" w:color="auto"/>
              <w:bottom w:val="single" w:sz="4" w:space="0" w:color="auto"/>
              <w:right w:val="single" w:sz="4" w:space="0" w:color="auto"/>
            </w:tcBorders>
            <w:vAlign w:val="center"/>
            <w:hideMark/>
          </w:tcPr>
          <w:p w14:paraId="05A70A5B" w14:textId="77777777" w:rsidR="00BF5974" w:rsidRPr="00611C5A" w:rsidRDefault="00BF5974">
            <w:pPr>
              <w:spacing w:line="256" w:lineRule="auto"/>
              <w:jc w:val="center"/>
              <w:rPr>
                <w:rFonts w:eastAsia="Times New Roman" w:cs="Arial"/>
                <w:b/>
                <w:bCs/>
                <w:color w:val="000000"/>
                <w:sz w:val="20"/>
                <w:szCs w:val="20"/>
                <w:lang w:val="es-ES" w:eastAsia="en-US"/>
              </w:rPr>
            </w:pPr>
            <w:r w:rsidRPr="00611C5A">
              <w:rPr>
                <w:rFonts w:eastAsia="Times New Roman" w:cs="Arial"/>
                <w:b/>
                <w:bCs/>
                <w:color w:val="000000"/>
                <w:sz w:val="20"/>
                <w:szCs w:val="20"/>
                <w:lang w:val="es-ES" w:eastAsia="en-US"/>
              </w:rPr>
              <w:t>Clave</w:t>
            </w:r>
          </w:p>
        </w:tc>
        <w:tc>
          <w:tcPr>
            <w:tcW w:w="5478" w:type="dxa"/>
            <w:tcBorders>
              <w:top w:val="single" w:sz="4" w:space="0" w:color="auto"/>
              <w:left w:val="nil"/>
              <w:bottom w:val="single" w:sz="4" w:space="0" w:color="auto"/>
              <w:right w:val="single" w:sz="4" w:space="0" w:color="auto"/>
            </w:tcBorders>
            <w:vAlign w:val="center"/>
            <w:hideMark/>
          </w:tcPr>
          <w:p w14:paraId="7444EB6B" w14:textId="77777777" w:rsidR="00BF5974" w:rsidRPr="00611C5A" w:rsidRDefault="00BF5974">
            <w:pPr>
              <w:spacing w:line="256" w:lineRule="auto"/>
              <w:jc w:val="center"/>
              <w:rPr>
                <w:rFonts w:eastAsia="Times New Roman" w:cs="Arial"/>
                <w:b/>
                <w:bCs/>
                <w:color w:val="000000"/>
                <w:sz w:val="20"/>
                <w:szCs w:val="20"/>
                <w:lang w:val="es-ES" w:eastAsia="en-US"/>
              </w:rPr>
            </w:pPr>
            <w:r w:rsidRPr="00611C5A">
              <w:rPr>
                <w:rFonts w:eastAsia="Times New Roman" w:cs="Arial"/>
                <w:b/>
                <w:bCs/>
                <w:color w:val="000000"/>
                <w:sz w:val="20"/>
                <w:szCs w:val="20"/>
                <w:lang w:val="es-ES" w:eastAsia="en-US"/>
              </w:rPr>
              <w:t>Concepto</w:t>
            </w:r>
          </w:p>
        </w:tc>
        <w:tc>
          <w:tcPr>
            <w:tcW w:w="1532" w:type="dxa"/>
            <w:tcBorders>
              <w:top w:val="single" w:sz="4" w:space="0" w:color="auto"/>
              <w:left w:val="nil"/>
              <w:bottom w:val="single" w:sz="4" w:space="0" w:color="auto"/>
              <w:right w:val="single" w:sz="4" w:space="0" w:color="auto"/>
            </w:tcBorders>
            <w:vAlign w:val="center"/>
            <w:hideMark/>
          </w:tcPr>
          <w:p w14:paraId="13086814" w14:textId="77777777" w:rsidR="00BF5974" w:rsidRPr="00611C5A" w:rsidRDefault="00BF5974">
            <w:pPr>
              <w:spacing w:line="256" w:lineRule="auto"/>
              <w:jc w:val="center"/>
              <w:rPr>
                <w:rFonts w:eastAsia="Times New Roman" w:cs="Arial"/>
                <w:b/>
                <w:bCs/>
                <w:color w:val="000000"/>
                <w:sz w:val="20"/>
                <w:szCs w:val="20"/>
                <w:lang w:val="es-ES" w:eastAsia="en-US"/>
              </w:rPr>
            </w:pPr>
            <w:r w:rsidRPr="00611C5A">
              <w:rPr>
                <w:rFonts w:eastAsia="Times New Roman" w:cs="Arial"/>
                <w:b/>
                <w:bCs/>
                <w:color w:val="000000"/>
                <w:sz w:val="20"/>
                <w:szCs w:val="20"/>
                <w:lang w:val="es-ES" w:eastAsia="en-US"/>
              </w:rPr>
              <w:t>Asignación Presupuestal</w:t>
            </w:r>
          </w:p>
        </w:tc>
      </w:tr>
      <w:tr w:rsidR="00BF5974" w:rsidRPr="00611C5A" w14:paraId="3F1D256E" w14:textId="77777777" w:rsidTr="00BF5974">
        <w:trPr>
          <w:trHeight w:val="20"/>
          <w:jc w:val="center"/>
        </w:trPr>
        <w:tc>
          <w:tcPr>
            <w:tcW w:w="674" w:type="dxa"/>
            <w:tcBorders>
              <w:top w:val="nil"/>
              <w:left w:val="single" w:sz="4" w:space="0" w:color="auto"/>
              <w:bottom w:val="single" w:sz="4" w:space="0" w:color="auto"/>
              <w:right w:val="single" w:sz="4" w:space="0" w:color="auto"/>
            </w:tcBorders>
            <w:vAlign w:val="center"/>
            <w:hideMark/>
          </w:tcPr>
          <w:p w14:paraId="01742AAB" w14:textId="77777777" w:rsidR="00BF5974" w:rsidRPr="00611C5A" w:rsidRDefault="00BF5974">
            <w:pPr>
              <w:spacing w:line="256" w:lineRule="auto"/>
              <w:jc w:val="center"/>
              <w:rPr>
                <w:rFonts w:eastAsia="Times New Roman" w:cs="Arial"/>
                <w:b/>
                <w:bCs/>
                <w:color w:val="000000"/>
                <w:sz w:val="20"/>
                <w:szCs w:val="20"/>
                <w:lang w:val="es-ES" w:eastAsia="en-US"/>
              </w:rPr>
            </w:pPr>
            <w:r w:rsidRPr="00611C5A">
              <w:rPr>
                <w:rFonts w:eastAsia="Times New Roman" w:cs="Arial"/>
                <w:b/>
                <w:bCs/>
                <w:color w:val="000000"/>
                <w:sz w:val="20"/>
                <w:szCs w:val="20"/>
                <w:lang w:val="es-ES" w:eastAsia="en-US"/>
              </w:rPr>
              <w:t>1</w:t>
            </w:r>
          </w:p>
        </w:tc>
        <w:tc>
          <w:tcPr>
            <w:tcW w:w="5478" w:type="dxa"/>
            <w:tcBorders>
              <w:top w:val="nil"/>
              <w:left w:val="nil"/>
              <w:bottom w:val="single" w:sz="4" w:space="0" w:color="auto"/>
              <w:right w:val="single" w:sz="4" w:space="0" w:color="auto"/>
            </w:tcBorders>
            <w:vAlign w:val="center"/>
            <w:hideMark/>
          </w:tcPr>
          <w:p w14:paraId="609585DC" w14:textId="77777777" w:rsidR="00BF5974" w:rsidRPr="00611C5A" w:rsidRDefault="00BF5974">
            <w:pPr>
              <w:spacing w:line="256" w:lineRule="auto"/>
              <w:rPr>
                <w:rFonts w:eastAsia="Times New Roman" w:cs="Arial"/>
                <w:b/>
                <w:bCs/>
                <w:color w:val="000000"/>
                <w:sz w:val="20"/>
                <w:szCs w:val="20"/>
                <w:lang w:val="es-ES" w:eastAsia="en-US"/>
              </w:rPr>
            </w:pPr>
            <w:r w:rsidRPr="00611C5A">
              <w:rPr>
                <w:rFonts w:eastAsia="Times New Roman" w:cs="Arial"/>
                <w:b/>
                <w:bCs/>
                <w:color w:val="000000"/>
                <w:sz w:val="20"/>
                <w:szCs w:val="20"/>
                <w:lang w:val="es-ES" w:eastAsia="en-US"/>
              </w:rPr>
              <w:t>No Etiquetado.</w:t>
            </w:r>
          </w:p>
        </w:tc>
        <w:tc>
          <w:tcPr>
            <w:tcW w:w="1532" w:type="dxa"/>
            <w:tcBorders>
              <w:top w:val="nil"/>
              <w:left w:val="nil"/>
              <w:bottom w:val="single" w:sz="4" w:space="0" w:color="auto"/>
              <w:right w:val="single" w:sz="4" w:space="0" w:color="auto"/>
            </w:tcBorders>
            <w:vAlign w:val="bottom"/>
            <w:hideMark/>
          </w:tcPr>
          <w:p w14:paraId="633D3B69" w14:textId="08866DFE" w:rsidR="00BF5974" w:rsidRPr="00611C5A" w:rsidRDefault="009D26EB" w:rsidP="009D26EB">
            <w:pPr>
              <w:jc w:val="right"/>
              <w:rPr>
                <w:rFonts w:eastAsia="Times New Roman" w:cs="Arial"/>
                <w:b/>
                <w:bCs/>
                <w:color w:val="000000"/>
                <w:sz w:val="20"/>
                <w:szCs w:val="20"/>
              </w:rPr>
            </w:pPr>
            <w:r w:rsidRPr="00611C5A">
              <w:rPr>
                <w:rFonts w:cs="Arial"/>
                <w:b/>
                <w:bCs/>
                <w:color w:val="000000"/>
                <w:sz w:val="20"/>
                <w:szCs w:val="20"/>
              </w:rPr>
              <w:t xml:space="preserve">10,994,357,318 </w:t>
            </w:r>
          </w:p>
        </w:tc>
      </w:tr>
      <w:tr w:rsidR="00BF5974" w:rsidRPr="0046357D" w14:paraId="47930B48" w14:textId="77777777" w:rsidTr="00BF5974">
        <w:trPr>
          <w:trHeight w:val="20"/>
          <w:jc w:val="center"/>
        </w:trPr>
        <w:tc>
          <w:tcPr>
            <w:tcW w:w="674" w:type="dxa"/>
            <w:tcBorders>
              <w:top w:val="nil"/>
              <w:left w:val="single" w:sz="4" w:space="0" w:color="auto"/>
              <w:bottom w:val="single" w:sz="4" w:space="0" w:color="auto"/>
              <w:right w:val="single" w:sz="4" w:space="0" w:color="auto"/>
            </w:tcBorders>
            <w:vAlign w:val="center"/>
            <w:hideMark/>
          </w:tcPr>
          <w:p w14:paraId="5C31B138" w14:textId="77777777" w:rsidR="00BF5974" w:rsidRPr="00611C5A" w:rsidRDefault="00BF5974">
            <w:pPr>
              <w:spacing w:line="256" w:lineRule="auto"/>
              <w:jc w:val="center"/>
              <w:rPr>
                <w:rFonts w:eastAsia="Times New Roman" w:cs="Arial"/>
                <w:bCs/>
                <w:color w:val="000000"/>
                <w:sz w:val="20"/>
                <w:szCs w:val="20"/>
                <w:lang w:val="es-ES" w:eastAsia="en-US"/>
              </w:rPr>
            </w:pPr>
            <w:r w:rsidRPr="00611C5A">
              <w:rPr>
                <w:rFonts w:eastAsia="Times New Roman" w:cs="Arial"/>
                <w:bCs/>
                <w:color w:val="000000"/>
                <w:sz w:val="20"/>
                <w:szCs w:val="20"/>
                <w:lang w:val="es-ES" w:eastAsia="en-US"/>
              </w:rPr>
              <w:t>11</w:t>
            </w:r>
          </w:p>
        </w:tc>
        <w:tc>
          <w:tcPr>
            <w:tcW w:w="5478" w:type="dxa"/>
            <w:tcBorders>
              <w:top w:val="nil"/>
              <w:left w:val="nil"/>
              <w:bottom w:val="single" w:sz="4" w:space="0" w:color="auto"/>
              <w:right w:val="single" w:sz="4" w:space="0" w:color="auto"/>
            </w:tcBorders>
            <w:vAlign w:val="center"/>
            <w:hideMark/>
          </w:tcPr>
          <w:p w14:paraId="79689D63" w14:textId="77777777" w:rsidR="00BF5974" w:rsidRPr="00611C5A" w:rsidRDefault="00BF5974">
            <w:pPr>
              <w:spacing w:line="256" w:lineRule="auto"/>
              <w:rPr>
                <w:rFonts w:eastAsia="Times New Roman" w:cs="Arial"/>
                <w:bCs/>
                <w:color w:val="000000"/>
                <w:sz w:val="20"/>
                <w:szCs w:val="20"/>
                <w:lang w:val="es-ES" w:eastAsia="en-US"/>
              </w:rPr>
            </w:pPr>
            <w:r w:rsidRPr="00611C5A">
              <w:rPr>
                <w:rFonts w:eastAsia="Times New Roman" w:cs="Arial"/>
                <w:bCs/>
                <w:color w:val="000000"/>
                <w:sz w:val="20"/>
                <w:szCs w:val="20"/>
                <w:lang w:val="es-ES" w:eastAsia="en-US"/>
              </w:rPr>
              <w:t>Recursos Fiscales.</w:t>
            </w:r>
          </w:p>
        </w:tc>
        <w:tc>
          <w:tcPr>
            <w:tcW w:w="1532" w:type="dxa"/>
            <w:tcBorders>
              <w:top w:val="nil"/>
              <w:left w:val="nil"/>
              <w:bottom w:val="single" w:sz="4" w:space="0" w:color="auto"/>
              <w:right w:val="single" w:sz="4" w:space="0" w:color="auto"/>
            </w:tcBorders>
            <w:vAlign w:val="bottom"/>
            <w:hideMark/>
          </w:tcPr>
          <w:p w14:paraId="3D6ADC52" w14:textId="119EDCAD" w:rsidR="00BF5974" w:rsidRPr="0046357D" w:rsidRDefault="0046357D" w:rsidP="0046357D">
            <w:pPr>
              <w:spacing w:line="256" w:lineRule="auto"/>
              <w:jc w:val="right"/>
              <w:rPr>
                <w:rFonts w:cs="Arial"/>
                <w:color w:val="000000"/>
                <w:sz w:val="20"/>
                <w:szCs w:val="20"/>
                <w:lang w:val="es-ES" w:eastAsia="en-US"/>
              </w:rPr>
            </w:pPr>
            <w:r w:rsidRPr="0046357D">
              <w:rPr>
                <w:rFonts w:cs="Arial"/>
                <w:color w:val="000000"/>
                <w:sz w:val="20"/>
                <w:szCs w:val="20"/>
                <w:lang w:val="es-ES" w:eastAsia="en-US"/>
              </w:rPr>
              <w:t xml:space="preserve">2,034,665,224 </w:t>
            </w:r>
          </w:p>
        </w:tc>
      </w:tr>
      <w:tr w:rsidR="00BF5974" w:rsidRPr="00611C5A" w14:paraId="16DFECB0" w14:textId="77777777" w:rsidTr="00BF5974">
        <w:trPr>
          <w:trHeight w:val="20"/>
          <w:jc w:val="center"/>
        </w:trPr>
        <w:tc>
          <w:tcPr>
            <w:tcW w:w="674" w:type="dxa"/>
            <w:tcBorders>
              <w:top w:val="nil"/>
              <w:left w:val="single" w:sz="4" w:space="0" w:color="auto"/>
              <w:bottom w:val="single" w:sz="4" w:space="0" w:color="auto"/>
              <w:right w:val="single" w:sz="4" w:space="0" w:color="auto"/>
            </w:tcBorders>
            <w:vAlign w:val="center"/>
            <w:hideMark/>
          </w:tcPr>
          <w:p w14:paraId="6F24ACA9" w14:textId="77777777" w:rsidR="00BF5974" w:rsidRPr="00611C5A" w:rsidRDefault="00BF5974">
            <w:pPr>
              <w:spacing w:line="256" w:lineRule="auto"/>
              <w:jc w:val="center"/>
              <w:rPr>
                <w:rFonts w:eastAsia="Times New Roman" w:cs="Arial"/>
                <w:bCs/>
                <w:color w:val="000000"/>
                <w:sz w:val="20"/>
                <w:szCs w:val="20"/>
                <w:lang w:val="es-ES" w:eastAsia="en-US"/>
              </w:rPr>
            </w:pPr>
            <w:r w:rsidRPr="00611C5A">
              <w:rPr>
                <w:rFonts w:eastAsia="Times New Roman" w:cs="Arial"/>
                <w:bCs/>
                <w:color w:val="000000"/>
                <w:sz w:val="20"/>
                <w:szCs w:val="20"/>
                <w:lang w:val="es-ES" w:eastAsia="en-US"/>
              </w:rPr>
              <w:t>12</w:t>
            </w:r>
          </w:p>
        </w:tc>
        <w:tc>
          <w:tcPr>
            <w:tcW w:w="5478" w:type="dxa"/>
            <w:tcBorders>
              <w:top w:val="nil"/>
              <w:left w:val="nil"/>
              <w:bottom w:val="single" w:sz="4" w:space="0" w:color="auto"/>
              <w:right w:val="single" w:sz="4" w:space="0" w:color="auto"/>
            </w:tcBorders>
            <w:vAlign w:val="center"/>
            <w:hideMark/>
          </w:tcPr>
          <w:p w14:paraId="6D00B1A0" w14:textId="77777777" w:rsidR="00BF5974" w:rsidRPr="00611C5A" w:rsidRDefault="00BF5974">
            <w:pPr>
              <w:spacing w:line="256" w:lineRule="auto"/>
              <w:rPr>
                <w:rFonts w:eastAsia="Times New Roman" w:cs="Arial"/>
                <w:bCs/>
                <w:color w:val="000000"/>
                <w:sz w:val="20"/>
                <w:szCs w:val="20"/>
                <w:lang w:val="es-ES" w:eastAsia="en-US"/>
              </w:rPr>
            </w:pPr>
            <w:r w:rsidRPr="00611C5A">
              <w:rPr>
                <w:rFonts w:eastAsia="Times New Roman" w:cs="Arial"/>
                <w:bCs/>
                <w:color w:val="000000"/>
                <w:sz w:val="20"/>
                <w:szCs w:val="20"/>
                <w:lang w:val="es-ES" w:eastAsia="en-US"/>
              </w:rPr>
              <w:t>Financiamientos Internos.</w:t>
            </w:r>
          </w:p>
        </w:tc>
        <w:tc>
          <w:tcPr>
            <w:tcW w:w="1532" w:type="dxa"/>
            <w:tcBorders>
              <w:top w:val="nil"/>
              <w:left w:val="nil"/>
              <w:bottom w:val="single" w:sz="4" w:space="0" w:color="auto"/>
              <w:right w:val="single" w:sz="4" w:space="0" w:color="auto"/>
            </w:tcBorders>
            <w:vAlign w:val="bottom"/>
            <w:hideMark/>
          </w:tcPr>
          <w:p w14:paraId="4EAB260F" w14:textId="353354D5" w:rsidR="00BF5974" w:rsidRPr="00611C5A" w:rsidRDefault="0046357D">
            <w:pPr>
              <w:spacing w:line="256" w:lineRule="auto"/>
              <w:jc w:val="right"/>
              <w:rPr>
                <w:rFonts w:cs="Arial"/>
                <w:sz w:val="20"/>
                <w:szCs w:val="20"/>
                <w:lang w:val="es-ES" w:eastAsia="en-US"/>
              </w:rPr>
            </w:pPr>
            <w:r w:rsidRPr="0046357D">
              <w:rPr>
                <w:rFonts w:cs="Arial"/>
                <w:sz w:val="20"/>
                <w:szCs w:val="20"/>
                <w:lang w:val="es-ES" w:eastAsia="en-US"/>
              </w:rPr>
              <w:t>333,241,473</w:t>
            </w:r>
          </w:p>
        </w:tc>
      </w:tr>
      <w:tr w:rsidR="00BF5974" w:rsidRPr="00611C5A" w14:paraId="3EAB7AAE" w14:textId="77777777" w:rsidTr="00BF5974">
        <w:trPr>
          <w:trHeight w:val="20"/>
          <w:jc w:val="center"/>
        </w:trPr>
        <w:tc>
          <w:tcPr>
            <w:tcW w:w="674" w:type="dxa"/>
            <w:tcBorders>
              <w:top w:val="nil"/>
              <w:left w:val="single" w:sz="4" w:space="0" w:color="auto"/>
              <w:bottom w:val="single" w:sz="4" w:space="0" w:color="auto"/>
              <w:right w:val="single" w:sz="4" w:space="0" w:color="auto"/>
            </w:tcBorders>
            <w:vAlign w:val="center"/>
            <w:hideMark/>
          </w:tcPr>
          <w:p w14:paraId="2787CA3F" w14:textId="77777777" w:rsidR="00BF5974" w:rsidRPr="00611C5A" w:rsidRDefault="00BF5974">
            <w:pPr>
              <w:spacing w:line="256" w:lineRule="auto"/>
              <w:jc w:val="center"/>
              <w:rPr>
                <w:rFonts w:eastAsia="Times New Roman" w:cs="Arial"/>
                <w:bCs/>
                <w:color w:val="000000"/>
                <w:sz w:val="20"/>
                <w:szCs w:val="20"/>
                <w:lang w:val="es-ES" w:eastAsia="en-US"/>
              </w:rPr>
            </w:pPr>
            <w:r w:rsidRPr="00611C5A">
              <w:rPr>
                <w:rFonts w:eastAsia="Times New Roman" w:cs="Arial"/>
                <w:bCs/>
                <w:color w:val="000000"/>
                <w:sz w:val="20"/>
                <w:szCs w:val="20"/>
                <w:lang w:val="es-ES" w:eastAsia="en-US"/>
              </w:rPr>
              <w:t>13</w:t>
            </w:r>
          </w:p>
        </w:tc>
        <w:tc>
          <w:tcPr>
            <w:tcW w:w="5478" w:type="dxa"/>
            <w:tcBorders>
              <w:top w:val="nil"/>
              <w:left w:val="nil"/>
              <w:bottom w:val="single" w:sz="4" w:space="0" w:color="auto"/>
              <w:right w:val="single" w:sz="4" w:space="0" w:color="auto"/>
            </w:tcBorders>
            <w:vAlign w:val="center"/>
            <w:hideMark/>
          </w:tcPr>
          <w:p w14:paraId="1F66901B" w14:textId="77777777" w:rsidR="00BF5974" w:rsidRPr="00611C5A" w:rsidRDefault="00BF5974">
            <w:pPr>
              <w:spacing w:line="256" w:lineRule="auto"/>
              <w:rPr>
                <w:rFonts w:eastAsia="Times New Roman" w:cs="Arial"/>
                <w:bCs/>
                <w:color w:val="000000"/>
                <w:sz w:val="20"/>
                <w:szCs w:val="20"/>
                <w:lang w:val="es-ES" w:eastAsia="en-US"/>
              </w:rPr>
            </w:pPr>
            <w:r w:rsidRPr="00611C5A">
              <w:rPr>
                <w:rFonts w:eastAsia="Times New Roman" w:cs="Arial"/>
                <w:bCs/>
                <w:color w:val="000000"/>
                <w:sz w:val="20"/>
                <w:szCs w:val="20"/>
                <w:lang w:val="es-ES" w:eastAsia="en-US"/>
              </w:rPr>
              <w:t>Financiamientos Externos.</w:t>
            </w:r>
          </w:p>
        </w:tc>
        <w:tc>
          <w:tcPr>
            <w:tcW w:w="1532" w:type="dxa"/>
            <w:tcBorders>
              <w:top w:val="nil"/>
              <w:left w:val="nil"/>
              <w:bottom w:val="single" w:sz="4" w:space="0" w:color="auto"/>
              <w:right w:val="single" w:sz="4" w:space="0" w:color="auto"/>
            </w:tcBorders>
            <w:vAlign w:val="center"/>
            <w:hideMark/>
          </w:tcPr>
          <w:p w14:paraId="3CB31EA5" w14:textId="77777777" w:rsidR="00BF5974" w:rsidRPr="00611C5A" w:rsidRDefault="00BF5974">
            <w:pPr>
              <w:spacing w:line="256" w:lineRule="auto"/>
              <w:jc w:val="right"/>
              <w:rPr>
                <w:rFonts w:cs="Arial"/>
                <w:color w:val="000000"/>
                <w:sz w:val="20"/>
                <w:szCs w:val="20"/>
                <w:lang w:val="es-ES" w:eastAsia="en-US"/>
              </w:rPr>
            </w:pPr>
            <w:r w:rsidRPr="00611C5A">
              <w:rPr>
                <w:rFonts w:cs="Arial"/>
                <w:color w:val="000000"/>
                <w:sz w:val="20"/>
                <w:szCs w:val="20"/>
                <w:lang w:val="es-ES" w:eastAsia="en-US"/>
              </w:rPr>
              <w:t>0</w:t>
            </w:r>
          </w:p>
        </w:tc>
      </w:tr>
      <w:tr w:rsidR="00BF5974" w:rsidRPr="00611C5A" w14:paraId="74DC4B67" w14:textId="77777777" w:rsidTr="00BF5974">
        <w:trPr>
          <w:trHeight w:val="20"/>
          <w:jc w:val="center"/>
        </w:trPr>
        <w:tc>
          <w:tcPr>
            <w:tcW w:w="674" w:type="dxa"/>
            <w:tcBorders>
              <w:top w:val="nil"/>
              <w:left w:val="single" w:sz="4" w:space="0" w:color="auto"/>
              <w:bottom w:val="single" w:sz="4" w:space="0" w:color="auto"/>
              <w:right w:val="single" w:sz="4" w:space="0" w:color="auto"/>
            </w:tcBorders>
            <w:vAlign w:val="center"/>
            <w:hideMark/>
          </w:tcPr>
          <w:p w14:paraId="538E3DC6" w14:textId="77777777" w:rsidR="00BF5974" w:rsidRPr="00611C5A" w:rsidRDefault="00BF5974">
            <w:pPr>
              <w:spacing w:line="256" w:lineRule="auto"/>
              <w:jc w:val="center"/>
              <w:rPr>
                <w:rFonts w:eastAsia="Times New Roman" w:cs="Arial"/>
                <w:bCs/>
                <w:color w:val="000000"/>
                <w:sz w:val="20"/>
                <w:szCs w:val="20"/>
                <w:lang w:val="es-ES" w:eastAsia="en-US"/>
              </w:rPr>
            </w:pPr>
            <w:r w:rsidRPr="00611C5A">
              <w:rPr>
                <w:rFonts w:eastAsia="Times New Roman" w:cs="Arial"/>
                <w:bCs/>
                <w:color w:val="000000"/>
                <w:sz w:val="20"/>
                <w:szCs w:val="20"/>
                <w:lang w:val="es-ES" w:eastAsia="en-US"/>
              </w:rPr>
              <w:t>14</w:t>
            </w:r>
          </w:p>
        </w:tc>
        <w:tc>
          <w:tcPr>
            <w:tcW w:w="5478" w:type="dxa"/>
            <w:tcBorders>
              <w:top w:val="nil"/>
              <w:left w:val="nil"/>
              <w:bottom w:val="single" w:sz="4" w:space="0" w:color="auto"/>
              <w:right w:val="single" w:sz="4" w:space="0" w:color="auto"/>
            </w:tcBorders>
            <w:vAlign w:val="center"/>
            <w:hideMark/>
          </w:tcPr>
          <w:p w14:paraId="12E4C999" w14:textId="77777777" w:rsidR="00BF5974" w:rsidRPr="00611C5A" w:rsidRDefault="00BF5974">
            <w:pPr>
              <w:spacing w:line="256" w:lineRule="auto"/>
              <w:rPr>
                <w:rFonts w:eastAsia="Times New Roman" w:cs="Arial"/>
                <w:bCs/>
                <w:color w:val="000000"/>
                <w:sz w:val="20"/>
                <w:szCs w:val="20"/>
                <w:lang w:val="es-ES" w:eastAsia="en-US"/>
              </w:rPr>
            </w:pPr>
            <w:r w:rsidRPr="00611C5A">
              <w:rPr>
                <w:rFonts w:eastAsia="Times New Roman" w:cs="Arial"/>
                <w:bCs/>
                <w:color w:val="000000"/>
                <w:sz w:val="20"/>
                <w:szCs w:val="20"/>
                <w:lang w:val="es-ES" w:eastAsia="en-US"/>
              </w:rPr>
              <w:t>Ingresos Propios.</w:t>
            </w:r>
          </w:p>
        </w:tc>
        <w:tc>
          <w:tcPr>
            <w:tcW w:w="1532" w:type="dxa"/>
            <w:tcBorders>
              <w:top w:val="nil"/>
              <w:left w:val="nil"/>
              <w:bottom w:val="single" w:sz="4" w:space="0" w:color="auto"/>
              <w:right w:val="single" w:sz="4" w:space="0" w:color="auto"/>
            </w:tcBorders>
            <w:vAlign w:val="center"/>
            <w:hideMark/>
          </w:tcPr>
          <w:p w14:paraId="6E169EF0" w14:textId="77777777" w:rsidR="00BF5974" w:rsidRPr="00611C5A" w:rsidRDefault="00BF5974">
            <w:pPr>
              <w:spacing w:line="256" w:lineRule="auto"/>
              <w:jc w:val="right"/>
              <w:rPr>
                <w:rFonts w:cs="Arial"/>
                <w:color w:val="000000"/>
                <w:sz w:val="20"/>
                <w:szCs w:val="20"/>
                <w:lang w:val="es-ES" w:eastAsia="en-US"/>
              </w:rPr>
            </w:pPr>
            <w:r w:rsidRPr="00611C5A">
              <w:rPr>
                <w:rFonts w:cs="Arial"/>
                <w:color w:val="000000"/>
                <w:sz w:val="20"/>
                <w:szCs w:val="20"/>
                <w:lang w:val="es-ES" w:eastAsia="en-US"/>
              </w:rPr>
              <w:t>0</w:t>
            </w:r>
          </w:p>
        </w:tc>
      </w:tr>
      <w:tr w:rsidR="00BF5974" w:rsidRPr="00611C5A" w14:paraId="2B189AE0" w14:textId="77777777" w:rsidTr="00BF5974">
        <w:trPr>
          <w:trHeight w:val="20"/>
          <w:jc w:val="center"/>
        </w:trPr>
        <w:tc>
          <w:tcPr>
            <w:tcW w:w="674" w:type="dxa"/>
            <w:tcBorders>
              <w:top w:val="nil"/>
              <w:left w:val="single" w:sz="4" w:space="0" w:color="auto"/>
              <w:bottom w:val="single" w:sz="4" w:space="0" w:color="auto"/>
              <w:right w:val="single" w:sz="4" w:space="0" w:color="auto"/>
            </w:tcBorders>
            <w:vAlign w:val="center"/>
            <w:hideMark/>
          </w:tcPr>
          <w:p w14:paraId="4245B61D" w14:textId="77777777" w:rsidR="00BF5974" w:rsidRPr="00611C5A" w:rsidRDefault="00BF5974">
            <w:pPr>
              <w:spacing w:line="256" w:lineRule="auto"/>
              <w:jc w:val="center"/>
              <w:rPr>
                <w:rFonts w:eastAsia="Times New Roman" w:cs="Arial"/>
                <w:bCs/>
                <w:color w:val="000000"/>
                <w:sz w:val="20"/>
                <w:szCs w:val="20"/>
                <w:lang w:val="es-ES" w:eastAsia="en-US"/>
              </w:rPr>
            </w:pPr>
            <w:r w:rsidRPr="00611C5A">
              <w:rPr>
                <w:rFonts w:eastAsia="Times New Roman" w:cs="Arial"/>
                <w:bCs/>
                <w:color w:val="000000"/>
                <w:sz w:val="20"/>
                <w:szCs w:val="20"/>
                <w:lang w:val="es-ES" w:eastAsia="en-US"/>
              </w:rPr>
              <w:t>15</w:t>
            </w:r>
          </w:p>
        </w:tc>
        <w:tc>
          <w:tcPr>
            <w:tcW w:w="5478" w:type="dxa"/>
            <w:tcBorders>
              <w:top w:val="nil"/>
              <w:left w:val="nil"/>
              <w:bottom w:val="single" w:sz="4" w:space="0" w:color="auto"/>
              <w:right w:val="single" w:sz="4" w:space="0" w:color="auto"/>
            </w:tcBorders>
            <w:vAlign w:val="center"/>
            <w:hideMark/>
          </w:tcPr>
          <w:p w14:paraId="07684E94" w14:textId="77777777" w:rsidR="00BF5974" w:rsidRPr="00611C5A" w:rsidRDefault="00BF5974">
            <w:pPr>
              <w:spacing w:line="256" w:lineRule="auto"/>
              <w:rPr>
                <w:rFonts w:eastAsia="Times New Roman" w:cs="Arial"/>
                <w:bCs/>
                <w:color w:val="000000"/>
                <w:sz w:val="20"/>
                <w:szCs w:val="20"/>
                <w:lang w:val="es-ES" w:eastAsia="en-US"/>
              </w:rPr>
            </w:pPr>
            <w:r w:rsidRPr="00611C5A">
              <w:rPr>
                <w:rFonts w:eastAsia="Times New Roman" w:cs="Arial"/>
                <w:bCs/>
                <w:color w:val="000000"/>
                <w:sz w:val="20"/>
                <w:szCs w:val="20"/>
                <w:lang w:val="es-ES" w:eastAsia="en-US"/>
              </w:rPr>
              <w:t>Recursos Federales.</w:t>
            </w:r>
          </w:p>
        </w:tc>
        <w:tc>
          <w:tcPr>
            <w:tcW w:w="1532" w:type="dxa"/>
            <w:tcBorders>
              <w:top w:val="nil"/>
              <w:left w:val="nil"/>
              <w:bottom w:val="single" w:sz="4" w:space="0" w:color="auto"/>
              <w:right w:val="single" w:sz="4" w:space="0" w:color="auto"/>
            </w:tcBorders>
            <w:vAlign w:val="center"/>
            <w:hideMark/>
          </w:tcPr>
          <w:p w14:paraId="479B47A7" w14:textId="77777777" w:rsidR="00BF5974" w:rsidRPr="00611C5A" w:rsidRDefault="00BF5974">
            <w:pPr>
              <w:spacing w:line="256" w:lineRule="auto"/>
              <w:jc w:val="right"/>
              <w:rPr>
                <w:rFonts w:eastAsia="Times New Roman" w:cs="Arial"/>
                <w:color w:val="000000"/>
                <w:sz w:val="20"/>
                <w:szCs w:val="20"/>
                <w:lang w:val="es-ES" w:eastAsia="en-US"/>
              </w:rPr>
            </w:pPr>
            <w:r w:rsidRPr="00611C5A">
              <w:rPr>
                <w:rFonts w:cs="Arial"/>
                <w:color w:val="000000"/>
                <w:sz w:val="20"/>
                <w:szCs w:val="20"/>
                <w:lang w:val="es-ES" w:eastAsia="en-US"/>
              </w:rPr>
              <w:t xml:space="preserve">8,263,734,225 </w:t>
            </w:r>
          </w:p>
        </w:tc>
      </w:tr>
      <w:tr w:rsidR="00BF5974" w:rsidRPr="00611C5A" w14:paraId="5E3EDDE9" w14:textId="77777777" w:rsidTr="00BF5974">
        <w:trPr>
          <w:trHeight w:val="20"/>
          <w:jc w:val="center"/>
        </w:trPr>
        <w:tc>
          <w:tcPr>
            <w:tcW w:w="674" w:type="dxa"/>
            <w:tcBorders>
              <w:top w:val="nil"/>
              <w:left w:val="single" w:sz="4" w:space="0" w:color="auto"/>
              <w:bottom w:val="single" w:sz="4" w:space="0" w:color="auto"/>
              <w:right w:val="single" w:sz="4" w:space="0" w:color="auto"/>
            </w:tcBorders>
            <w:vAlign w:val="center"/>
            <w:hideMark/>
          </w:tcPr>
          <w:p w14:paraId="69FA489B" w14:textId="77777777" w:rsidR="00BF5974" w:rsidRPr="00611C5A" w:rsidRDefault="00BF5974">
            <w:pPr>
              <w:spacing w:line="256" w:lineRule="auto"/>
              <w:jc w:val="center"/>
              <w:rPr>
                <w:rFonts w:eastAsia="Times New Roman" w:cs="Arial"/>
                <w:bCs/>
                <w:color w:val="000000"/>
                <w:sz w:val="20"/>
                <w:szCs w:val="20"/>
                <w:lang w:val="es-ES" w:eastAsia="en-US"/>
              </w:rPr>
            </w:pPr>
            <w:r w:rsidRPr="00611C5A">
              <w:rPr>
                <w:rFonts w:eastAsia="Times New Roman" w:cs="Arial"/>
                <w:bCs/>
                <w:color w:val="000000"/>
                <w:sz w:val="20"/>
                <w:szCs w:val="20"/>
                <w:lang w:val="es-ES" w:eastAsia="en-US"/>
              </w:rPr>
              <w:t>16</w:t>
            </w:r>
          </w:p>
        </w:tc>
        <w:tc>
          <w:tcPr>
            <w:tcW w:w="5478" w:type="dxa"/>
            <w:tcBorders>
              <w:top w:val="nil"/>
              <w:left w:val="nil"/>
              <w:bottom w:val="single" w:sz="4" w:space="0" w:color="auto"/>
              <w:right w:val="single" w:sz="4" w:space="0" w:color="auto"/>
            </w:tcBorders>
            <w:vAlign w:val="center"/>
            <w:hideMark/>
          </w:tcPr>
          <w:p w14:paraId="41C05C38" w14:textId="77777777" w:rsidR="00BF5974" w:rsidRPr="00611C5A" w:rsidRDefault="00BF5974">
            <w:pPr>
              <w:spacing w:line="256" w:lineRule="auto"/>
              <w:rPr>
                <w:rFonts w:eastAsia="Times New Roman" w:cs="Arial"/>
                <w:bCs/>
                <w:color w:val="000000"/>
                <w:sz w:val="20"/>
                <w:szCs w:val="20"/>
                <w:lang w:val="es-ES" w:eastAsia="en-US"/>
              </w:rPr>
            </w:pPr>
            <w:r w:rsidRPr="00611C5A">
              <w:rPr>
                <w:rFonts w:eastAsia="Times New Roman" w:cs="Arial"/>
                <w:bCs/>
                <w:color w:val="000000"/>
                <w:sz w:val="20"/>
                <w:szCs w:val="20"/>
                <w:lang w:val="es-ES" w:eastAsia="en-US"/>
              </w:rPr>
              <w:t>Recursos Estatales.</w:t>
            </w:r>
          </w:p>
        </w:tc>
        <w:tc>
          <w:tcPr>
            <w:tcW w:w="1532" w:type="dxa"/>
            <w:tcBorders>
              <w:top w:val="nil"/>
              <w:left w:val="nil"/>
              <w:bottom w:val="single" w:sz="4" w:space="0" w:color="auto"/>
              <w:right w:val="single" w:sz="4" w:space="0" w:color="auto"/>
            </w:tcBorders>
            <w:vAlign w:val="center"/>
            <w:hideMark/>
          </w:tcPr>
          <w:p w14:paraId="0B9E9821" w14:textId="77777777" w:rsidR="00BF5974" w:rsidRPr="00611C5A" w:rsidRDefault="00BF5974">
            <w:pPr>
              <w:spacing w:line="256" w:lineRule="auto"/>
              <w:jc w:val="right"/>
              <w:rPr>
                <w:rFonts w:cs="Arial"/>
                <w:color w:val="000000"/>
                <w:sz w:val="20"/>
                <w:szCs w:val="20"/>
                <w:lang w:val="es-ES" w:eastAsia="en-US"/>
              </w:rPr>
            </w:pPr>
            <w:r w:rsidRPr="00611C5A">
              <w:rPr>
                <w:rFonts w:cs="Arial"/>
                <w:color w:val="000000"/>
                <w:sz w:val="20"/>
                <w:szCs w:val="20"/>
                <w:lang w:val="es-ES" w:eastAsia="en-US"/>
              </w:rPr>
              <w:t>0</w:t>
            </w:r>
          </w:p>
        </w:tc>
      </w:tr>
      <w:tr w:rsidR="00BF5974" w:rsidRPr="00611C5A" w14:paraId="16E70A11" w14:textId="77777777" w:rsidTr="00BF5974">
        <w:trPr>
          <w:trHeight w:val="20"/>
          <w:jc w:val="center"/>
        </w:trPr>
        <w:tc>
          <w:tcPr>
            <w:tcW w:w="674" w:type="dxa"/>
            <w:tcBorders>
              <w:top w:val="nil"/>
              <w:left w:val="single" w:sz="4" w:space="0" w:color="auto"/>
              <w:bottom w:val="single" w:sz="4" w:space="0" w:color="auto"/>
              <w:right w:val="single" w:sz="4" w:space="0" w:color="auto"/>
            </w:tcBorders>
            <w:vAlign w:val="center"/>
            <w:hideMark/>
          </w:tcPr>
          <w:p w14:paraId="2CD42F21" w14:textId="77777777" w:rsidR="00BF5974" w:rsidRPr="00611C5A" w:rsidRDefault="00BF5974">
            <w:pPr>
              <w:spacing w:line="256" w:lineRule="auto"/>
              <w:jc w:val="center"/>
              <w:rPr>
                <w:rFonts w:eastAsia="Times New Roman" w:cs="Arial"/>
                <w:bCs/>
                <w:color w:val="000000"/>
                <w:sz w:val="20"/>
                <w:szCs w:val="20"/>
                <w:lang w:val="es-ES" w:eastAsia="en-US"/>
              </w:rPr>
            </w:pPr>
            <w:r w:rsidRPr="00611C5A">
              <w:rPr>
                <w:rFonts w:eastAsia="Times New Roman" w:cs="Arial"/>
                <w:bCs/>
                <w:color w:val="000000"/>
                <w:sz w:val="20"/>
                <w:szCs w:val="20"/>
                <w:lang w:val="es-ES" w:eastAsia="en-US"/>
              </w:rPr>
              <w:t>17</w:t>
            </w:r>
          </w:p>
        </w:tc>
        <w:tc>
          <w:tcPr>
            <w:tcW w:w="5478" w:type="dxa"/>
            <w:tcBorders>
              <w:top w:val="nil"/>
              <w:left w:val="nil"/>
              <w:bottom w:val="single" w:sz="4" w:space="0" w:color="auto"/>
              <w:right w:val="single" w:sz="4" w:space="0" w:color="auto"/>
            </w:tcBorders>
            <w:vAlign w:val="center"/>
            <w:hideMark/>
          </w:tcPr>
          <w:p w14:paraId="6320C5A6" w14:textId="77777777" w:rsidR="00BF5974" w:rsidRPr="00611C5A" w:rsidRDefault="00BF5974">
            <w:pPr>
              <w:spacing w:line="256" w:lineRule="auto"/>
              <w:rPr>
                <w:rFonts w:eastAsia="Times New Roman" w:cs="Arial"/>
                <w:bCs/>
                <w:color w:val="000000"/>
                <w:sz w:val="20"/>
                <w:szCs w:val="20"/>
                <w:lang w:val="es-ES" w:eastAsia="en-US"/>
              </w:rPr>
            </w:pPr>
            <w:r w:rsidRPr="00611C5A">
              <w:rPr>
                <w:rFonts w:eastAsia="Times New Roman" w:cs="Arial"/>
                <w:bCs/>
                <w:color w:val="000000"/>
                <w:sz w:val="20"/>
                <w:szCs w:val="20"/>
                <w:lang w:val="es-ES" w:eastAsia="en-US"/>
              </w:rPr>
              <w:t>Otros Recursos de Libre Disposición.</w:t>
            </w:r>
          </w:p>
        </w:tc>
        <w:tc>
          <w:tcPr>
            <w:tcW w:w="1532" w:type="dxa"/>
            <w:tcBorders>
              <w:top w:val="nil"/>
              <w:left w:val="nil"/>
              <w:bottom w:val="single" w:sz="4" w:space="0" w:color="auto"/>
              <w:right w:val="single" w:sz="4" w:space="0" w:color="auto"/>
            </w:tcBorders>
            <w:vAlign w:val="center"/>
            <w:hideMark/>
          </w:tcPr>
          <w:p w14:paraId="7B4B6823" w14:textId="1CC5B37D" w:rsidR="00BF5974" w:rsidRPr="00611C5A" w:rsidRDefault="009D26EB" w:rsidP="009D26EB">
            <w:pPr>
              <w:jc w:val="right"/>
              <w:rPr>
                <w:rFonts w:eastAsia="Times New Roman" w:cs="Arial"/>
                <w:color w:val="000000"/>
                <w:sz w:val="20"/>
                <w:szCs w:val="20"/>
              </w:rPr>
            </w:pPr>
            <w:r w:rsidRPr="00611C5A">
              <w:rPr>
                <w:rFonts w:cs="Arial"/>
                <w:color w:val="000000"/>
                <w:sz w:val="20"/>
                <w:szCs w:val="20"/>
              </w:rPr>
              <w:t xml:space="preserve">362,716,396 </w:t>
            </w:r>
          </w:p>
        </w:tc>
      </w:tr>
      <w:tr w:rsidR="00BF5974" w:rsidRPr="00611C5A" w14:paraId="3B492741" w14:textId="77777777" w:rsidTr="00BF5974">
        <w:trPr>
          <w:trHeight w:val="20"/>
          <w:jc w:val="center"/>
        </w:trPr>
        <w:tc>
          <w:tcPr>
            <w:tcW w:w="674" w:type="dxa"/>
            <w:tcBorders>
              <w:top w:val="nil"/>
              <w:left w:val="single" w:sz="4" w:space="0" w:color="auto"/>
              <w:bottom w:val="single" w:sz="4" w:space="0" w:color="auto"/>
              <w:right w:val="single" w:sz="4" w:space="0" w:color="auto"/>
            </w:tcBorders>
            <w:vAlign w:val="center"/>
            <w:hideMark/>
          </w:tcPr>
          <w:p w14:paraId="3879F1B0" w14:textId="77777777" w:rsidR="00BF5974" w:rsidRPr="00611C5A" w:rsidRDefault="00BF5974">
            <w:pPr>
              <w:spacing w:line="256" w:lineRule="auto"/>
              <w:jc w:val="center"/>
              <w:rPr>
                <w:rFonts w:eastAsia="Times New Roman" w:cs="Arial"/>
                <w:b/>
                <w:bCs/>
                <w:color w:val="000000"/>
                <w:sz w:val="20"/>
                <w:szCs w:val="20"/>
                <w:lang w:val="es-ES" w:eastAsia="en-US"/>
              </w:rPr>
            </w:pPr>
            <w:r w:rsidRPr="00611C5A">
              <w:rPr>
                <w:rFonts w:eastAsia="Times New Roman" w:cs="Arial"/>
                <w:b/>
                <w:bCs/>
                <w:color w:val="000000"/>
                <w:sz w:val="20"/>
                <w:szCs w:val="20"/>
                <w:lang w:val="es-ES" w:eastAsia="en-US"/>
              </w:rPr>
              <w:lastRenderedPageBreak/>
              <w:t>2</w:t>
            </w:r>
          </w:p>
        </w:tc>
        <w:tc>
          <w:tcPr>
            <w:tcW w:w="5478" w:type="dxa"/>
            <w:tcBorders>
              <w:top w:val="nil"/>
              <w:left w:val="nil"/>
              <w:bottom w:val="single" w:sz="4" w:space="0" w:color="auto"/>
              <w:right w:val="single" w:sz="4" w:space="0" w:color="auto"/>
            </w:tcBorders>
            <w:vAlign w:val="center"/>
            <w:hideMark/>
          </w:tcPr>
          <w:p w14:paraId="3939B9AA" w14:textId="77777777" w:rsidR="00BF5974" w:rsidRPr="00611C5A" w:rsidRDefault="00BF5974">
            <w:pPr>
              <w:spacing w:line="256" w:lineRule="auto"/>
              <w:rPr>
                <w:rFonts w:eastAsia="Times New Roman" w:cs="Arial"/>
                <w:b/>
                <w:bCs/>
                <w:color w:val="000000"/>
                <w:sz w:val="20"/>
                <w:szCs w:val="20"/>
                <w:lang w:val="es-ES" w:eastAsia="en-US"/>
              </w:rPr>
            </w:pPr>
            <w:r w:rsidRPr="00611C5A">
              <w:rPr>
                <w:rFonts w:eastAsia="Times New Roman" w:cs="Arial"/>
                <w:b/>
                <w:bCs/>
                <w:color w:val="000000"/>
                <w:sz w:val="20"/>
                <w:szCs w:val="20"/>
                <w:lang w:val="es-ES" w:eastAsia="en-US"/>
              </w:rPr>
              <w:t>Etiquetado.</w:t>
            </w:r>
          </w:p>
        </w:tc>
        <w:tc>
          <w:tcPr>
            <w:tcW w:w="1532" w:type="dxa"/>
            <w:tcBorders>
              <w:top w:val="nil"/>
              <w:left w:val="nil"/>
              <w:bottom w:val="single" w:sz="4" w:space="0" w:color="auto"/>
              <w:right w:val="single" w:sz="4" w:space="0" w:color="auto"/>
            </w:tcBorders>
            <w:vAlign w:val="bottom"/>
            <w:hideMark/>
          </w:tcPr>
          <w:p w14:paraId="76948898" w14:textId="77777777" w:rsidR="00BF5974" w:rsidRPr="00611C5A" w:rsidRDefault="00BF5974">
            <w:pPr>
              <w:spacing w:line="256" w:lineRule="auto"/>
              <w:jc w:val="right"/>
              <w:rPr>
                <w:rFonts w:cs="Arial"/>
                <w:b/>
                <w:bCs/>
                <w:color w:val="000000"/>
                <w:sz w:val="20"/>
                <w:szCs w:val="20"/>
                <w:lang w:val="es-ES" w:eastAsia="en-US"/>
              </w:rPr>
            </w:pPr>
            <w:r w:rsidRPr="00611C5A">
              <w:rPr>
                <w:rFonts w:cs="Arial"/>
                <w:b/>
                <w:bCs/>
                <w:color w:val="000000"/>
                <w:sz w:val="20"/>
                <w:szCs w:val="20"/>
                <w:lang w:val="es-ES" w:eastAsia="en-US"/>
              </w:rPr>
              <w:t xml:space="preserve">12,009,772,961 </w:t>
            </w:r>
          </w:p>
        </w:tc>
      </w:tr>
      <w:tr w:rsidR="00BF5974" w:rsidRPr="00611C5A" w14:paraId="70C572AA" w14:textId="77777777" w:rsidTr="00BF5974">
        <w:trPr>
          <w:trHeight w:val="20"/>
          <w:jc w:val="center"/>
        </w:trPr>
        <w:tc>
          <w:tcPr>
            <w:tcW w:w="674" w:type="dxa"/>
            <w:tcBorders>
              <w:top w:val="nil"/>
              <w:left w:val="single" w:sz="4" w:space="0" w:color="auto"/>
              <w:bottom w:val="single" w:sz="4" w:space="0" w:color="auto"/>
              <w:right w:val="single" w:sz="4" w:space="0" w:color="auto"/>
            </w:tcBorders>
            <w:vAlign w:val="center"/>
            <w:hideMark/>
          </w:tcPr>
          <w:p w14:paraId="0073C228" w14:textId="77777777" w:rsidR="00BF5974" w:rsidRPr="00611C5A" w:rsidRDefault="00BF5974">
            <w:pPr>
              <w:spacing w:line="256" w:lineRule="auto"/>
              <w:jc w:val="center"/>
              <w:rPr>
                <w:rFonts w:eastAsia="Times New Roman" w:cs="Arial"/>
                <w:bCs/>
                <w:color w:val="000000"/>
                <w:sz w:val="20"/>
                <w:szCs w:val="20"/>
                <w:lang w:val="es-ES" w:eastAsia="en-US"/>
              </w:rPr>
            </w:pPr>
            <w:r w:rsidRPr="00611C5A">
              <w:rPr>
                <w:rFonts w:eastAsia="Times New Roman" w:cs="Arial"/>
                <w:bCs/>
                <w:color w:val="000000"/>
                <w:sz w:val="20"/>
                <w:szCs w:val="20"/>
                <w:lang w:val="es-ES" w:eastAsia="en-US"/>
              </w:rPr>
              <w:t>25</w:t>
            </w:r>
          </w:p>
        </w:tc>
        <w:tc>
          <w:tcPr>
            <w:tcW w:w="5478" w:type="dxa"/>
            <w:tcBorders>
              <w:top w:val="nil"/>
              <w:left w:val="nil"/>
              <w:bottom w:val="single" w:sz="4" w:space="0" w:color="auto"/>
              <w:right w:val="single" w:sz="4" w:space="0" w:color="auto"/>
            </w:tcBorders>
            <w:vAlign w:val="center"/>
            <w:hideMark/>
          </w:tcPr>
          <w:p w14:paraId="73EC2E54" w14:textId="77777777" w:rsidR="00BF5974" w:rsidRPr="00611C5A" w:rsidRDefault="00BF5974">
            <w:pPr>
              <w:spacing w:line="256" w:lineRule="auto"/>
              <w:rPr>
                <w:rFonts w:eastAsia="Times New Roman" w:cs="Arial"/>
                <w:bCs/>
                <w:color w:val="000000"/>
                <w:sz w:val="20"/>
                <w:szCs w:val="20"/>
                <w:lang w:val="es-ES" w:eastAsia="en-US"/>
              </w:rPr>
            </w:pPr>
            <w:r w:rsidRPr="00611C5A">
              <w:rPr>
                <w:rFonts w:eastAsia="Times New Roman" w:cs="Arial"/>
                <w:bCs/>
                <w:color w:val="000000"/>
                <w:sz w:val="20"/>
                <w:szCs w:val="20"/>
                <w:lang w:val="es-ES" w:eastAsia="en-US"/>
              </w:rPr>
              <w:t>Recursos Federales.</w:t>
            </w:r>
          </w:p>
        </w:tc>
        <w:tc>
          <w:tcPr>
            <w:tcW w:w="1532" w:type="dxa"/>
            <w:tcBorders>
              <w:top w:val="nil"/>
              <w:left w:val="nil"/>
              <w:bottom w:val="single" w:sz="4" w:space="0" w:color="auto"/>
              <w:right w:val="single" w:sz="4" w:space="0" w:color="auto"/>
            </w:tcBorders>
            <w:vAlign w:val="bottom"/>
            <w:hideMark/>
          </w:tcPr>
          <w:p w14:paraId="46BA3664" w14:textId="77777777" w:rsidR="00BF5974" w:rsidRPr="00611C5A" w:rsidRDefault="00BF5974">
            <w:pPr>
              <w:spacing w:line="256" w:lineRule="auto"/>
              <w:jc w:val="right"/>
              <w:rPr>
                <w:rFonts w:cs="Arial"/>
                <w:color w:val="000000"/>
                <w:sz w:val="20"/>
                <w:szCs w:val="20"/>
                <w:lang w:val="es-ES" w:eastAsia="en-US"/>
              </w:rPr>
            </w:pPr>
            <w:r w:rsidRPr="00611C5A">
              <w:rPr>
                <w:rFonts w:cs="Arial"/>
                <w:color w:val="000000"/>
                <w:sz w:val="20"/>
                <w:szCs w:val="20"/>
                <w:lang w:val="es-ES" w:eastAsia="en-US"/>
              </w:rPr>
              <w:t xml:space="preserve">12,009,772,961 </w:t>
            </w:r>
          </w:p>
        </w:tc>
      </w:tr>
      <w:tr w:rsidR="00BF5974" w:rsidRPr="00611C5A" w14:paraId="1E217335" w14:textId="77777777" w:rsidTr="00BF5974">
        <w:trPr>
          <w:trHeight w:val="20"/>
          <w:jc w:val="center"/>
        </w:trPr>
        <w:tc>
          <w:tcPr>
            <w:tcW w:w="674" w:type="dxa"/>
            <w:tcBorders>
              <w:top w:val="nil"/>
              <w:left w:val="single" w:sz="4" w:space="0" w:color="auto"/>
              <w:bottom w:val="single" w:sz="4" w:space="0" w:color="auto"/>
              <w:right w:val="single" w:sz="4" w:space="0" w:color="auto"/>
            </w:tcBorders>
            <w:vAlign w:val="center"/>
            <w:hideMark/>
          </w:tcPr>
          <w:p w14:paraId="61CCE9E1" w14:textId="77777777" w:rsidR="00BF5974" w:rsidRPr="00611C5A" w:rsidRDefault="00BF5974">
            <w:pPr>
              <w:spacing w:line="256" w:lineRule="auto"/>
              <w:jc w:val="center"/>
              <w:rPr>
                <w:rFonts w:eastAsia="Times New Roman" w:cs="Arial"/>
                <w:bCs/>
                <w:color w:val="000000"/>
                <w:sz w:val="20"/>
                <w:szCs w:val="20"/>
                <w:lang w:val="es-ES" w:eastAsia="en-US"/>
              </w:rPr>
            </w:pPr>
            <w:r w:rsidRPr="00611C5A">
              <w:rPr>
                <w:rFonts w:eastAsia="Times New Roman" w:cs="Arial"/>
                <w:bCs/>
                <w:color w:val="000000"/>
                <w:sz w:val="20"/>
                <w:szCs w:val="20"/>
                <w:lang w:val="es-ES" w:eastAsia="en-US"/>
              </w:rPr>
              <w:t>26</w:t>
            </w:r>
          </w:p>
        </w:tc>
        <w:tc>
          <w:tcPr>
            <w:tcW w:w="5478" w:type="dxa"/>
            <w:tcBorders>
              <w:top w:val="nil"/>
              <w:left w:val="nil"/>
              <w:bottom w:val="single" w:sz="4" w:space="0" w:color="auto"/>
              <w:right w:val="single" w:sz="4" w:space="0" w:color="auto"/>
            </w:tcBorders>
            <w:vAlign w:val="center"/>
            <w:hideMark/>
          </w:tcPr>
          <w:p w14:paraId="0D353BFA" w14:textId="77777777" w:rsidR="00BF5974" w:rsidRPr="00611C5A" w:rsidRDefault="00BF5974">
            <w:pPr>
              <w:spacing w:line="256" w:lineRule="auto"/>
              <w:rPr>
                <w:rFonts w:eastAsia="Times New Roman" w:cs="Arial"/>
                <w:bCs/>
                <w:color w:val="000000"/>
                <w:sz w:val="20"/>
                <w:szCs w:val="20"/>
                <w:lang w:val="es-ES" w:eastAsia="en-US"/>
              </w:rPr>
            </w:pPr>
            <w:r w:rsidRPr="00611C5A">
              <w:rPr>
                <w:rFonts w:eastAsia="Times New Roman" w:cs="Arial"/>
                <w:bCs/>
                <w:color w:val="000000"/>
                <w:sz w:val="20"/>
                <w:szCs w:val="20"/>
                <w:lang w:val="es-ES" w:eastAsia="en-US"/>
              </w:rPr>
              <w:t>Recursos Estatales.</w:t>
            </w:r>
          </w:p>
        </w:tc>
        <w:tc>
          <w:tcPr>
            <w:tcW w:w="1532" w:type="dxa"/>
            <w:tcBorders>
              <w:top w:val="nil"/>
              <w:left w:val="nil"/>
              <w:bottom w:val="single" w:sz="4" w:space="0" w:color="auto"/>
              <w:right w:val="single" w:sz="4" w:space="0" w:color="auto"/>
            </w:tcBorders>
            <w:vAlign w:val="center"/>
            <w:hideMark/>
          </w:tcPr>
          <w:p w14:paraId="4E4A9420" w14:textId="77777777" w:rsidR="00BF5974" w:rsidRPr="00611C5A" w:rsidRDefault="00BF5974">
            <w:pPr>
              <w:spacing w:line="256" w:lineRule="auto"/>
              <w:jc w:val="right"/>
              <w:rPr>
                <w:rFonts w:cs="Arial"/>
                <w:color w:val="000000"/>
                <w:sz w:val="20"/>
                <w:szCs w:val="20"/>
                <w:lang w:val="es-ES" w:eastAsia="en-US"/>
              </w:rPr>
            </w:pPr>
            <w:r w:rsidRPr="00611C5A">
              <w:rPr>
                <w:rFonts w:cs="Arial"/>
                <w:color w:val="000000"/>
                <w:sz w:val="20"/>
                <w:szCs w:val="20"/>
                <w:lang w:val="es-ES" w:eastAsia="en-US"/>
              </w:rPr>
              <w:t>0</w:t>
            </w:r>
          </w:p>
        </w:tc>
      </w:tr>
      <w:tr w:rsidR="00BF5974" w:rsidRPr="00611C5A" w14:paraId="1B17A7D2" w14:textId="77777777" w:rsidTr="00BF5974">
        <w:trPr>
          <w:trHeight w:val="20"/>
          <w:jc w:val="center"/>
        </w:trPr>
        <w:tc>
          <w:tcPr>
            <w:tcW w:w="674" w:type="dxa"/>
            <w:tcBorders>
              <w:top w:val="nil"/>
              <w:left w:val="single" w:sz="4" w:space="0" w:color="auto"/>
              <w:bottom w:val="single" w:sz="4" w:space="0" w:color="auto"/>
              <w:right w:val="single" w:sz="4" w:space="0" w:color="auto"/>
            </w:tcBorders>
            <w:vAlign w:val="center"/>
            <w:hideMark/>
          </w:tcPr>
          <w:p w14:paraId="044D7B18" w14:textId="77777777" w:rsidR="00BF5974" w:rsidRPr="00611C5A" w:rsidRDefault="00BF5974">
            <w:pPr>
              <w:spacing w:line="256" w:lineRule="auto"/>
              <w:jc w:val="center"/>
              <w:rPr>
                <w:rFonts w:eastAsia="Times New Roman" w:cs="Arial"/>
                <w:bCs/>
                <w:color w:val="000000"/>
                <w:sz w:val="20"/>
                <w:szCs w:val="20"/>
                <w:lang w:val="es-ES" w:eastAsia="en-US"/>
              </w:rPr>
            </w:pPr>
            <w:r w:rsidRPr="00611C5A">
              <w:rPr>
                <w:rFonts w:eastAsia="Times New Roman" w:cs="Arial"/>
                <w:bCs/>
                <w:color w:val="000000"/>
                <w:sz w:val="20"/>
                <w:szCs w:val="20"/>
                <w:lang w:val="es-ES" w:eastAsia="en-US"/>
              </w:rPr>
              <w:t>27</w:t>
            </w:r>
          </w:p>
        </w:tc>
        <w:tc>
          <w:tcPr>
            <w:tcW w:w="5478" w:type="dxa"/>
            <w:tcBorders>
              <w:top w:val="nil"/>
              <w:left w:val="nil"/>
              <w:bottom w:val="single" w:sz="4" w:space="0" w:color="auto"/>
              <w:right w:val="single" w:sz="4" w:space="0" w:color="auto"/>
            </w:tcBorders>
            <w:vAlign w:val="center"/>
            <w:hideMark/>
          </w:tcPr>
          <w:p w14:paraId="2B77FC18" w14:textId="77777777" w:rsidR="00BF5974" w:rsidRPr="00611C5A" w:rsidRDefault="00BF5974">
            <w:pPr>
              <w:spacing w:line="256" w:lineRule="auto"/>
              <w:rPr>
                <w:rFonts w:eastAsia="Times New Roman" w:cs="Arial"/>
                <w:bCs/>
                <w:color w:val="000000"/>
                <w:sz w:val="20"/>
                <w:szCs w:val="20"/>
                <w:lang w:val="es-ES" w:eastAsia="en-US"/>
              </w:rPr>
            </w:pPr>
            <w:r w:rsidRPr="00611C5A">
              <w:rPr>
                <w:rFonts w:eastAsia="Times New Roman" w:cs="Arial"/>
                <w:bCs/>
                <w:color w:val="000000"/>
                <w:sz w:val="20"/>
                <w:szCs w:val="20"/>
                <w:lang w:val="es-ES" w:eastAsia="en-US"/>
              </w:rPr>
              <w:t>Otros Recursos de Transferencias Federales Etiquetadas.</w:t>
            </w:r>
          </w:p>
        </w:tc>
        <w:tc>
          <w:tcPr>
            <w:tcW w:w="1532" w:type="dxa"/>
            <w:tcBorders>
              <w:top w:val="nil"/>
              <w:left w:val="nil"/>
              <w:bottom w:val="single" w:sz="4" w:space="0" w:color="auto"/>
              <w:right w:val="single" w:sz="4" w:space="0" w:color="auto"/>
            </w:tcBorders>
            <w:vAlign w:val="center"/>
            <w:hideMark/>
          </w:tcPr>
          <w:p w14:paraId="350EFD49" w14:textId="77777777" w:rsidR="00BF5974" w:rsidRPr="00611C5A" w:rsidRDefault="00BF5974">
            <w:pPr>
              <w:spacing w:line="256" w:lineRule="auto"/>
              <w:jc w:val="right"/>
              <w:rPr>
                <w:rFonts w:cs="Arial"/>
                <w:color w:val="000000"/>
                <w:sz w:val="20"/>
                <w:szCs w:val="20"/>
                <w:lang w:val="es-ES" w:eastAsia="en-US"/>
              </w:rPr>
            </w:pPr>
            <w:r w:rsidRPr="00611C5A">
              <w:rPr>
                <w:rFonts w:cs="Arial"/>
                <w:color w:val="000000"/>
                <w:sz w:val="20"/>
                <w:szCs w:val="20"/>
                <w:lang w:val="es-ES" w:eastAsia="en-US"/>
              </w:rPr>
              <w:t>0</w:t>
            </w:r>
          </w:p>
        </w:tc>
      </w:tr>
      <w:tr w:rsidR="00BF5974" w:rsidRPr="00611C5A" w14:paraId="049911DB" w14:textId="77777777" w:rsidTr="00BF5974">
        <w:trPr>
          <w:trHeight w:val="20"/>
          <w:jc w:val="center"/>
        </w:trPr>
        <w:tc>
          <w:tcPr>
            <w:tcW w:w="674" w:type="dxa"/>
            <w:tcBorders>
              <w:top w:val="nil"/>
              <w:left w:val="single" w:sz="4" w:space="0" w:color="auto"/>
              <w:bottom w:val="single" w:sz="4" w:space="0" w:color="auto"/>
              <w:right w:val="single" w:sz="4" w:space="0" w:color="auto"/>
            </w:tcBorders>
            <w:vAlign w:val="center"/>
          </w:tcPr>
          <w:p w14:paraId="758DF602" w14:textId="77777777" w:rsidR="00BF5974" w:rsidRPr="00611C5A" w:rsidRDefault="00BF5974">
            <w:pPr>
              <w:spacing w:line="256" w:lineRule="auto"/>
              <w:jc w:val="center"/>
              <w:rPr>
                <w:rFonts w:eastAsia="Times New Roman" w:cs="Arial"/>
                <w:bCs/>
                <w:color w:val="000000"/>
                <w:sz w:val="20"/>
                <w:szCs w:val="20"/>
                <w:lang w:val="es-ES" w:eastAsia="en-US"/>
              </w:rPr>
            </w:pPr>
          </w:p>
        </w:tc>
        <w:tc>
          <w:tcPr>
            <w:tcW w:w="5478" w:type="dxa"/>
            <w:tcBorders>
              <w:top w:val="nil"/>
              <w:left w:val="nil"/>
              <w:bottom w:val="single" w:sz="4" w:space="0" w:color="auto"/>
              <w:right w:val="single" w:sz="4" w:space="0" w:color="auto"/>
            </w:tcBorders>
            <w:vAlign w:val="center"/>
            <w:hideMark/>
          </w:tcPr>
          <w:p w14:paraId="622398F2" w14:textId="77777777" w:rsidR="00BF5974" w:rsidRPr="00611C5A" w:rsidRDefault="00BF5974">
            <w:pPr>
              <w:spacing w:line="256" w:lineRule="auto"/>
              <w:jc w:val="center"/>
              <w:rPr>
                <w:rFonts w:eastAsia="Times New Roman" w:cs="Arial"/>
                <w:bCs/>
                <w:color w:val="000000"/>
                <w:sz w:val="20"/>
                <w:szCs w:val="20"/>
                <w:lang w:val="es-ES" w:eastAsia="en-US"/>
              </w:rPr>
            </w:pPr>
            <w:r w:rsidRPr="00611C5A">
              <w:rPr>
                <w:rFonts w:eastAsia="Times New Roman" w:cs="Arial"/>
                <w:b/>
                <w:bCs/>
                <w:color w:val="000000"/>
                <w:sz w:val="20"/>
                <w:szCs w:val="20"/>
                <w:lang w:val="es-ES" w:eastAsia="en-US"/>
              </w:rPr>
              <w:t>Total</w:t>
            </w:r>
          </w:p>
        </w:tc>
        <w:tc>
          <w:tcPr>
            <w:tcW w:w="1532" w:type="dxa"/>
            <w:tcBorders>
              <w:top w:val="nil"/>
              <w:left w:val="nil"/>
              <w:bottom w:val="single" w:sz="4" w:space="0" w:color="auto"/>
              <w:right w:val="single" w:sz="4" w:space="0" w:color="auto"/>
            </w:tcBorders>
            <w:vAlign w:val="center"/>
            <w:hideMark/>
          </w:tcPr>
          <w:p w14:paraId="0AAF5D40" w14:textId="0BD08B92" w:rsidR="00BF5974" w:rsidRPr="00611C5A" w:rsidRDefault="009D26EB" w:rsidP="009D26EB">
            <w:pPr>
              <w:jc w:val="right"/>
              <w:rPr>
                <w:rFonts w:eastAsia="Times New Roman" w:cs="Arial"/>
                <w:b/>
                <w:bCs/>
                <w:color w:val="000000"/>
                <w:sz w:val="20"/>
                <w:szCs w:val="20"/>
              </w:rPr>
            </w:pPr>
            <w:r w:rsidRPr="00611C5A">
              <w:rPr>
                <w:rFonts w:cs="Arial"/>
                <w:b/>
                <w:bCs/>
                <w:color w:val="000000"/>
                <w:sz w:val="20"/>
                <w:szCs w:val="20"/>
              </w:rPr>
              <w:t xml:space="preserve">23,004,130,279 </w:t>
            </w:r>
          </w:p>
        </w:tc>
      </w:tr>
    </w:tbl>
    <w:p w14:paraId="7F4EBB79" w14:textId="77777777" w:rsidR="00BF5974" w:rsidRDefault="00BF5974" w:rsidP="00BF5974">
      <w:pPr>
        <w:rPr>
          <w:rFonts w:cs="Arial"/>
          <w:b/>
          <w:lang w:val="es-ES"/>
        </w:rPr>
      </w:pPr>
    </w:p>
    <w:p w14:paraId="0A7B04A6" w14:textId="77777777" w:rsidR="00BF5974" w:rsidRDefault="00BF5974" w:rsidP="00BF5974">
      <w:pPr>
        <w:rPr>
          <w:rFonts w:cs="Arial"/>
          <w:lang w:val="es-ES"/>
        </w:rPr>
      </w:pPr>
      <w:r>
        <w:rPr>
          <w:rFonts w:cs="Arial"/>
          <w:b/>
          <w:lang w:val="es-ES"/>
        </w:rPr>
        <w:t>Artículo 12</w:t>
      </w:r>
      <w:r>
        <w:rPr>
          <w:rFonts w:cs="Arial"/>
          <w:lang w:val="es-ES"/>
        </w:rPr>
        <w:t>. El Balance Presupuestario podrá modificarse en lo conducente para cubrir las erogaciones de los proyectos de inversión previstos en este Presupuesto de Egresos, siempre que ello sea necesario como consecuencia de que los Entes Públicos, soliciten autorización a la Secretaría, para que con cargo al mecanismo presupuestario y de pago correspondiente, se apliquen medidas para cubrir una compensación económica a los servidores públicos que decidan concluir la prestación de sus servicios en la Administración Pública Estatal, sin perjuicio de las prestaciones que les correspondan en materia de seguridad social; asimismo, para que se apliquen medidas para cubrir la indemnización que, en términos de la legislación aplicable, corresponda a los servidores públicos por la terminación de su relación laboral. Dichas medidas se sujetarán a las disposiciones específicas emitidas por la Secretaría.</w:t>
      </w:r>
    </w:p>
    <w:p w14:paraId="2C6E192A" w14:textId="1E6A5D90" w:rsidR="00BF5974" w:rsidRDefault="00BF5974" w:rsidP="00BF5974">
      <w:pPr>
        <w:shd w:val="clear" w:color="auto" w:fill="FFFFFF"/>
        <w:rPr>
          <w:rFonts w:eastAsia="Times New Roman" w:cs="Arial"/>
          <w:lang w:val="es-ES" w:eastAsia="es-ES"/>
        </w:rPr>
      </w:pPr>
    </w:p>
    <w:p w14:paraId="71941043" w14:textId="77777777" w:rsidR="00105286" w:rsidRDefault="00105286" w:rsidP="00BF5974">
      <w:pPr>
        <w:shd w:val="clear" w:color="auto" w:fill="FFFFFF"/>
        <w:rPr>
          <w:rFonts w:eastAsia="Times New Roman" w:cs="Arial"/>
          <w:lang w:val="es-ES" w:eastAsia="es-ES"/>
        </w:rPr>
      </w:pPr>
    </w:p>
    <w:p w14:paraId="16C83754" w14:textId="77777777" w:rsidR="00BF5974" w:rsidRDefault="00BF5974" w:rsidP="00BF5974">
      <w:pPr>
        <w:rPr>
          <w:rFonts w:cs="Arial"/>
          <w:lang w:val="es-ES"/>
        </w:rPr>
      </w:pPr>
      <w:r>
        <w:rPr>
          <w:rFonts w:cs="Arial"/>
          <w:b/>
          <w:lang w:val="es-ES"/>
        </w:rPr>
        <w:t>Artículo 13</w:t>
      </w:r>
      <w:r>
        <w:rPr>
          <w:rFonts w:cs="Arial"/>
          <w:lang w:val="es-ES"/>
        </w:rPr>
        <w:t xml:space="preserve">. De acuerdo con la </w:t>
      </w:r>
      <w:r>
        <w:rPr>
          <w:rFonts w:cs="Arial"/>
          <w:bCs/>
          <w:lang w:val="es-ES"/>
        </w:rPr>
        <w:t>Clasificación por Tipo de Gasto, el Presupuesto de Egresos del Estado de Colima para el Ejercicio</w:t>
      </w:r>
      <w:r>
        <w:rPr>
          <w:rFonts w:cs="Arial"/>
          <w:lang w:val="es-ES"/>
        </w:rPr>
        <w:t xml:space="preserve"> Fiscal 2025 se distribuye de la siguiente forma:</w:t>
      </w:r>
    </w:p>
    <w:p w14:paraId="19FF478B" w14:textId="77777777" w:rsidR="00BF5974" w:rsidRDefault="00BF5974" w:rsidP="00BF5974">
      <w:pPr>
        <w:keepNext/>
        <w:keepLines/>
        <w:outlineLvl w:val="2"/>
        <w:rPr>
          <w:rFonts w:eastAsia="Times New Roman" w:cs="Arial"/>
          <w:b/>
          <w:szCs w:val="24"/>
          <w:lang w:val="es-E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5263"/>
        <w:gridCol w:w="1896"/>
      </w:tblGrid>
      <w:tr w:rsidR="00BF5974" w:rsidRPr="00611C5A" w14:paraId="4A0D4E96" w14:textId="77777777" w:rsidTr="00BF5974">
        <w:trPr>
          <w:trHeight w:val="227"/>
          <w:tblHeader/>
        </w:trPr>
        <w:tc>
          <w:tcPr>
            <w:tcW w:w="7708" w:type="dxa"/>
            <w:gridSpan w:val="3"/>
            <w:tcBorders>
              <w:top w:val="nil"/>
              <w:left w:val="nil"/>
              <w:bottom w:val="single" w:sz="4" w:space="0" w:color="auto"/>
              <w:right w:val="nil"/>
            </w:tcBorders>
            <w:vAlign w:val="center"/>
            <w:hideMark/>
          </w:tcPr>
          <w:p w14:paraId="7168518C" w14:textId="77777777" w:rsidR="00BF5974" w:rsidRPr="00611C5A" w:rsidRDefault="00BF5974">
            <w:pPr>
              <w:spacing w:line="256" w:lineRule="auto"/>
              <w:jc w:val="center"/>
              <w:rPr>
                <w:rFonts w:cs="Arial"/>
                <w:b/>
                <w:bCs/>
                <w:sz w:val="20"/>
                <w:szCs w:val="20"/>
                <w:lang w:val="es-ES" w:eastAsia="en-US"/>
              </w:rPr>
            </w:pPr>
            <w:bookmarkStart w:id="17" w:name="_Toc22983153"/>
            <w:bookmarkStart w:id="18" w:name="_Toc22021878"/>
            <w:bookmarkStart w:id="19" w:name="_Toc526757437"/>
            <w:bookmarkStart w:id="20" w:name="_Toc522869231"/>
            <w:r w:rsidRPr="00611C5A">
              <w:rPr>
                <w:rFonts w:eastAsia="Times New Roman" w:cs="Arial"/>
                <w:b/>
                <w:sz w:val="20"/>
                <w:szCs w:val="20"/>
                <w:lang w:val="es-ES" w:eastAsia="en-US"/>
              </w:rPr>
              <w:t>Tabla 2. Clasificación por Tipo de Gasto</w:t>
            </w:r>
            <w:bookmarkEnd w:id="17"/>
            <w:bookmarkEnd w:id="18"/>
            <w:bookmarkEnd w:id="19"/>
            <w:bookmarkEnd w:id="20"/>
          </w:p>
        </w:tc>
      </w:tr>
      <w:tr w:rsidR="00BF5974" w:rsidRPr="00611C5A" w14:paraId="39D8BA3F" w14:textId="77777777" w:rsidTr="00BF5974">
        <w:trPr>
          <w:trHeight w:val="227"/>
          <w:tblHeader/>
        </w:trPr>
        <w:tc>
          <w:tcPr>
            <w:tcW w:w="549" w:type="dxa"/>
            <w:tcBorders>
              <w:top w:val="single" w:sz="4" w:space="0" w:color="auto"/>
              <w:left w:val="single" w:sz="4" w:space="0" w:color="auto"/>
              <w:bottom w:val="single" w:sz="4" w:space="0" w:color="auto"/>
              <w:right w:val="single" w:sz="4" w:space="0" w:color="auto"/>
            </w:tcBorders>
            <w:vAlign w:val="center"/>
            <w:hideMark/>
          </w:tcPr>
          <w:p w14:paraId="7B8CAB87" w14:textId="77777777" w:rsidR="00BF5974" w:rsidRPr="00611C5A" w:rsidRDefault="00BF5974">
            <w:pPr>
              <w:spacing w:line="256" w:lineRule="auto"/>
              <w:jc w:val="center"/>
              <w:rPr>
                <w:rFonts w:cs="Arial"/>
                <w:b/>
                <w:sz w:val="20"/>
                <w:szCs w:val="20"/>
                <w:lang w:val="es-ES" w:eastAsia="en-US"/>
              </w:rPr>
            </w:pPr>
            <w:r w:rsidRPr="00611C5A">
              <w:rPr>
                <w:rFonts w:cs="Arial"/>
                <w:b/>
                <w:sz w:val="20"/>
                <w:szCs w:val="20"/>
                <w:lang w:val="es-ES" w:eastAsia="en-US"/>
              </w:rPr>
              <w:t>No.</w:t>
            </w:r>
          </w:p>
        </w:tc>
        <w:tc>
          <w:tcPr>
            <w:tcW w:w="5263" w:type="dxa"/>
            <w:tcBorders>
              <w:top w:val="single" w:sz="4" w:space="0" w:color="auto"/>
              <w:left w:val="single" w:sz="4" w:space="0" w:color="auto"/>
              <w:bottom w:val="single" w:sz="4" w:space="0" w:color="auto"/>
              <w:right w:val="single" w:sz="4" w:space="0" w:color="auto"/>
            </w:tcBorders>
            <w:vAlign w:val="center"/>
            <w:hideMark/>
          </w:tcPr>
          <w:p w14:paraId="5E9D4E7B" w14:textId="77777777" w:rsidR="00BF5974" w:rsidRPr="00611C5A" w:rsidRDefault="00BF5974">
            <w:pPr>
              <w:spacing w:line="256" w:lineRule="auto"/>
              <w:jc w:val="center"/>
              <w:rPr>
                <w:rFonts w:cs="Arial"/>
                <w:b/>
                <w:sz w:val="20"/>
                <w:szCs w:val="20"/>
                <w:lang w:val="es-ES" w:eastAsia="en-US"/>
              </w:rPr>
            </w:pPr>
            <w:r w:rsidRPr="00611C5A">
              <w:rPr>
                <w:rFonts w:cs="Arial"/>
                <w:b/>
                <w:sz w:val="20"/>
                <w:szCs w:val="20"/>
                <w:lang w:val="es-ES" w:eastAsia="en-US"/>
              </w:rPr>
              <w:t>Categorías</w:t>
            </w:r>
          </w:p>
        </w:tc>
        <w:tc>
          <w:tcPr>
            <w:tcW w:w="1896" w:type="dxa"/>
            <w:tcBorders>
              <w:top w:val="single" w:sz="4" w:space="0" w:color="auto"/>
              <w:left w:val="single" w:sz="4" w:space="0" w:color="auto"/>
              <w:bottom w:val="single" w:sz="4" w:space="0" w:color="auto"/>
              <w:right w:val="single" w:sz="4" w:space="0" w:color="auto"/>
            </w:tcBorders>
            <w:vAlign w:val="center"/>
            <w:hideMark/>
          </w:tcPr>
          <w:p w14:paraId="53D8A903" w14:textId="77777777" w:rsidR="00BF5974" w:rsidRPr="00611C5A" w:rsidRDefault="00BF5974">
            <w:pPr>
              <w:spacing w:line="256" w:lineRule="auto"/>
              <w:jc w:val="center"/>
              <w:rPr>
                <w:rFonts w:cs="Arial"/>
                <w:b/>
                <w:sz w:val="20"/>
                <w:szCs w:val="20"/>
                <w:lang w:val="es-ES" w:eastAsia="en-US"/>
              </w:rPr>
            </w:pPr>
            <w:r w:rsidRPr="00611C5A">
              <w:rPr>
                <w:rFonts w:cs="Arial"/>
                <w:b/>
                <w:bCs/>
                <w:sz w:val="20"/>
                <w:szCs w:val="20"/>
                <w:lang w:val="es-ES" w:eastAsia="en-US"/>
              </w:rPr>
              <w:t>Asignación Presupuestal</w:t>
            </w:r>
          </w:p>
        </w:tc>
      </w:tr>
      <w:tr w:rsidR="009D26EB" w:rsidRPr="00611C5A" w14:paraId="6E51B609" w14:textId="77777777" w:rsidTr="0051429E">
        <w:trPr>
          <w:trHeight w:val="227"/>
        </w:trPr>
        <w:tc>
          <w:tcPr>
            <w:tcW w:w="549" w:type="dxa"/>
            <w:tcBorders>
              <w:top w:val="single" w:sz="4" w:space="0" w:color="auto"/>
              <w:left w:val="single" w:sz="4" w:space="0" w:color="auto"/>
              <w:bottom w:val="single" w:sz="4" w:space="0" w:color="auto"/>
              <w:right w:val="single" w:sz="4" w:space="0" w:color="auto"/>
            </w:tcBorders>
            <w:hideMark/>
          </w:tcPr>
          <w:p w14:paraId="4A6DDAC7" w14:textId="77777777" w:rsidR="009D26EB" w:rsidRPr="00611C5A" w:rsidRDefault="009D26EB" w:rsidP="009D26EB">
            <w:pPr>
              <w:spacing w:line="256" w:lineRule="auto"/>
              <w:jc w:val="center"/>
              <w:rPr>
                <w:rFonts w:cs="Arial"/>
                <w:sz w:val="20"/>
                <w:szCs w:val="20"/>
                <w:lang w:val="es-ES" w:eastAsia="en-US"/>
              </w:rPr>
            </w:pPr>
            <w:r w:rsidRPr="00611C5A">
              <w:rPr>
                <w:rFonts w:cs="Arial"/>
                <w:sz w:val="20"/>
                <w:szCs w:val="20"/>
                <w:lang w:val="es-ES" w:eastAsia="en-US"/>
              </w:rPr>
              <w:t>1</w:t>
            </w:r>
          </w:p>
        </w:tc>
        <w:tc>
          <w:tcPr>
            <w:tcW w:w="5263" w:type="dxa"/>
            <w:tcBorders>
              <w:top w:val="single" w:sz="4" w:space="0" w:color="auto"/>
              <w:left w:val="single" w:sz="4" w:space="0" w:color="auto"/>
              <w:bottom w:val="single" w:sz="4" w:space="0" w:color="auto"/>
              <w:right w:val="single" w:sz="4" w:space="0" w:color="auto"/>
            </w:tcBorders>
            <w:vAlign w:val="center"/>
            <w:hideMark/>
          </w:tcPr>
          <w:p w14:paraId="736EE09A" w14:textId="77777777" w:rsidR="009D26EB" w:rsidRPr="00611C5A" w:rsidRDefault="009D26EB" w:rsidP="009D26EB">
            <w:pPr>
              <w:spacing w:line="256" w:lineRule="auto"/>
              <w:rPr>
                <w:rFonts w:cs="Arial"/>
                <w:sz w:val="20"/>
                <w:szCs w:val="20"/>
                <w:lang w:val="es-ES" w:eastAsia="en-US"/>
              </w:rPr>
            </w:pPr>
            <w:r w:rsidRPr="00611C5A">
              <w:rPr>
                <w:rFonts w:cs="Arial"/>
                <w:sz w:val="20"/>
                <w:szCs w:val="20"/>
                <w:lang w:val="es-ES" w:eastAsia="en-US"/>
              </w:rPr>
              <w:t>Gasto Corriente.</w:t>
            </w:r>
          </w:p>
        </w:tc>
        <w:tc>
          <w:tcPr>
            <w:tcW w:w="1896" w:type="dxa"/>
            <w:tcBorders>
              <w:top w:val="single" w:sz="4" w:space="0" w:color="auto"/>
              <w:left w:val="single" w:sz="4" w:space="0" w:color="auto"/>
              <w:bottom w:val="single" w:sz="4" w:space="0" w:color="auto"/>
              <w:right w:val="single" w:sz="4" w:space="0" w:color="auto"/>
            </w:tcBorders>
            <w:vAlign w:val="bottom"/>
            <w:hideMark/>
          </w:tcPr>
          <w:p w14:paraId="7FAB6BC1" w14:textId="5FFF35B0" w:rsidR="009D26EB" w:rsidRPr="00611C5A" w:rsidRDefault="009D26EB" w:rsidP="009D26EB">
            <w:pPr>
              <w:spacing w:line="256" w:lineRule="auto"/>
              <w:jc w:val="right"/>
              <w:rPr>
                <w:rFonts w:cs="Arial"/>
                <w:sz w:val="20"/>
                <w:szCs w:val="20"/>
                <w:lang w:val="es-ES" w:eastAsia="en-US"/>
              </w:rPr>
            </w:pPr>
            <w:r w:rsidRPr="00611C5A">
              <w:rPr>
                <w:rFonts w:cs="Arial"/>
                <w:color w:val="000000"/>
                <w:sz w:val="20"/>
                <w:szCs w:val="20"/>
              </w:rPr>
              <w:t xml:space="preserve">16,897,451,640 </w:t>
            </w:r>
          </w:p>
        </w:tc>
      </w:tr>
      <w:tr w:rsidR="009D26EB" w:rsidRPr="00611C5A" w14:paraId="5BACB020" w14:textId="77777777" w:rsidTr="0051429E">
        <w:trPr>
          <w:trHeight w:val="227"/>
        </w:trPr>
        <w:tc>
          <w:tcPr>
            <w:tcW w:w="549" w:type="dxa"/>
            <w:tcBorders>
              <w:top w:val="single" w:sz="4" w:space="0" w:color="auto"/>
              <w:left w:val="single" w:sz="4" w:space="0" w:color="auto"/>
              <w:bottom w:val="single" w:sz="4" w:space="0" w:color="auto"/>
              <w:right w:val="single" w:sz="4" w:space="0" w:color="auto"/>
            </w:tcBorders>
            <w:hideMark/>
          </w:tcPr>
          <w:p w14:paraId="4FC158E7" w14:textId="77777777" w:rsidR="009D26EB" w:rsidRPr="00611C5A" w:rsidRDefault="009D26EB" w:rsidP="009D26EB">
            <w:pPr>
              <w:spacing w:line="256" w:lineRule="auto"/>
              <w:jc w:val="center"/>
              <w:rPr>
                <w:rFonts w:cs="Arial"/>
                <w:sz w:val="20"/>
                <w:szCs w:val="20"/>
                <w:lang w:val="es-ES" w:eastAsia="en-US"/>
              </w:rPr>
            </w:pPr>
            <w:r w:rsidRPr="00611C5A">
              <w:rPr>
                <w:rFonts w:cs="Arial"/>
                <w:sz w:val="20"/>
                <w:szCs w:val="20"/>
                <w:lang w:val="es-ES" w:eastAsia="en-US"/>
              </w:rPr>
              <w:t>2</w:t>
            </w:r>
          </w:p>
        </w:tc>
        <w:tc>
          <w:tcPr>
            <w:tcW w:w="5263" w:type="dxa"/>
            <w:tcBorders>
              <w:top w:val="single" w:sz="4" w:space="0" w:color="auto"/>
              <w:left w:val="single" w:sz="4" w:space="0" w:color="auto"/>
              <w:bottom w:val="single" w:sz="4" w:space="0" w:color="auto"/>
              <w:right w:val="single" w:sz="4" w:space="0" w:color="auto"/>
            </w:tcBorders>
            <w:vAlign w:val="center"/>
            <w:hideMark/>
          </w:tcPr>
          <w:p w14:paraId="477C6378" w14:textId="77777777" w:rsidR="009D26EB" w:rsidRPr="00611C5A" w:rsidRDefault="009D26EB" w:rsidP="009D26EB">
            <w:pPr>
              <w:spacing w:line="256" w:lineRule="auto"/>
              <w:rPr>
                <w:rFonts w:cs="Arial"/>
                <w:sz w:val="20"/>
                <w:szCs w:val="20"/>
                <w:lang w:val="es-ES" w:eastAsia="en-US"/>
              </w:rPr>
            </w:pPr>
            <w:r w:rsidRPr="00611C5A">
              <w:rPr>
                <w:rFonts w:cs="Arial"/>
                <w:sz w:val="20"/>
                <w:szCs w:val="20"/>
                <w:lang w:val="es-ES" w:eastAsia="en-US"/>
              </w:rPr>
              <w:t>Gasto de Capital.</w:t>
            </w:r>
          </w:p>
        </w:tc>
        <w:tc>
          <w:tcPr>
            <w:tcW w:w="1896" w:type="dxa"/>
            <w:tcBorders>
              <w:top w:val="single" w:sz="4" w:space="0" w:color="auto"/>
              <w:left w:val="single" w:sz="4" w:space="0" w:color="auto"/>
              <w:bottom w:val="single" w:sz="4" w:space="0" w:color="auto"/>
              <w:right w:val="single" w:sz="4" w:space="0" w:color="auto"/>
            </w:tcBorders>
            <w:vAlign w:val="bottom"/>
            <w:hideMark/>
          </w:tcPr>
          <w:p w14:paraId="0A00CC5D" w14:textId="5CBB82DE" w:rsidR="009D26EB" w:rsidRPr="00611C5A" w:rsidRDefault="009D26EB" w:rsidP="009D26EB">
            <w:pPr>
              <w:spacing w:line="256" w:lineRule="auto"/>
              <w:jc w:val="right"/>
              <w:rPr>
                <w:rFonts w:cs="Arial"/>
                <w:sz w:val="20"/>
                <w:szCs w:val="20"/>
                <w:lang w:val="es-ES" w:eastAsia="en-US"/>
              </w:rPr>
            </w:pPr>
            <w:r w:rsidRPr="00611C5A">
              <w:rPr>
                <w:rFonts w:cs="Arial"/>
                <w:color w:val="000000"/>
                <w:sz w:val="20"/>
                <w:szCs w:val="20"/>
              </w:rPr>
              <w:t xml:space="preserve">592,279,250 </w:t>
            </w:r>
          </w:p>
        </w:tc>
      </w:tr>
      <w:tr w:rsidR="009D26EB" w:rsidRPr="00611C5A" w14:paraId="104678DD" w14:textId="77777777" w:rsidTr="0051429E">
        <w:trPr>
          <w:trHeight w:val="227"/>
        </w:trPr>
        <w:tc>
          <w:tcPr>
            <w:tcW w:w="549" w:type="dxa"/>
            <w:tcBorders>
              <w:top w:val="single" w:sz="4" w:space="0" w:color="auto"/>
              <w:left w:val="single" w:sz="4" w:space="0" w:color="auto"/>
              <w:bottom w:val="single" w:sz="4" w:space="0" w:color="auto"/>
              <w:right w:val="single" w:sz="4" w:space="0" w:color="auto"/>
            </w:tcBorders>
            <w:hideMark/>
          </w:tcPr>
          <w:p w14:paraId="0AED9924" w14:textId="77777777" w:rsidR="009D26EB" w:rsidRPr="00611C5A" w:rsidRDefault="009D26EB" w:rsidP="009D26EB">
            <w:pPr>
              <w:spacing w:line="256" w:lineRule="auto"/>
              <w:jc w:val="center"/>
              <w:rPr>
                <w:rFonts w:cs="Arial"/>
                <w:sz w:val="20"/>
                <w:szCs w:val="20"/>
                <w:lang w:val="es-ES" w:eastAsia="en-US"/>
              </w:rPr>
            </w:pPr>
            <w:r w:rsidRPr="00611C5A">
              <w:rPr>
                <w:rFonts w:cs="Arial"/>
                <w:sz w:val="20"/>
                <w:szCs w:val="20"/>
                <w:lang w:val="es-ES" w:eastAsia="en-US"/>
              </w:rPr>
              <w:t>3</w:t>
            </w:r>
          </w:p>
        </w:tc>
        <w:tc>
          <w:tcPr>
            <w:tcW w:w="5263" w:type="dxa"/>
            <w:tcBorders>
              <w:top w:val="single" w:sz="4" w:space="0" w:color="auto"/>
              <w:left w:val="single" w:sz="4" w:space="0" w:color="auto"/>
              <w:bottom w:val="single" w:sz="4" w:space="0" w:color="auto"/>
              <w:right w:val="single" w:sz="4" w:space="0" w:color="auto"/>
            </w:tcBorders>
            <w:vAlign w:val="center"/>
            <w:hideMark/>
          </w:tcPr>
          <w:p w14:paraId="5818A190" w14:textId="77777777" w:rsidR="009D26EB" w:rsidRPr="00611C5A" w:rsidRDefault="009D26EB" w:rsidP="009D26EB">
            <w:pPr>
              <w:spacing w:line="256" w:lineRule="auto"/>
              <w:rPr>
                <w:rFonts w:cs="Arial"/>
                <w:sz w:val="20"/>
                <w:szCs w:val="20"/>
                <w:lang w:val="es-ES" w:eastAsia="en-US"/>
              </w:rPr>
            </w:pPr>
            <w:r w:rsidRPr="00611C5A">
              <w:rPr>
                <w:rFonts w:cs="Arial"/>
                <w:sz w:val="20"/>
                <w:szCs w:val="20"/>
                <w:lang w:val="es-ES" w:eastAsia="en-US"/>
              </w:rPr>
              <w:t>Amortización de la Deuda y Disminución de Pasivos.</w:t>
            </w:r>
          </w:p>
        </w:tc>
        <w:tc>
          <w:tcPr>
            <w:tcW w:w="1896" w:type="dxa"/>
            <w:tcBorders>
              <w:top w:val="single" w:sz="4" w:space="0" w:color="auto"/>
              <w:left w:val="single" w:sz="4" w:space="0" w:color="auto"/>
              <w:bottom w:val="single" w:sz="4" w:space="0" w:color="auto"/>
              <w:right w:val="single" w:sz="4" w:space="0" w:color="auto"/>
            </w:tcBorders>
            <w:vAlign w:val="bottom"/>
            <w:hideMark/>
          </w:tcPr>
          <w:p w14:paraId="43FB06F3" w14:textId="18827640" w:rsidR="009D26EB" w:rsidRPr="00611C5A" w:rsidRDefault="009D26EB" w:rsidP="009D26EB">
            <w:pPr>
              <w:spacing w:line="256" w:lineRule="auto"/>
              <w:jc w:val="right"/>
              <w:rPr>
                <w:rFonts w:cs="Arial"/>
                <w:sz w:val="20"/>
                <w:szCs w:val="20"/>
                <w:lang w:val="es-ES" w:eastAsia="en-US"/>
              </w:rPr>
            </w:pPr>
            <w:r w:rsidRPr="00611C5A">
              <w:rPr>
                <w:rFonts w:cs="Arial"/>
                <w:color w:val="000000"/>
                <w:sz w:val="20"/>
                <w:szCs w:val="20"/>
              </w:rPr>
              <w:t xml:space="preserve">923,391,558 </w:t>
            </w:r>
          </w:p>
        </w:tc>
      </w:tr>
      <w:tr w:rsidR="009D26EB" w:rsidRPr="00611C5A" w14:paraId="39102245" w14:textId="77777777" w:rsidTr="0051429E">
        <w:trPr>
          <w:trHeight w:val="227"/>
        </w:trPr>
        <w:tc>
          <w:tcPr>
            <w:tcW w:w="549" w:type="dxa"/>
            <w:tcBorders>
              <w:top w:val="single" w:sz="4" w:space="0" w:color="auto"/>
              <w:left w:val="single" w:sz="4" w:space="0" w:color="auto"/>
              <w:bottom w:val="single" w:sz="4" w:space="0" w:color="auto"/>
              <w:right w:val="single" w:sz="4" w:space="0" w:color="auto"/>
            </w:tcBorders>
            <w:hideMark/>
          </w:tcPr>
          <w:p w14:paraId="7A976EED" w14:textId="77777777" w:rsidR="009D26EB" w:rsidRPr="00611C5A" w:rsidRDefault="009D26EB" w:rsidP="009D26EB">
            <w:pPr>
              <w:spacing w:line="256" w:lineRule="auto"/>
              <w:jc w:val="center"/>
              <w:rPr>
                <w:rFonts w:cs="Arial"/>
                <w:sz w:val="20"/>
                <w:szCs w:val="20"/>
                <w:lang w:val="es-ES" w:eastAsia="en-US"/>
              </w:rPr>
            </w:pPr>
            <w:r w:rsidRPr="00611C5A">
              <w:rPr>
                <w:rFonts w:cs="Arial"/>
                <w:sz w:val="20"/>
                <w:szCs w:val="20"/>
                <w:lang w:val="es-ES" w:eastAsia="en-US"/>
              </w:rPr>
              <w:t>4</w:t>
            </w:r>
          </w:p>
        </w:tc>
        <w:tc>
          <w:tcPr>
            <w:tcW w:w="5263" w:type="dxa"/>
            <w:tcBorders>
              <w:top w:val="single" w:sz="4" w:space="0" w:color="auto"/>
              <w:left w:val="single" w:sz="4" w:space="0" w:color="auto"/>
              <w:bottom w:val="single" w:sz="4" w:space="0" w:color="auto"/>
              <w:right w:val="single" w:sz="4" w:space="0" w:color="auto"/>
            </w:tcBorders>
            <w:vAlign w:val="center"/>
            <w:hideMark/>
          </w:tcPr>
          <w:p w14:paraId="1E878697" w14:textId="77777777" w:rsidR="009D26EB" w:rsidRPr="00611C5A" w:rsidRDefault="009D26EB" w:rsidP="009D26EB">
            <w:pPr>
              <w:spacing w:line="256" w:lineRule="auto"/>
              <w:rPr>
                <w:rFonts w:cs="Arial"/>
                <w:sz w:val="20"/>
                <w:szCs w:val="20"/>
                <w:lang w:val="es-ES" w:eastAsia="en-US"/>
              </w:rPr>
            </w:pPr>
            <w:r w:rsidRPr="00611C5A">
              <w:rPr>
                <w:rFonts w:cs="Arial"/>
                <w:sz w:val="20"/>
                <w:szCs w:val="20"/>
                <w:lang w:val="es-ES" w:eastAsia="en-US"/>
              </w:rPr>
              <w:t>Pensiones y Jubilaciones.</w:t>
            </w:r>
          </w:p>
        </w:tc>
        <w:tc>
          <w:tcPr>
            <w:tcW w:w="1896" w:type="dxa"/>
            <w:tcBorders>
              <w:top w:val="single" w:sz="4" w:space="0" w:color="auto"/>
              <w:left w:val="single" w:sz="4" w:space="0" w:color="auto"/>
              <w:bottom w:val="single" w:sz="4" w:space="0" w:color="auto"/>
              <w:right w:val="single" w:sz="4" w:space="0" w:color="auto"/>
            </w:tcBorders>
            <w:vAlign w:val="bottom"/>
            <w:hideMark/>
          </w:tcPr>
          <w:p w14:paraId="50431882" w14:textId="20986800" w:rsidR="009D26EB" w:rsidRPr="00611C5A" w:rsidRDefault="009D26EB" w:rsidP="009D26EB">
            <w:pPr>
              <w:spacing w:line="256" w:lineRule="auto"/>
              <w:jc w:val="right"/>
              <w:rPr>
                <w:rFonts w:cs="Arial"/>
                <w:sz w:val="20"/>
                <w:szCs w:val="20"/>
                <w:lang w:val="es-ES" w:eastAsia="en-US"/>
              </w:rPr>
            </w:pPr>
            <w:r w:rsidRPr="00611C5A">
              <w:rPr>
                <w:rFonts w:cs="Arial"/>
                <w:color w:val="000000"/>
                <w:sz w:val="20"/>
                <w:szCs w:val="20"/>
              </w:rPr>
              <w:t xml:space="preserve">1,256,591,433 </w:t>
            </w:r>
          </w:p>
        </w:tc>
      </w:tr>
      <w:tr w:rsidR="009D26EB" w:rsidRPr="00611C5A" w14:paraId="421EE614" w14:textId="77777777" w:rsidTr="0051429E">
        <w:trPr>
          <w:trHeight w:val="227"/>
        </w:trPr>
        <w:tc>
          <w:tcPr>
            <w:tcW w:w="549" w:type="dxa"/>
            <w:tcBorders>
              <w:top w:val="single" w:sz="4" w:space="0" w:color="auto"/>
              <w:left w:val="single" w:sz="4" w:space="0" w:color="auto"/>
              <w:bottom w:val="single" w:sz="4" w:space="0" w:color="auto"/>
              <w:right w:val="single" w:sz="4" w:space="0" w:color="auto"/>
            </w:tcBorders>
            <w:hideMark/>
          </w:tcPr>
          <w:p w14:paraId="3AFF9240" w14:textId="77777777" w:rsidR="009D26EB" w:rsidRPr="00611C5A" w:rsidRDefault="009D26EB" w:rsidP="009D26EB">
            <w:pPr>
              <w:spacing w:line="256" w:lineRule="auto"/>
              <w:jc w:val="center"/>
              <w:rPr>
                <w:rFonts w:cs="Arial"/>
                <w:sz w:val="20"/>
                <w:szCs w:val="20"/>
                <w:lang w:val="es-ES" w:eastAsia="en-US"/>
              </w:rPr>
            </w:pPr>
            <w:r w:rsidRPr="00611C5A">
              <w:rPr>
                <w:rFonts w:cs="Arial"/>
                <w:sz w:val="20"/>
                <w:szCs w:val="20"/>
                <w:lang w:val="es-ES" w:eastAsia="en-US"/>
              </w:rPr>
              <w:t>5</w:t>
            </w:r>
          </w:p>
        </w:tc>
        <w:tc>
          <w:tcPr>
            <w:tcW w:w="5263" w:type="dxa"/>
            <w:tcBorders>
              <w:top w:val="single" w:sz="4" w:space="0" w:color="auto"/>
              <w:left w:val="single" w:sz="4" w:space="0" w:color="auto"/>
              <w:bottom w:val="single" w:sz="4" w:space="0" w:color="auto"/>
              <w:right w:val="single" w:sz="4" w:space="0" w:color="auto"/>
            </w:tcBorders>
            <w:vAlign w:val="center"/>
            <w:hideMark/>
          </w:tcPr>
          <w:p w14:paraId="799A6B47" w14:textId="77777777" w:rsidR="009D26EB" w:rsidRPr="00611C5A" w:rsidRDefault="009D26EB" w:rsidP="009D26EB">
            <w:pPr>
              <w:spacing w:line="256" w:lineRule="auto"/>
              <w:rPr>
                <w:rFonts w:cs="Arial"/>
                <w:sz w:val="20"/>
                <w:szCs w:val="20"/>
                <w:lang w:val="es-ES" w:eastAsia="en-US"/>
              </w:rPr>
            </w:pPr>
            <w:r w:rsidRPr="00611C5A">
              <w:rPr>
                <w:rFonts w:cs="Arial"/>
                <w:sz w:val="20"/>
                <w:szCs w:val="20"/>
                <w:lang w:val="es-ES" w:eastAsia="en-US"/>
              </w:rPr>
              <w:t>Participaciones.</w:t>
            </w:r>
          </w:p>
        </w:tc>
        <w:tc>
          <w:tcPr>
            <w:tcW w:w="1896" w:type="dxa"/>
            <w:tcBorders>
              <w:top w:val="single" w:sz="4" w:space="0" w:color="auto"/>
              <w:left w:val="single" w:sz="4" w:space="0" w:color="auto"/>
              <w:bottom w:val="single" w:sz="4" w:space="0" w:color="auto"/>
              <w:right w:val="single" w:sz="4" w:space="0" w:color="auto"/>
            </w:tcBorders>
            <w:vAlign w:val="bottom"/>
            <w:hideMark/>
          </w:tcPr>
          <w:p w14:paraId="34126E51" w14:textId="11DA8A51" w:rsidR="009D26EB" w:rsidRPr="00611C5A" w:rsidRDefault="009D26EB" w:rsidP="009D26EB">
            <w:pPr>
              <w:spacing w:line="256" w:lineRule="auto"/>
              <w:jc w:val="right"/>
              <w:rPr>
                <w:rFonts w:cs="Arial"/>
                <w:sz w:val="20"/>
                <w:szCs w:val="20"/>
                <w:lang w:val="es-ES" w:eastAsia="en-US"/>
              </w:rPr>
            </w:pPr>
            <w:r w:rsidRPr="00611C5A">
              <w:rPr>
                <w:rFonts w:cs="Arial"/>
                <w:color w:val="000000"/>
                <w:sz w:val="20"/>
                <w:szCs w:val="20"/>
              </w:rPr>
              <w:t xml:space="preserve">3,334,416,398 </w:t>
            </w:r>
          </w:p>
        </w:tc>
      </w:tr>
      <w:tr w:rsidR="009D26EB" w:rsidRPr="00611C5A" w14:paraId="6B653445" w14:textId="77777777" w:rsidTr="0051429E">
        <w:trPr>
          <w:trHeight w:val="227"/>
        </w:trPr>
        <w:tc>
          <w:tcPr>
            <w:tcW w:w="549" w:type="dxa"/>
            <w:tcBorders>
              <w:top w:val="single" w:sz="4" w:space="0" w:color="auto"/>
              <w:left w:val="single" w:sz="4" w:space="0" w:color="auto"/>
              <w:bottom w:val="single" w:sz="4" w:space="0" w:color="auto"/>
              <w:right w:val="single" w:sz="4" w:space="0" w:color="auto"/>
            </w:tcBorders>
          </w:tcPr>
          <w:p w14:paraId="366D6023" w14:textId="77777777" w:rsidR="009D26EB" w:rsidRPr="00611C5A" w:rsidRDefault="009D26EB" w:rsidP="009D26EB">
            <w:pPr>
              <w:spacing w:line="256" w:lineRule="auto"/>
              <w:rPr>
                <w:rFonts w:cs="Arial"/>
                <w:b/>
                <w:sz w:val="20"/>
                <w:szCs w:val="20"/>
                <w:lang w:val="es-ES" w:eastAsia="en-US"/>
              </w:rPr>
            </w:pPr>
          </w:p>
        </w:tc>
        <w:tc>
          <w:tcPr>
            <w:tcW w:w="5263" w:type="dxa"/>
            <w:tcBorders>
              <w:top w:val="single" w:sz="4" w:space="0" w:color="auto"/>
              <w:left w:val="single" w:sz="4" w:space="0" w:color="auto"/>
              <w:bottom w:val="single" w:sz="4" w:space="0" w:color="auto"/>
              <w:right w:val="single" w:sz="4" w:space="0" w:color="auto"/>
            </w:tcBorders>
            <w:vAlign w:val="center"/>
            <w:hideMark/>
          </w:tcPr>
          <w:p w14:paraId="1D0DF483" w14:textId="77777777" w:rsidR="009D26EB" w:rsidRPr="00611C5A" w:rsidRDefault="009D26EB" w:rsidP="009D26EB">
            <w:pPr>
              <w:spacing w:line="256" w:lineRule="auto"/>
              <w:jc w:val="center"/>
              <w:rPr>
                <w:rFonts w:cs="Arial"/>
                <w:b/>
                <w:sz w:val="20"/>
                <w:szCs w:val="20"/>
                <w:lang w:val="es-ES" w:eastAsia="en-US"/>
              </w:rPr>
            </w:pPr>
            <w:r w:rsidRPr="00611C5A">
              <w:rPr>
                <w:rFonts w:cs="Arial"/>
                <w:b/>
                <w:sz w:val="20"/>
                <w:szCs w:val="20"/>
                <w:lang w:val="es-ES" w:eastAsia="en-US"/>
              </w:rPr>
              <w:t>Total</w:t>
            </w:r>
          </w:p>
        </w:tc>
        <w:tc>
          <w:tcPr>
            <w:tcW w:w="1896" w:type="dxa"/>
            <w:tcBorders>
              <w:top w:val="single" w:sz="4" w:space="0" w:color="auto"/>
              <w:left w:val="single" w:sz="4" w:space="0" w:color="auto"/>
              <w:bottom w:val="single" w:sz="4" w:space="0" w:color="auto"/>
              <w:right w:val="single" w:sz="4" w:space="0" w:color="auto"/>
            </w:tcBorders>
            <w:vAlign w:val="bottom"/>
            <w:hideMark/>
          </w:tcPr>
          <w:p w14:paraId="3B69F83E" w14:textId="07F8EF64" w:rsidR="009D26EB" w:rsidRPr="00611C5A" w:rsidRDefault="009D26EB" w:rsidP="009D26EB">
            <w:pPr>
              <w:spacing w:line="256" w:lineRule="auto"/>
              <w:jc w:val="right"/>
              <w:rPr>
                <w:rFonts w:cs="Arial"/>
                <w:b/>
                <w:bCs/>
                <w:sz w:val="20"/>
                <w:szCs w:val="20"/>
                <w:lang w:val="es-ES" w:eastAsia="en-US"/>
              </w:rPr>
            </w:pPr>
            <w:r w:rsidRPr="00611C5A">
              <w:rPr>
                <w:rFonts w:cs="Arial"/>
                <w:b/>
                <w:bCs/>
                <w:color w:val="000000"/>
                <w:sz w:val="20"/>
                <w:szCs w:val="20"/>
              </w:rPr>
              <w:t xml:space="preserve">23,004,130,279 </w:t>
            </w:r>
          </w:p>
        </w:tc>
      </w:tr>
    </w:tbl>
    <w:p w14:paraId="24931B6D" w14:textId="3F84BF12" w:rsidR="00BF5974" w:rsidRDefault="00BF5974" w:rsidP="00BF5974">
      <w:pPr>
        <w:rPr>
          <w:rFonts w:cs="Arial"/>
          <w:b/>
          <w:lang w:val="es-ES"/>
        </w:rPr>
      </w:pPr>
    </w:p>
    <w:p w14:paraId="62A2E64F" w14:textId="77777777" w:rsidR="00105286" w:rsidRDefault="00105286" w:rsidP="00BF5974">
      <w:pPr>
        <w:rPr>
          <w:rFonts w:cs="Arial"/>
          <w:b/>
          <w:lang w:val="es-ES"/>
        </w:rPr>
      </w:pPr>
    </w:p>
    <w:p w14:paraId="3A8FEEDA" w14:textId="77777777" w:rsidR="00BF5974" w:rsidRDefault="00BF5974" w:rsidP="00BF5974">
      <w:pPr>
        <w:rPr>
          <w:rFonts w:cs="Arial"/>
          <w:bCs/>
          <w:lang w:val="es-ES"/>
        </w:rPr>
      </w:pPr>
      <w:r>
        <w:rPr>
          <w:rFonts w:cs="Arial"/>
          <w:b/>
          <w:lang w:val="es-ES"/>
        </w:rPr>
        <w:t>Artículo 14</w:t>
      </w:r>
      <w:r>
        <w:rPr>
          <w:rFonts w:cs="Arial"/>
          <w:lang w:val="es-ES"/>
        </w:rPr>
        <w:t xml:space="preserve">. Las asignaciones previstas en el Presupuesto de Egresos del Estado de Colima para el Ejercicio Fiscal 2025 se integran de la siguiente forma, de acuerdo con la </w:t>
      </w:r>
      <w:r>
        <w:rPr>
          <w:rFonts w:cs="Arial"/>
          <w:bCs/>
          <w:lang w:val="es-ES"/>
        </w:rPr>
        <w:t>Clasificación Económica de los Ingresos, de los Gastos y del Financiamiento.</w:t>
      </w:r>
    </w:p>
    <w:p w14:paraId="3ECAFB42" w14:textId="77777777" w:rsidR="00BF5974" w:rsidRDefault="00BF5974" w:rsidP="00BF5974">
      <w:pPr>
        <w:rPr>
          <w:rFonts w:cs="Arial"/>
          <w:bCs/>
          <w:lang w:val="es-ES"/>
        </w:rPr>
      </w:pPr>
    </w:p>
    <w:tbl>
      <w:tblPr>
        <w:tblW w:w="8505" w:type="dxa"/>
        <w:jc w:val="center"/>
        <w:tblLayout w:type="fixed"/>
        <w:tblCellMar>
          <w:left w:w="70" w:type="dxa"/>
          <w:right w:w="70" w:type="dxa"/>
        </w:tblCellMar>
        <w:tblLook w:val="04A0" w:firstRow="1" w:lastRow="0" w:firstColumn="1" w:lastColumn="0" w:noHBand="0" w:noVBand="1"/>
      </w:tblPr>
      <w:tblGrid>
        <w:gridCol w:w="709"/>
        <w:gridCol w:w="6379"/>
        <w:gridCol w:w="1417"/>
      </w:tblGrid>
      <w:tr w:rsidR="00DB0940" w:rsidRPr="00DB0940" w14:paraId="4213899D" w14:textId="77777777" w:rsidTr="00BF5974">
        <w:trPr>
          <w:trHeight w:val="20"/>
          <w:tblHeader/>
          <w:jc w:val="center"/>
        </w:trPr>
        <w:tc>
          <w:tcPr>
            <w:tcW w:w="8505" w:type="dxa"/>
            <w:gridSpan w:val="3"/>
            <w:tcBorders>
              <w:top w:val="nil"/>
              <w:left w:val="nil"/>
              <w:bottom w:val="single" w:sz="4" w:space="0" w:color="auto"/>
              <w:right w:val="nil"/>
            </w:tcBorders>
            <w:vAlign w:val="center"/>
            <w:hideMark/>
          </w:tcPr>
          <w:p w14:paraId="0C15F98F" w14:textId="77777777" w:rsidR="00BF5974" w:rsidRPr="00DB0940" w:rsidRDefault="00BF5974">
            <w:pPr>
              <w:spacing w:line="256" w:lineRule="auto"/>
              <w:jc w:val="center"/>
              <w:rPr>
                <w:rFonts w:eastAsia="Times New Roman" w:cs="Arial"/>
                <w:b/>
                <w:bCs/>
                <w:sz w:val="18"/>
                <w:szCs w:val="18"/>
                <w:lang w:val="es-ES" w:eastAsia="en-US"/>
              </w:rPr>
            </w:pPr>
            <w:bookmarkStart w:id="21" w:name="_Toc22983154"/>
            <w:bookmarkStart w:id="22" w:name="_Toc22021881"/>
            <w:r w:rsidRPr="00DB0940">
              <w:rPr>
                <w:rFonts w:eastAsia="Times New Roman" w:cs="Arial"/>
                <w:b/>
                <w:sz w:val="18"/>
                <w:szCs w:val="18"/>
                <w:lang w:val="es-ES" w:eastAsia="en-US"/>
              </w:rPr>
              <w:lastRenderedPageBreak/>
              <w:t>Tabla 3. Clasificación Económica de los Ingresos, de los Gastos y del Financiamiento</w:t>
            </w:r>
            <w:bookmarkEnd w:id="21"/>
            <w:bookmarkEnd w:id="22"/>
          </w:p>
        </w:tc>
      </w:tr>
      <w:tr w:rsidR="00DB0940" w:rsidRPr="00DB0940" w14:paraId="42883397" w14:textId="77777777" w:rsidTr="00BF5974">
        <w:trPr>
          <w:trHeight w:val="20"/>
          <w:tblHeade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2931B63" w14:textId="77777777" w:rsidR="00BF5974" w:rsidRPr="00DB0940" w:rsidRDefault="00BF5974">
            <w:pPr>
              <w:spacing w:line="256" w:lineRule="auto"/>
              <w:jc w:val="center"/>
              <w:rPr>
                <w:rFonts w:eastAsia="Times New Roman" w:cs="Arial"/>
                <w:b/>
                <w:bCs/>
                <w:sz w:val="18"/>
                <w:szCs w:val="18"/>
                <w:lang w:val="es-ES" w:eastAsia="en-US"/>
              </w:rPr>
            </w:pPr>
            <w:r w:rsidRPr="00DB0940">
              <w:rPr>
                <w:rFonts w:eastAsia="Times New Roman" w:cs="Arial"/>
                <w:b/>
                <w:bCs/>
                <w:sz w:val="18"/>
                <w:szCs w:val="18"/>
                <w:lang w:val="es-ES" w:eastAsia="en-US"/>
              </w:rPr>
              <w:t>No.</w:t>
            </w:r>
          </w:p>
        </w:tc>
        <w:tc>
          <w:tcPr>
            <w:tcW w:w="6379" w:type="dxa"/>
            <w:tcBorders>
              <w:top w:val="single" w:sz="4" w:space="0" w:color="auto"/>
              <w:left w:val="nil"/>
              <w:bottom w:val="single" w:sz="4" w:space="0" w:color="auto"/>
              <w:right w:val="single" w:sz="4" w:space="0" w:color="auto"/>
            </w:tcBorders>
            <w:vAlign w:val="center"/>
            <w:hideMark/>
          </w:tcPr>
          <w:p w14:paraId="608E6627" w14:textId="77777777" w:rsidR="00BF5974" w:rsidRPr="00DB0940" w:rsidRDefault="00BF5974">
            <w:pPr>
              <w:spacing w:line="256" w:lineRule="auto"/>
              <w:jc w:val="center"/>
              <w:rPr>
                <w:rFonts w:eastAsia="Times New Roman" w:cs="Arial"/>
                <w:b/>
                <w:bCs/>
                <w:sz w:val="18"/>
                <w:szCs w:val="18"/>
                <w:lang w:val="es-ES" w:eastAsia="en-US"/>
              </w:rPr>
            </w:pPr>
            <w:r w:rsidRPr="00DB0940">
              <w:rPr>
                <w:rFonts w:eastAsia="Times New Roman" w:cs="Arial"/>
                <w:b/>
                <w:bCs/>
                <w:sz w:val="18"/>
                <w:szCs w:val="18"/>
                <w:lang w:val="es-ES" w:eastAsia="en-US"/>
              </w:rPr>
              <w:t>Concepto</w:t>
            </w:r>
          </w:p>
        </w:tc>
        <w:tc>
          <w:tcPr>
            <w:tcW w:w="1417" w:type="dxa"/>
            <w:tcBorders>
              <w:top w:val="single" w:sz="4" w:space="0" w:color="auto"/>
              <w:left w:val="nil"/>
              <w:bottom w:val="single" w:sz="4" w:space="0" w:color="auto"/>
              <w:right w:val="single" w:sz="4" w:space="0" w:color="auto"/>
            </w:tcBorders>
            <w:vAlign w:val="center"/>
            <w:hideMark/>
          </w:tcPr>
          <w:p w14:paraId="51F1C10F" w14:textId="77777777" w:rsidR="00BF5974" w:rsidRPr="00DB0940" w:rsidRDefault="00BF5974">
            <w:pPr>
              <w:spacing w:line="256" w:lineRule="auto"/>
              <w:jc w:val="center"/>
              <w:rPr>
                <w:rFonts w:eastAsia="Times New Roman" w:cs="Arial"/>
                <w:b/>
                <w:bCs/>
                <w:sz w:val="18"/>
                <w:szCs w:val="18"/>
                <w:lang w:val="es-ES" w:eastAsia="en-US"/>
              </w:rPr>
            </w:pPr>
            <w:r w:rsidRPr="00DB0940">
              <w:rPr>
                <w:rFonts w:eastAsia="Times New Roman" w:cs="Arial"/>
                <w:b/>
                <w:bCs/>
                <w:sz w:val="18"/>
                <w:szCs w:val="18"/>
                <w:lang w:val="es-ES" w:eastAsia="en-US"/>
              </w:rPr>
              <w:t>Asignación Presupuestal</w:t>
            </w:r>
          </w:p>
        </w:tc>
      </w:tr>
      <w:tr w:rsidR="00DB0940" w:rsidRPr="00DB0940" w14:paraId="2F04FDB3"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7E300B35" w14:textId="77777777" w:rsidR="00BF5974" w:rsidRPr="00DB0940" w:rsidRDefault="00BF5974">
            <w:pPr>
              <w:spacing w:line="256" w:lineRule="auto"/>
              <w:rPr>
                <w:rFonts w:eastAsia="Times New Roman" w:cs="Arial"/>
                <w:b/>
                <w:bCs/>
                <w:sz w:val="18"/>
                <w:szCs w:val="18"/>
                <w:lang w:val="es-ES" w:eastAsia="en-US"/>
              </w:rPr>
            </w:pPr>
            <w:r w:rsidRPr="00DB0940">
              <w:rPr>
                <w:rFonts w:eastAsia="Times New Roman" w:cs="Arial"/>
                <w:b/>
                <w:bCs/>
                <w:sz w:val="18"/>
                <w:szCs w:val="18"/>
                <w:lang w:val="es-ES" w:eastAsia="en-US"/>
              </w:rPr>
              <w:t>1</w:t>
            </w:r>
          </w:p>
        </w:tc>
        <w:tc>
          <w:tcPr>
            <w:tcW w:w="6379" w:type="dxa"/>
            <w:tcBorders>
              <w:top w:val="nil"/>
              <w:left w:val="nil"/>
              <w:bottom w:val="single" w:sz="4" w:space="0" w:color="auto"/>
              <w:right w:val="single" w:sz="4" w:space="0" w:color="auto"/>
            </w:tcBorders>
            <w:vAlign w:val="center"/>
            <w:hideMark/>
          </w:tcPr>
          <w:p w14:paraId="142AEAEA" w14:textId="77777777" w:rsidR="00BF5974" w:rsidRPr="00DB0940" w:rsidRDefault="00BF5974">
            <w:pPr>
              <w:spacing w:line="256" w:lineRule="auto"/>
              <w:rPr>
                <w:rFonts w:eastAsia="Times New Roman" w:cs="Arial"/>
                <w:b/>
                <w:bCs/>
                <w:sz w:val="18"/>
                <w:szCs w:val="18"/>
                <w:lang w:val="es-ES" w:eastAsia="en-US"/>
              </w:rPr>
            </w:pPr>
            <w:r w:rsidRPr="00DB0940">
              <w:rPr>
                <w:rFonts w:eastAsia="Times New Roman" w:cs="Arial"/>
                <w:b/>
                <w:bCs/>
                <w:sz w:val="18"/>
                <w:szCs w:val="18"/>
                <w:lang w:val="es-ES" w:eastAsia="en-US"/>
              </w:rPr>
              <w:t>Ingresos.</w:t>
            </w:r>
          </w:p>
        </w:tc>
        <w:tc>
          <w:tcPr>
            <w:tcW w:w="1417" w:type="dxa"/>
            <w:tcBorders>
              <w:top w:val="nil"/>
              <w:left w:val="nil"/>
              <w:bottom w:val="single" w:sz="4" w:space="0" w:color="auto"/>
              <w:right w:val="single" w:sz="4" w:space="0" w:color="auto"/>
            </w:tcBorders>
            <w:vAlign w:val="center"/>
          </w:tcPr>
          <w:p w14:paraId="4D82D3D2" w14:textId="77777777" w:rsidR="00BF5974" w:rsidRPr="00DB0940" w:rsidRDefault="00BF5974">
            <w:pPr>
              <w:spacing w:line="256" w:lineRule="auto"/>
              <w:jc w:val="right"/>
              <w:rPr>
                <w:rFonts w:eastAsia="Times New Roman" w:cs="Arial"/>
                <w:sz w:val="18"/>
                <w:szCs w:val="18"/>
                <w:lang w:val="es-ES" w:eastAsia="en-US"/>
              </w:rPr>
            </w:pPr>
          </w:p>
        </w:tc>
      </w:tr>
      <w:tr w:rsidR="00DB0940" w:rsidRPr="00DB0940" w14:paraId="64990AE3"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6D8590C5" w14:textId="77777777" w:rsidR="00DB0940" w:rsidRPr="00DB0940" w:rsidRDefault="00DB0940" w:rsidP="00DB0940">
            <w:pPr>
              <w:spacing w:line="256" w:lineRule="auto"/>
              <w:rPr>
                <w:rFonts w:eastAsia="Times New Roman" w:cs="Arial"/>
                <w:b/>
                <w:bCs/>
                <w:sz w:val="18"/>
                <w:szCs w:val="18"/>
                <w:lang w:val="es-ES" w:eastAsia="en-US"/>
              </w:rPr>
            </w:pPr>
            <w:r w:rsidRPr="00DB0940">
              <w:rPr>
                <w:rFonts w:eastAsia="Times New Roman" w:cs="Arial"/>
                <w:b/>
                <w:bCs/>
                <w:sz w:val="18"/>
                <w:szCs w:val="18"/>
                <w:lang w:val="es-ES" w:eastAsia="en-US"/>
              </w:rPr>
              <w:t>1.1</w:t>
            </w:r>
          </w:p>
        </w:tc>
        <w:tc>
          <w:tcPr>
            <w:tcW w:w="6379" w:type="dxa"/>
            <w:tcBorders>
              <w:top w:val="nil"/>
              <w:left w:val="nil"/>
              <w:bottom w:val="single" w:sz="4" w:space="0" w:color="auto"/>
              <w:right w:val="single" w:sz="4" w:space="0" w:color="auto"/>
            </w:tcBorders>
            <w:vAlign w:val="center"/>
            <w:hideMark/>
          </w:tcPr>
          <w:p w14:paraId="380FC01E" w14:textId="77777777" w:rsidR="00DB0940" w:rsidRPr="00DB0940" w:rsidRDefault="00DB0940" w:rsidP="00DB0940">
            <w:pPr>
              <w:spacing w:line="256" w:lineRule="auto"/>
              <w:rPr>
                <w:rFonts w:eastAsia="Times New Roman" w:cs="Arial"/>
                <w:b/>
                <w:bCs/>
                <w:sz w:val="18"/>
                <w:szCs w:val="18"/>
                <w:lang w:val="es-ES" w:eastAsia="en-US"/>
              </w:rPr>
            </w:pPr>
            <w:r w:rsidRPr="00DB0940">
              <w:rPr>
                <w:rFonts w:eastAsia="Times New Roman" w:cs="Arial"/>
                <w:b/>
                <w:bCs/>
                <w:sz w:val="18"/>
                <w:szCs w:val="18"/>
                <w:lang w:val="es-ES" w:eastAsia="en-US"/>
              </w:rPr>
              <w:t>Ingresos Corrientes.</w:t>
            </w:r>
          </w:p>
        </w:tc>
        <w:tc>
          <w:tcPr>
            <w:tcW w:w="1417" w:type="dxa"/>
            <w:tcBorders>
              <w:top w:val="nil"/>
              <w:left w:val="nil"/>
              <w:bottom w:val="single" w:sz="4" w:space="0" w:color="auto"/>
              <w:right w:val="single" w:sz="4" w:space="0" w:color="auto"/>
            </w:tcBorders>
            <w:vAlign w:val="center"/>
            <w:hideMark/>
          </w:tcPr>
          <w:p w14:paraId="4F49FDC3" w14:textId="5A354B1E" w:rsidR="00DB0940" w:rsidRPr="00DB0940" w:rsidRDefault="00DB0940" w:rsidP="00DB0940">
            <w:pPr>
              <w:spacing w:line="256" w:lineRule="auto"/>
              <w:jc w:val="right"/>
              <w:rPr>
                <w:rFonts w:eastAsia="Times New Roman" w:cs="Arial"/>
                <w:b/>
                <w:bCs/>
                <w:sz w:val="18"/>
                <w:szCs w:val="18"/>
                <w:lang w:val="es-ES" w:eastAsia="en-US"/>
              </w:rPr>
            </w:pPr>
            <w:r w:rsidRPr="00DB0940">
              <w:rPr>
                <w:rFonts w:cs="Arial"/>
                <w:b/>
                <w:bCs/>
                <w:sz w:val="18"/>
                <w:szCs w:val="18"/>
              </w:rPr>
              <w:t>22,670,888,806</w:t>
            </w:r>
          </w:p>
        </w:tc>
      </w:tr>
      <w:tr w:rsidR="00DB0940" w:rsidRPr="00DB0940" w14:paraId="2CC791A9"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5E4399A1"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1.1.1</w:t>
            </w:r>
          </w:p>
        </w:tc>
        <w:tc>
          <w:tcPr>
            <w:tcW w:w="6379" w:type="dxa"/>
            <w:tcBorders>
              <w:top w:val="nil"/>
              <w:left w:val="nil"/>
              <w:bottom w:val="single" w:sz="4" w:space="0" w:color="auto"/>
              <w:right w:val="single" w:sz="4" w:space="0" w:color="auto"/>
            </w:tcBorders>
            <w:vAlign w:val="center"/>
            <w:hideMark/>
          </w:tcPr>
          <w:p w14:paraId="6269964B"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Impuestos.</w:t>
            </w:r>
          </w:p>
        </w:tc>
        <w:tc>
          <w:tcPr>
            <w:tcW w:w="1417" w:type="dxa"/>
            <w:tcBorders>
              <w:top w:val="nil"/>
              <w:left w:val="nil"/>
              <w:bottom w:val="single" w:sz="4" w:space="0" w:color="auto"/>
              <w:right w:val="single" w:sz="4" w:space="0" w:color="auto"/>
            </w:tcBorders>
            <w:vAlign w:val="center"/>
            <w:hideMark/>
          </w:tcPr>
          <w:p w14:paraId="07B7AF2A" w14:textId="23E2892A"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1,350,827,869</w:t>
            </w:r>
          </w:p>
        </w:tc>
      </w:tr>
      <w:tr w:rsidR="00DB0940" w:rsidRPr="00DB0940" w14:paraId="29C415D1"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7F2BCB18"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1.1.2</w:t>
            </w:r>
          </w:p>
        </w:tc>
        <w:tc>
          <w:tcPr>
            <w:tcW w:w="6379" w:type="dxa"/>
            <w:tcBorders>
              <w:top w:val="nil"/>
              <w:left w:val="nil"/>
              <w:bottom w:val="single" w:sz="4" w:space="0" w:color="auto"/>
              <w:right w:val="single" w:sz="4" w:space="0" w:color="auto"/>
            </w:tcBorders>
            <w:vAlign w:val="center"/>
            <w:hideMark/>
          </w:tcPr>
          <w:p w14:paraId="4E1B5B98"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Contribuciones a la Seguridad Social.</w:t>
            </w:r>
          </w:p>
        </w:tc>
        <w:tc>
          <w:tcPr>
            <w:tcW w:w="1417" w:type="dxa"/>
            <w:tcBorders>
              <w:top w:val="nil"/>
              <w:left w:val="nil"/>
              <w:bottom w:val="single" w:sz="4" w:space="0" w:color="auto"/>
              <w:right w:val="single" w:sz="4" w:space="0" w:color="auto"/>
            </w:tcBorders>
            <w:vAlign w:val="center"/>
            <w:hideMark/>
          </w:tcPr>
          <w:p w14:paraId="0A95A413" w14:textId="66A60AE1"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508325DC"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6285AD25"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1.1.3</w:t>
            </w:r>
          </w:p>
        </w:tc>
        <w:tc>
          <w:tcPr>
            <w:tcW w:w="6379" w:type="dxa"/>
            <w:tcBorders>
              <w:top w:val="nil"/>
              <w:left w:val="nil"/>
              <w:bottom w:val="single" w:sz="4" w:space="0" w:color="auto"/>
              <w:right w:val="single" w:sz="4" w:space="0" w:color="auto"/>
            </w:tcBorders>
            <w:vAlign w:val="center"/>
            <w:hideMark/>
          </w:tcPr>
          <w:p w14:paraId="3D504373"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Contribuciones de Mejoras.</w:t>
            </w:r>
          </w:p>
        </w:tc>
        <w:tc>
          <w:tcPr>
            <w:tcW w:w="1417" w:type="dxa"/>
            <w:tcBorders>
              <w:top w:val="nil"/>
              <w:left w:val="nil"/>
              <w:bottom w:val="single" w:sz="4" w:space="0" w:color="auto"/>
              <w:right w:val="single" w:sz="4" w:space="0" w:color="auto"/>
            </w:tcBorders>
            <w:vAlign w:val="center"/>
            <w:hideMark/>
          </w:tcPr>
          <w:p w14:paraId="4B3878E7" w14:textId="0BD45E17"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43436802"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525050FF"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1.1.4</w:t>
            </w:r>
          </w:p>
        </w:tc>
        <w:tc>
          <w:tcPr>
            <w:tcW w:w="6379" w:type="dxa"/>
            <w:tcBorders>
              <w:top w:val="nil"/>
              <w:left w:val="nil"/>
              <w:bottom w:val="single" w:sz="4" w:space="0" w:color="auto"/>
              <w:right w:val="single" w:sz="4" w:space="0" w:color="auto"/>
            </w:tcBorders>
            <w:vAlign w:val="center"/>
            <w:hideMark/>
          </w:tcPr>
          <w:p w14:paraId="6E402BF0"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Derechos, Productos y Aprovechamientos Corrientes.</w:t>
            </w:r>
          </w:p>
        </w:tc>
        <w:tc>
          <w:tcPr>
            <w:tcW w:w="1417" w:type="dxa"/>
            <w:tcBorders>
              <w:top w:val="nil"/>
              <w:left w:val="nil"/>
              <w:bottom w:val="single" w:sz="4" w:space="0" w:color="auto"/>
              <w:right w:val="single" w:sz="4" w:space="0" w:color="auto"/>
            </w:tcBorders>
            <w:vAlign w:val="center"/>
            <w:hideMark/>
          </w:tcPr>
          <w:p w14:paraId="2EE28635" w14:textId="0D639CC2"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723,678,361</w:t>
            </w:r>
          </w:p>
        </w:tc>
      </w:tr>
      <w:tr w:rsidR="00DB0940" w:rsidRPr="00DB0940" w14:paraId="37E30329"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0BF9FCE1"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1.1.5</w:t>
            </w:r>
          </w:p>
        </w:tc>
        <w:tc>
          <w:tcPr>
            <w:tcW w:w="6379" w:type="dxa"/>
            <w:tcBorders>
              <w:top w:val="nil"/>
              <w:left w:val="nil"/>
              <w:bottom w:val="single" w:sz="4" w:space="0" w:color="auto"/>
              <w:right w:val="single" w:sz="4" w:space="0" w:color="auto"/>
            </w:tcBorders>
            <w:vAlign w:val="center"/>
            <w:hideMark/>
          </w:tcPr>
          <w:p w14:paraId="106709A6"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Rentas de la Propiedad.</w:t>
            </w:r>
          </w:p>
        </w:tc>
        <w:tc>
          <w:tcPr>
            <w:tcW w:w="1417" w:type="dxa"/>
            <w:tcBorders>
              <w:top w:val="nil"/>
              <w:left w:val="nil"/>
              <w:bottom w:val="single" w:sz="4" w:space="0" w:color="auto"/>
              <w:right w:val="single" w:sz="4" w:space="0" w:color="auto"/>
            </w:tcBorders>
            <w:vAlign w:val="center"/>
            <w:hideMark/>
          </w:tcPr>
          <w:p w14:paraId="5BE9EAD6" w14:textId="1DF1EFD5"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7841829C"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1AFD198F"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1.1.6</w:t>
            </w:r>
          </w:p>
        </w:tc>
        <w:tc>
          <w:tcPr>
            <w:tcW w:w="6379" w:type="dxa"/>
            <w:tcBorders>
              <w:top w:val="nil"/>
              <w:left w:val="nil"/>
              <w:bottom w:val="single" w:sz="4" w:space="0" w:color="auto"/>
              <w:right w:val="single" w:sz="4" w:space="0" w:color="auto"/>
            </w:tcBorders>
            <w:vAlign w:val="center"/>
            <w:hideMark/>
          </w:tcPr>
          <w:p w14:paraId="7ACA385F"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Venta de Bienes y Servicios de Entidades del Gobierno Federal/ Ingresos de Explotación de Entidades Empresariales.</w:t>
            </w:r>
          </w:p>
        </w:tc>
        <w:tc>
          <w:tcPr>
            <w:tcW w:w="1417" w:type="dxa"/>
            <w:tcBorders>
              <w:top w:val="nil"/>
              <w:left w:val="nil"/>
              <w:bottom w:val="single" w:sz="4" w:space="0" w:color="auto"/>
              <w:right w:val="single" w:sz="4" w:space="0" w:color="auto"/>
            </w:tcBorders>
            <w:vAlign w:val="center"/>
            <w:hideMark/>
          </w:tcPr>
          <w:p w14:paraId="3AE181E8" w14:textId="0DA5D48F"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751440AF"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043C9901"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1.1.7</w:t>
            </w:r>
          </w:p>
        </w:tc>
        <w:tc>
          <w:tcPr>
            <w:tcW w:w="6379" w:type="dxa"/>
            <w:tcBorders>
              <w:top w:val="nil"/>
              <w:left w:val="nil"/>
              <w:bottom w:val="single" w:sz="4" w:space="0" w:color="auto"/>
              <w:right w:val="single" w:sz="4" w:space="0" w:color="auto"/>
            </w:tcBorders>
            <w:vAlign w:val="center"/>
            <w:hideMark/>
          </w:tcPr>
          <w:p w14:paraId="23C6786F"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Subsidios y Subvenciones Recibidos por las Entidades Empresariales Públicas.</w:t>
            </w:r>
          </w:p>
        </w:tc>
        <w:tc>
          <w:tcPr>
            <w:tcW w:w="1417" w:type="dxa"/>
            <w:tcBorders>
              <w:top w:val="nil"/>
              <w:left w:val="nil"/>
              <w:bottom w:val="single" w:sz="4" w:space="0" w:color="auto"/>
              <w:right w:val="single" w:sz="4" w:space="0" w:color="auto"/>
            </w:tcBorders>
            <w:vAlign w:val="center"/>
            <w:hideMark/>
          </w:tcPr>
          <w:p w14:paraId="1006EF3A" w14:textId="58209845"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2,032,677,181</w:t>
            </w:r>
          </w:p>
        </w:tc>
      </w:tr>
      <w:tr w:rsidR="00DB0940" w:rsidRPr="00DB0940" w14:paraId="58559F03"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250277C1"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1.1.8</w:t>
            </w:r>
          </w:p>
        </w:tc>
        <w:tc>
          <w:tcPr>
            <w:tcW w:w="6379" w:type="dxa"/>
            <w:tcBorders>
              <w:top w:val="nil"/>
              <w:left w:val="nil"/>
              <w:bottom w:val="single" w:sz="4" w:space="0" w:color="auto"/>
              <w:right w:val="single" w:sz="4" w:space="0" w:color="auto"/>
            </w:tcBorders>
            <w:vAlign w:val="center"/>
            <w:hideMark/>
          </w:tcPr>
          <w:p w14:paraId="6AB8FC74"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Transferencias, Asignaciones y Donativos Corrientes Recibidos.</w:t>
            </w:r>
          </w:p>
        </w:tc>
        <w:tc>
          <w:tcPr>
            <w:tcW w:w="1417" w:type="dxa"/>
            <w:tcBorders>
              <w:top w:val="nil"/>
              <w:left w:val="nil"/>
              <w:bottom w:val="single" w:sz="4" w:space="0" w:color="auto"/>
              <w:right w:val="single" w:sz="4" w:space="0" w:color="auto"/>
            </w:tcBorders>
            <w:vAlign w:val="center"/>
            <w:hideMark/>
          </w:tcPr>
          <w:p w14:paraId="55B9EA12" w14:textId="0D7A1EBC"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10,299,971,170</w:t>
            </w:r>
          </w:p>
        </w:tc>
      </w:tr>
      <w:tr w:rsidR="00DB0940" w:rsidRPr="00DB0940" w14:paraId="7E9156CE" w14:textId="77777777" w:rsidTr="00BF5974">
        <w:trPr>
          <w:trHeight w:val="246"/>
          <w:jc w:val="center"/>
        </w:trPr>
        <w:tc>
          <w:tcPr>
            <w:tcW w:w="709" w:type="dxa"/>
            <w:tcBorders>
              <w:top w:val="nil"/>
              <w:left w:val="single" w:sz="4" w:space="0" w:color="auto"/>
              <w:bottom w:val="single" w:sz="4" w:space="0" w:color="auto"/>
              <w:right w:val="single" w:sz="4" w:space="0" w:color="auto"/>
            </w:tcBorders>
            <w:vAlign w:val="center"/>
            <w:hideMark/>
          </w:tcPr>
          <w:p w14:paraId="67C21433"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1.1.9</w:t>
            </w:r>
          </w:p>
        </w:tc>
        <w:tc>
          <w:tcPr>
            <w:tcW w:w="6379" w:type="dxa"/>
            <w:tcBorders>
              <w:top w:val="nil"/>
              <w:left w:val="nil"/>
              <w:bottom w:val="single" w:sz="4" w:space="0" w:color="auto"/>
              <w:right w:val="single" w:sz="4" w:space="0" w:color="auto"/>
            </w:tcBorders>
            <w:vAlign w:val="center"/>
            <w:hideMark/>
          </w:tcPr>
          <w:p w14:paraId="1B8DC7C4"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Participaciones.</w:t>
            </w:r>
          </w:p>
        </w:tc>
        <w:tc>
          <w:tcPr>
            <w:tcW w:w="1417" w:type="dxa"/>
            <w:tcBorders>
              <w:top w:val="nil"/>
              <w:left w:val="nil"/>
              <w:bottom w:val="single" w:sz="4" w:space="0" w:color="auto"/>
              <w:right w:val="single" w:sz="4" w:space="0" w:color="auto"/>
            </w:tcBorders>
            <w:vAlign w:val="center"/>
            <w:hideMark/>
          </w:tcPr>
          <w:p w14:paraId="29355883" w14:textId="2708A6EB"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8,263,734,225</w:t>
            </w:r>
          </w:p>
        </w:tc>
      </w:tr>
      <w:tr w:rsidR="00DB0940" w:rsidRPr="00DB0940" w14:paraId="0B436E8D"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28BC0609" w14:textId="77777777" w:rsidR="00DB0940" w:rsidRPr="00DB0940" w:rsidRDefault="00DB0940" w:rsidP="00DB0940">
            <w:pPr>
              <w:spacing w:line="256" w:lineRule="auto"/>
              <w:rPr>
                <w:rFonts w:eastAsia="Times New Roman" w:cs="Arial"/>
                <w:b/>
                <w:bCs/>
                <w:sz w:val="18"/>
                <w:szCs w:val="18"/>
                <w:lang w:val="es-ES" w:eastAsia="en-US"/>
              </w:rPr>
            </w:pPr>
            <w:r w:rsidRPr="00DB0940">
              <w:rPr>
                <w:rFonts w:eastAsia="Times New Roman" w:cs="Arial"/>
                <w:b/>
                <w:bCs/>
                <w:sz w:val="18"/>
                <w:szCs w:val="18"/>
                <w:lang w:val="es-ES" w:eastAsia="en-US"/>
              </w:rPr>
              <w:t>1.2</w:t>
            </w:r>
          </w:p>
        </w:tc>
        <w:tc>
          <w:tcPr>
            <w:tcW w:w="6379" w:type="dxa"/>
            <w:tcBorders>
              <w:top w:val="nil"/>
              <w:left w:val="nil"/>
              <w:bottom w:val="single" w:sz="4" w:space="0" w:color="auto"/>
              <w:right w:val="single" w:sz="4" w:space="0" w:color="auto"/>
            </w:tcBorders>
            <w:vAlign w:val="center"/>
            <w:hideMark/>
          </w:tcPr>
          <w:p w14:paraId="50406202" w14:textId="77777777" w:rsidR="00DB0940" w:rsidRPr="00DB0940" w:rsidRDefault="00DB0940" w:rsidP="00DB0940">
            <w:pPr>
              <w:spacing w:line="256" w:lineRule="auto"/>
              <w:rPr>
                <w:rFonts w:eastAsia="Times New Roman" w:cs="Arial"/>
                <w:b/>
                <w:bCs/>
                <w:sz w:val="18"/>
                <w:szCs w:val="18"/>
                <w:lang w:val="es-ES" w:eastAsia="en-US"/>
              </w:rPr>
            </w:pPr>
            <w:r w:rsidRPr="00DB0940">
              <w:rPr>
                <w:rFonts w:eastAsia="Times New Roman" w:cs="Arial"/>
                <w:b/>
                <w:bCs/>
                <w:sz w:val="18"/>
                <w:szCs w:val="18"/>
                <w:lang w:val="es-ES" w:eastAsia="en-US"/>
              </w:rPr>
              <w:t>Ingresos De Capital.</w:t>
            </w:r>
          </w:p>
        </w:tc>
        <w:tc>
          <w:tcPr>
            <w:tcW w:w="1417" w:type="dxa"/>
            <w:tcBorders>
              <w:top w:val="nil"/>
              <w:left w:val="nil"/>
              <w:bottom w:val="single" w:sz="4" w:space="0" w:color="auto"/>
              <w:right w:val="single" w:sz="4" w:space="0" w:color="auto"/>
            </w:tcBorders>
            <w:vAlign w:val="center"/>
            <w:hideMark/>
          </w:tcPr>
          <w:p w14:paraId="50FCBF4B" w14:textId="7BB7E258" w:rsidR="00DB0940" w:rsidRPr="00DB0940" w:rsidRDefault="00DB0940" w:rsidP="00DB0940">
            <w:pPr>
              <w:spacing w:line="256" w:lineRule="auto"/>
              <w:jc w:val="right"/>
              <w:rPr>
                <w:rFonts w:eastAsia="Times New Roman" w:cs="Arial"/>
                <w:b/>
                <w:bCs/>
                <w:sz w:val="18"/>
                <w:szCs w:val="18"/>
                <w:lang w:val="es-ES" w:eastAsia="en-US"/>
              </w:rPr>
            </w:pPr>
            <w:r w:rsidRPr="00DB0940">
              <w:rPr>
                <w:rFonts w:cs="Arial"/>
                <w:b/>
                <w:bCs/>
                <w:sz w:val="18"/>
                <w:szCs w:val="18"/>
              </w:rPr>
              <w:t>0</w:t>
            </w:r>
          </w:p>
        </w:tc>
      </w:tr>
      <w:tr w:rsidR="00DB0940" w:rsidRPr="00DB0940" w14:paraId="598845D5"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34F4C395"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1.2.1</w:t>
            </w:r>
          </w:p>
        </w:tc>
        <w:tc>
          <w:tcPr>
            <w:tcW w:w="6379" w:type="dxa"/>
            <w:tcBorders>
              <w:top w:val="nil"/>
              <w:left w:val="nil"/>
              <w:bottom w:val="single" w:sz="4" w:space="0" w:color="auto"/>
              <w:right w:val="single" w:sz="4" w:space="0" w:color="auto"/>
            </w:tcBorders>
            <w:vAlign w:val="center"/>
            <w:hideMark/>
          </w:tcPr>
          <w:p w14:paraId="2CFFF2FD"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Venta (Disposición) de Activos.</w:t>
            </w:r>
          </w:p>
        </w:tc>
        <w:tc>
          <w:tcPr>
            <w:tcW w:w="1417" w:type="dxa"/>
            <w:tcBorders>
              <w:top w:val="nil"/>
              <w:left w:val="nil"/>
              <w:bottom w:val="single" w:sz="4" w:space="0" w:color="auto"/>
              <w:right w:val="single" w:sz="4" w:space="0" w:color="auto"/>
            </w:tcBorders>
            <w:vAlign w:val="center"/>
            <w:hideMark/>
          </w:tcPr>
          <w:p w14:paraId="72198ECD" w14:textId="595052F9"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698D2F98"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5BEBE3DA"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 xml:space="preserve">1.2.1.1 </w:t>
            </w:r>
          </w:p>
        </w:tc>
        <w:tc>
          <w:tcPr>
            <w:tcW w:w="6379" w:type="dxa"/>
            <w:tcBorders>
              <w:top w:val="nil"/>
              <w:left w:val="nil"/>
              <w:bottom w:val="single" w:sz="4" w:space="0" w:color="auto"/>
              <w:right w:val="single" w:sz="4" w:space="0" w:color="auto"/>
            </w:tcBorders>
            <w:vAlign w:val="center"/>
            <w:hideMark/>
          </w:tcPr>
          <w:p w14:paraId="03911C7B"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Venta de Activos Fijos.</w:t>
            </w:r>
          </w:p>
        </w:tc>
        <w:tc>
          <w:tcPr>
            <w:tcW w:w="1417" w:type="dxa"/>
            <w:tcBorders>
              <w:top w:val="nil"/>
              <w:left w:val="nil"/>
              <w:bottom w:val="single" w:sz="4" w:space="0" w:color="auto"/>
              <w:right w:val="single" w:sz="4" w:space="0" w:color="auto"/>
            </w:tcBorders>
            <w:vAlign w:val="center"/>
            <w:hideMark/>
          </w:tcPr>
          <w:p w14:paraId="70FE5EF1" w14:textId="0A38ED00"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2321987D"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6867D7B9"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 xml:space="preserve">1.2.1.2 </w:t>
            </w:r>
          </w:p>
        </w:tc>
        <w:tc>
          <w:tcPr>
            <w:tcW w:w="6379" w:type="dxa"/>
            <w:tcBorders>
              <w:top w:val="nil"/>
              <w:left w:val="nil"/>
              <w:bottom w:val="single" w:sz="4" w:space="0" w:color="auto"/>
              <w:right w:val="single" w:sz="4" w:space="0" w:color="auto"/>
            </w:tcBorders>
            <w:vAlign w:val="center"/>
            <w:hideMark/>
          </w:tcPr>
          <w:p w14:paraId="72CBB78F"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Venta de Objetos de Valor.</w:t>
            </w:r>
          </w:p>
        </w:tc>
        <w:tc>
          <w:tcPr>
            <w:tcW w:w="1417" w:type="dxa"/>
            <w:tcBorders>
              <w:top w:val="nil"/>
              <w:left w:val="nil"/>
              <w:bottom w:val="single" w:sz="4" w:space="0" w:color="auto"/>
              <w:right w:val="single" w:sz="4" w:space="0" w:color="auto"/>
            </w:tcBorders>
            <w:vAlign w:val="center"/>
            <w:hideMark/>
          </w:tcPr>
          <w:p w14:paraId="0C4DE39C" w14:textId="30BD0438"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7148F28D"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5AE3AB75"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 xml:space="preserve">1.2.1.3 </w:t>
            </w:r>
          </w:p>
        </w:tc>
        <w:tc>
          <w:tcPr>
            <w:tcW w:w="6379" w:type="dxa"/>
            <w:tcBorders>
              <w:top w:val="nil"/>
              <w:left w:val="nil"/>
              <w:bottom w:val="single" w:sz="4" w:space="0" w:color="auto"/>
              <w:right w:val="single" w:sz="4" w:space="0" w:color="auto"/>
            </w:tcBorders>
            <w:vAlign w:val="center"/>
            <w:hideMark/>
          </w:tcPr>
          <w:p w14:paraId="6B357C3F"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Venta de Activos No Producidos.</w:t>
            </w:r>
          </w:p>
        </w:tc>
        <w:tc>
          <w:tcPr>
            <w:tcW w:w="1417" w:type="dxa"/>
            <w:tcBorders>
              <w:top w:val="nil"/>
              <w:left w:val="nil"/>
              <w:bottom w:val="single" w:sz="4" w:space="0" w:color="auto"/>
              <w:right w:val="single" w:sz="4" w:space="0" w:color="auto"/>
            </w:tcBorders>
            <w:vAlign w:val="center"/>
            <w:hideMark/>
          </w:tcPr>
          <w:p w14:paraId="7DEC676E" w14:textId="643C13AD"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3D2D882B"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168DF45A"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 xml:space="preserve">1.2.2 </w:t>
            </w:r>
          </w:p>
        </w:tc>
        <w:tc>
          <w:tcPr>
            <w:tcW w:w="6379" w:type="dxa"/>
            <w:tcBorders>
              <w:top w:val="nil"/>
              <w:left w:val="nil"/>
              <w:bottom w:val="single" w:sz="4" w:space="0" w:color="auto"/>
              <w:right w:val="single" w:sz="4" w:space="0" w:color="auto"/>
            </w:tcBorders>
            <w:vAlign w:val="center"/>
            <w:hideMark/>
          </w:tcPr>
          <w:p w14:paraId="5EE3CE2D"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Disminución de Existencias.</w:t>
            </w:r>
          </w:p>
        </w:tc>
        <w:tc>
          <w:tcPr>
            <w:tcW w:w="1417" w:type="dxa"/>
            <w:tcBorders>
              <w:top w:val="nil"/>
              <w:left w:val="nil"/>
              <w:bottom w:val="single" w:sz="4" w:space="0" w:color="auto"/>
              <w:right w:val="single" w:sz="4" w:space="0" w:color="auto"/>
            </w:tcBorders>
            <w:vAlign w:val="center"/>
            <w:hideMark/>
          </w:tcPr>
          <w:p w14:paraId="64697800" w14:textId="78061A3D"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60D67456"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16CDB03E"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 xml:space="preserve">1.2.3 </w:t>
            </w:r>
          </w:p>
        </w:tc>
        <w:tc>
          <w:tcPr>
            <w:tcW w:w="6379" w:type="dxa"/>
            <w:tcBorders>
              <w:top w:val="nil"/>
              <w:left w:val="nil"/>
              <w:bottom w:val="single" w:sz="4" w:space="0" w:color="auto"/>
              <w:right w:val="single" w:sz="4" w:space="0" w:color="auto"/>
            </w:tcBorders>
            <w:vAlign w:val="center"/>
            <w:hideMark/>
          </w:tcPr>
          <w:p w14:paraId="6BEEED19"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Incremento de la depreciación, amortización, estimaciones y provisiones acumuladas.</w:t>
            </w:r>
          </w:p>
        </w:tc>
        <w:tc>
          <w:tcPr>
            <w:tcW w:w="1417" w:type="dxa"/>
            <w:tcBorders>
              <w:top w:val="nil"/>
              <w:left w:val="nil"/>
              <w:bottom w:val="single" w:sz="4" w:space="0" w:color="auto"/>
              <w:right w:val="single" w:sz="4" w:space="0" w:color="auto"/>
            </w:tcBorders>
            <w:vAlign w:val="center"/>
            <w:hideMark/>
          </w:tcPr>
          <w:p w14:paraId="480AC939" w14:textId="5E664BF2"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45D0F321"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1E39DEE9"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 xml:space="preserve">1.2.4 </w:t>
            </w:r>
          </w:p>
        </w:tc>
        <w:tc>
          <w:tcPr>
            <w:tcW w:w="6379" w:type="dxa"/>
            <w:tcBorders>
              <w:top w:val="nil"/>
              <w:left w:val="nil"/>
              <w:bottom w:val="single" w:sz="4" w:space="0" w:color="auto"/>
              <w:right w:val="single" w:sz="4" w:space="0" w:color="auto"/>
            </w:tcBorders>
            <w:vAlign w:val="center"/>
            <w:hideMark/>
          </w:tcPr>
          <w:p w14:paraId="2D29580D"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Transferencias, asignaciones y donativos de capital recibidos.</w:t>
            </w:r>
          </w:p>
        </w:tc>
        <w:tc>
          <w:tcPr>
            <w:tcW w:w="1417" w:type="dxa"/>
            <w:tcBorders>
              <w:top w:val="nil"/>
              <w:left w:val="nil"/>
              <w:bottom w:val="single" w:sz="4" w:space="0" w:color="auto"/>
              <w:right w:val="single" w:sz="4" w:space="0" w:color="auto"/>
            </w:tcBorders>
            <w:vAlign w:val="center"/>
            <w:hideMark/>
          </w:tcPr>
          <w:p w14:paraId="2623C889" w14:textId="61C529D7"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17E1684F"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7C0C1E23"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 xml:space="preserve">1.2.5 </w:t>
            </w:r>
          </w:p>
        </w:tc>
        <w:tc>
          <w:tcPr>
            <w:tcW w:w="6379" w:type="dxa"/>
            <w:tcBorders>
              <w:top w:val="nil"/>
              <w:left w:val="nil"/>
              <w:bottom w:val="single" w:sz="4" w:space="0" w:color="auto"/>
              <w:right w:val="single" w:sz="4" w:space="0" w:color="auto"/>
            </w:tcBorders>
            <w:vAlign w:val="center"/>
            <w:hideMark/>
          </w:tcPr>
          <w:p w14:paraId="77ED2D28"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Recuperación de inversiones financieras realizadas con fines de política.</w:t>
            </w:r>
          </w:p>
        </w:tc>
        <w:tc>
          <w:tcPr>
            <w:tcW w:w="1417" w:type="dxa"/>
            <w:tcBorders>
              <w:top w:val="nil"/>
              <w:left w:val="nil"/>
              <w:bottom w:val="single" w:sz="4" w:space="0" w:color="auto"/>
              <w:right w:val="single" w:sz="4" w:space="0" w:color="auto"/>
            </w:tcBorders>
            <w:vAlign w:val="center"/>
            <w:hideMark/>
          </w:tcPr>
          <w:p w14:paraId="60EA4EE4" w14:textId="17C63575"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34033E76"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3D6B4C42" w14:textId="77777777" w:rsidR="00DB0940" w:rsidRPr="00DB0940" w:rsidRDefault="00DB0940" w:rsidP="00DB0940">
            <w:pPr>
              <w:spacing w:line="256" w:lineRule="auto"/>
              <w:rPr>
                <w:rFonts w:eastAsia="Times New Roman" w:cs="Arial"/>
                <w:b/>
                <w:bCs/>
                <w:sz w:val="18"/>
                <w:szCs w:val="18"/>
                <w:lang w:val="es-ES" w:eastAsia="en-US"/>
              </w:rPr>
            </w:pPr>
            <w:r w:rsidRPr="00DB0940">
              <w:rPr>
                <w:rFonts w:eastAsia="Times New Roman" w:cs="Arial"/>
                <w:b/>
                <w:bCs/>
                <w:sz w:val="18"/>
                <w:szCs w:val="18"/>
                <w:lang w:val="es-ES" w:eastAsia="en-US"/>
              </w:rPr>
              <w:t> </w:t>
            </w:r>
          </w:p>
        </w:tc>
        <w:tc>
          <w:tcPr>
            <w:tcW w:w="6379" w:type="dxa"/>
            <w:tcBorders>
              <w:top w:val="nil"/>
              <w:left w:val="nil"/>
              <w:bottom w:val="single" w:sz="4" w:space="0" w:color="auto"/>
              <w:right w:val="single" w:sz="4" w:space="0" w:color="auto"/>
            </w:tcBorders>
            <w:vAlign w:val="center"/>
            <w:hideMark/>
          </w:tcPr>
          <w:p w14:paraId="5859443C" w14:textId="77777777" w:rsidR="00DB0940" w:rsidRPr="00DB0940" w:rsidRDefault="00DB0940" w:rsidP="00DB0940">
            <w:pPr>
              <w:spacing w:line="256" w:lineRule="auto"/>
              <w:rPr>
                <w:rFonts w:eastAsia="Times New Roman" w:cs="Arial"/>
                <w:b/>
                <w:bCs/>
                <w:sz w:val="18"/>
                <w:szCs w:val="18"/>
                <w:lang w:val="es-ES" w:eastAsia="en-US"/>
              </w:rPr>
            </w:pPr>
            <w:proofErr w:type="gramStart"/>
            <w:r w:rsidRPr="00DB0940">
              <w:rPr>
                <w:rFonts w:eastAsia="Times New Roman" w:cs="Arial"/>
                <w:b/>
                <w:bCs/>
                <w:sz w:val="18"/>
                <w:szCs w:val="18"/>
                <w:lang w:val="es-ES" w:eastAsia="en-US"/>
              </w:rPr>
              <w:t>Total</w:t>
            </w:r>
            <w:proofErr w:type="gramEnd"/>
            <w:r w:rsidRPr="00DB0940">
              <w:rPr>
                <w:rFonts w:eastAsia="Times New Roman" w:cs="Arial"/>
                <w:b/>
                <w:bCs/>
                <w:sz w:val="18"/>
                <w:szCs w:val="18"/>
                <w:lang w:val="es-ES" w:eastAsia="en-US"/>
              </w:rPr>
              <w:t xml:space="preserve"> de Ingresos.</w:t>
            </w:r>
          </w:p>
        </w:tc>
        <w:tc>
          <w:tcPr>
            <w:tcW w:w="1417" w:type="dxa"/>
            <w:tcBorders>
              <w:top w:val="nil"/>
              <w:left w:val="nil"/>
              <w:bottom w:val="single" w:sz="4" w:space="0" w:color="auto"/>
              <w:right w:val="single" w:sz="4" w:space="0" w:color="auto"/>
            </w:tcBorders>
            <w:vAlign w:val="center"/>
            <w:hideMark/>
          </w:tcPr>
          <w:p w14:paraId="739B9DD7" w14:textId="7C741D91" w:rsidR="00DB0940" w:rsidRPr="00DB0940" w:rsidRDefault="00DB0940" w:rsidP="00DB0940">
            <w:pPr>
              <w:spacing w:line="256" w:lineRule="auto"/>
              <w:jc w:val="right"/>
              <w:rPr>
                <w:rFonts w:eastAsia="Times New Roman" w:cs="Arial"/>
                <w:b/>
                <w:bCs/>
                <w:sz w:val="18"/>
                <w:szCs w:val="18"/>
                <w:lang w:val="es-ES" w:eastAsia="en-US"/>
              </w:rPr>
            </w:pPr>
            <w:r w:rsidRPr="00DB0940">
              <w:rPr>
                <w:rFonts w:cs="Arial"/>
                <w:b/>
                <w:bCs/>
                <w:sz w:val="18"/>
                <w:szCs w:val="18"/>
              </w:rPr>
              <w:t>22,670,888,806</w:t>
            </w:r>
          </w:p>
        </w:tc>
      </w:tr>
      <w:tr w:rsidR="00DB0940" w:rsidRPr="00DB0940" w14:paraId="270FC174"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7B800A5B" w14:textId="77777777" w:rsidR="00DB0940" w:rsidRPr="00DB0940" w:rsidRDefault="00DB0940" w:rsidP="00DB0940">
            <w:pPr>
              <w:spacing w:line="256" w:lineRule="auto"/>
              <w:rPr>
                <w:rFonts w:eastAsia="Times New Roman" w:cs="Arial"/>
                <w:b/>
                <w:bCs/>
                <w:sz w:val="18"/>
                <w:szCs w:val="18"/>
                <w:lang w:val="es-ES" w:eastAsia="en-US"/>
              </w:rPr>
            </w:pPr>
            <w:r w:rsidRPr="00DB0940">
              <w:rPr>
                <w:rFonts w:eastAsia="Times New Roman" w:cs="Arial"/>
                <w:b/>
                <w:bCs/>
                <w:sz w:val="18"/>
                <w:szCs w:val="18"/>
                <w:lang w:val="es-ES" w:eastAsia="en-US"/>
              </w:rPr>
              <w:t>2</w:t>
            </w:r>
          </w:p>
        </w:tc>
        <w:tc>
          <w:tcPr>
            <w:tcW w:w="6379" w:type="dxa"/>
            <w:tcBorders>
              <w:top w:val="nil"/>
              <w:left w:val="nil"/>
              <w:bottom w:val="single" w:sz="4" w:space="0" w:color="auto"/>
              <w:right w:val="single" w:sz="4" w:space="0" w:color="auto"/>
            </w:tcBorders>
            <w:vAlign w:val="center"/>
            <w:hideMark/>
          </w:tcPr>
          <w:p w14:paraId="7A1A4EEC" w14:textId="77777777" w:rsidR="00DB0940" w:rsidRPr="00DB0940" w:rsidRDefault="00DB0940" w:rsidP="00DB0940">
            <w:pPr>
              <w:spacing w:line="256" w:lineRule="auto"/>
              <w:rPr>
                <w:rFonts w:eastAsia="Times New Roman" w:cs="Arial"/>
                <w:b/>
                <w:bCs/>
                <w:sz w:val="18"/>
                <w:szCs w:val="18"/>
                <w:lang w:val="es-ES" w:eastAsia="en-US"/>
              </w:rPr>
            </w:pPr>
            <w:r w:rsidRPr="00DB0940">
              <w:rPr>
                <w:rFonts w:eastAsia="Times New Roman" w:cs="Arial"/>
                <w:b/>
                <w:bCs/>
                <w:sz w:val="18"/>
                <w:szCs w:val="18"/>
                <w:lang w:val="es-ES" w:eastAsia="en-US"/>
              </w:rPr>
              <w:t>Gastos.</w:t>
            </w:r>
          </w:p>
        </w:tc>
        <w:tc>
          <w:tcPr>
            <w:tcW w:w="1417" w:type="dxa"/>
            <w:tcBorders>
              <w:top w:val="nil"/>
              <w:left w:val="nil"/>
              <w:bottom w:val="single" w:sz="4" w:space="0" w:color="auto"/>
              <w:right w:val="single" w:sz="4" w:space="0" w:color="auto"/>
            </w:tcBorders>
            <w:vAlign w:val="center"/>
            <w:hideMark/>
          </w:tcPr>
          <w:p w14:paraId="5E52BC54" w14:textId="3363303F"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 </w:t>
            </w:r>
          </w:p>
        </w:tc>
      </w:tr>
      <w:tr w:rsidR="00DB0940" w:rsidRPr="00DB0940" w14:paraId="5C8EE715"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227D37F0" w14:textId="77777777" w:rsidR="00DB0940" w:rsidRPr="00DB0940" w:rsidRDefault="00DB0940" w:rsidP="00DB0940">
            <w:pPr>
              <w:spacing w:line="256" w:lineRule="auto"/>
              <w:rPr>
                <w:rFonts w:eastAsia="Times New Roman" w:cs="Arial"/>
                <w:b/>
                <w:bCs/>
                <w:sz w:val="18"/>
                <w:szCs w:val="18"/>
                <w:lang w:val="es-ES" w:eastAsia="en-US"/>
              </w:rPr>
            </w:pPr>
            <w:r w:rsidRPr="00DB0940">
              <w:rPr>
                <w:rFonts w:eastAsia="Times New Roman" w:cs="Arial"/>
                <w:b/>
                <w:bCs/>
                <w:sz w:val="18"/>
                <w:szCs w:val="18"/>
                <w:lang w:val="es-ES" w:eastAsia="en-US"/>
              </w:rPr>
              <w:t>2.1</w:t>
            </w:r>
          </w:p>
        </w:tc>
        <w:tc>
          <w:tcPr>
            <w:tcW w:w="6379" w:type="dxa"/>
            <w:tcBorders>
              <w:top w:val="nil"/>
              <w:left w:val="nil"/>
              <w:bottom w:val="single" w:sz="4" w:space="0" w:color="auto"/>
              <w:right w:val="single" w:sz="4" w:space="0" w:color="auto"/>
            </w:tcBorders>
            <w:vAlign w:val="center"/>
            <w:hideMark/>
          </w:tcPr>
          <w:p w14:paraId="38D7BFE4" w14:textId="77777777" w:rsidR="00DB0940" w:rsidRPr="00DB0940" w:rsidRDefault="00DB0940" w:rsidP="00DB0940">
            <w:pPr>
              <w:spacing w:line="256" w:lineRule="auto"/>
              <w:rPr>
                <w:rFonts w:eastAsia="Times New Roman" w:cs="Arial"/>
                <w:b/>
                <w:bCs/>
                <w:sz w:val="18"/>
                <w:szCs w:val="18"/>
                <w:lang w:val="es-ES" w:eastAsia="en-US"/>
              </w:rPr>
            </w:pPr>
            <w:r w:rsidRPr="00DB0940">
              <w:rPr>
                <w:rFonts w:eastAsia="Times New Roman" w:cs="Arial"/>
                <w:b/>
                <w:bCs/>
                <w:sz w:val="18"/>
                <w:szCs w:val="18"/>
                <w:lang w:val="es-ES" w:eastAsia="en-US"/>
              </w:rPr>
              <w:t>Gastos Corrientes.</w:t>
            </w:r>
          </w:p>
        </w:tc>
        <w:tc>
          <w:tcPr>
            <w:tcW w:w="1417" w:type="dxa"/>
            <w:tcBorders>
              <w:top w:val="nil"/>
              <w:left w:val="nil"/>
              <w:bottom w:val="single" w:sz="4" w:space="0" w:color="auto"/>
              <w:right w:val="single" w:sz="4" w:space="0" w:color="auto"/>
            </w:tcBorders>
            <w:vAlign w:val="center"/>
            <w:hideMark/>
          </w:tcPr>
          <w:p w14:paraId="47E94F2A" w14:textId="22078058" w:rsidR="00DB0940" w:rsidRPr="00DB0940" w:rsidRDefault="00DB0940" w:rsidP="00DB0940">
            <w:pPr>
              <w:spacing w:line="256" w:lineRule="auto"/>
              <w:jc w:val="right"/>
              <w:rPr>
                <w:rFonts w:eastAsia="Times New Roman" w:cs="Arial"/>
                <w:b/>
                <w:bCs/>
                <w:sz w:val="18"/>
                <w:szCs w:val="18"/>
                <w:lang w:val="es-ES" w:eastAsia="en-US"/>
              </w:rPr>
            </w:pPr>
            <w:r w:rsidRPr="00DB0940">
              <w:rPr>
                <w:rFonts w:cs="Arial"/>
                <w:b/>
                <w:bCs/>
                <w:sz w:val="18"/>
                <w:szCs w:val="18"/>
              </w:rPr>
              <w:t>21,946,376,032</w:t>
            </w:r>
          </w:p>
        </w:tc>
      </w:tr>
      <w:tr w:rsidR="00DB0940" w:rsidRPr="00DB0940" w14:paraId="3F2FEBC7"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7143EEE3"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2.1.1</w:t>
            </w:r>
          </w:p>
        </w:tc>
        <w:tc>
          <w:tcPr>
            <w:tcW w:w="6379" w:type="dxa"/>
            <w:tcBorders>
              <w:top w:val="nil"/>
              <w:left w:val="nil"/>
              <w:bottom w:val="single" w:sz="4" w:space="0" w:color="auto"/>
              <w:right w:val="single" w:sz="4" w:space="0" w:color="auto"/>
            </w:tcBorders>
            <w:vAlign w:val="center"/>
            <w:hideMark/>
          </w:tcPr>
          <w:p w14:paraId="563067A2"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Gastos de consumo de los entes del Gobierno General/ Gastos de Explotación de las entidades empresariales.</w:t>
            </w:r>
          </w:p>
        </w:tc>
        <w:tc>
          <w:tcPr>
            <w:tcW w:w="1417" w:type="dxa"/>
            <w:tcBorders>
              <w:top w:val="nil"/>
              <w:left w:val="nil"/>
              <w:bottom w:val="single" w:sz="4" w:space="0" w:color="auto"/>
              <w:right w:val="single" w:sz="4" w:space="0" w:color="auto"/>
            </w:tcBorders>
            <w:vAlign w:val="center"/>
            <w:hideMark/>
          </w:tcPr>
          <w:p w14:paraId="1A04A4B8" w14:textId="0D86937C" w:rsidR="00DB0940" w:rsidRPr="00DB0940" w:rsidRDefault="00DB0940" w:rsidP="00DB0940">
            <w:pPr>
              <w:spacing w:line="256" w:lineRule="auto"/>
              <w:jc w:val="right"/>
              <w:rPr>
                <w:rFonts w:eastAsia="Times New Roman" w:cs="Arial"/>
                <w:sz w:val="18"/>
                <w:szCs w:val="18"/>
                <w:lang w:val="es-ES" w:eastAsia="en-US"/>
              </w:rPr>
            </w:pPr>
            <w:r w:rsidRPr="00DB0940">
              <w:rPr>
                <w:rFonts w:cs="Arial"/>
                <w:b/>
                <w:bCs/>
                <w:sz w:val="18"/>
                <w:szCs w:val="18"/>
              </w:rPr>
              <w:t>3,303,642,189</w:t>
            </w:r>
          </w:p>
        </w:tc>
      </w:tr>
      <w:tr w:rsidR="00DB0940" w:rsidRPr="00DB0940" w14:paraId="22E08E9F"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2C750F54"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 xml:space="preserve">2.1.1.1 </w:t>
            </w:r>
          </w:p>
        </w:tc>
        <w:tc>
          <w:tcPr>
            <w:tcW w:w="6379" w:type="dxa"/>
            <w:tcBorders>
              <w:top w:val="nil"/>
              <w:left w:val="nil"/>
              <w:bottom w:val="single" w:sz="4" w:space="0" w:color="auto"/>
              <w:right w:val="single" w:sz="4" w:space="0" w:color="auto"/>
            </w:tcBorders>
            <w:vAlign w:val="center"/>
            <w:hideMark/>
          </w:tcPr>
          <w:p w14:paraId="21D9E1C9"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Remuneraciones.</w:t>
            </w:r>
          </w:p>
        </w:tc>
        <w:tc>
          <w:tcPr>
            <w:tcW w:w="1417" w:type="dxa"/>
            <w:tcBorders>
              <w:top w:val="nil"/>
              <w:left w:val="nil"/>
              <w:bottom w:val="single" w:sz="4" w:space="0" w:color="auto"/>
              <w:right w:val="single" w:sz="4" w:space="0" w:color="auto"/>
            </w:tcBorders>
            <w:vAlign w:val="center"/>
            <w:hideMark/>
          </w:tcPr>
          <w:p w14:paraId="3EB78E72" w14:textId="4166ED74"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2,571,746,805</w:t>
            </w:r>
          </w:p>
        </w:tc>
      </w:tr>
      <w:tr w:rsidR="00DB0940" w:rsidRPr="00DB0940" w14:paraId="0C6768E4"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1BCC301F"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 xml:space="preserve">2.1.1.2 </w:t>
            </w:r>
          </w:p>
        </w:tc>
        <w:tc>
          <w:tcPr>
            <w:tcW w:w="6379" w:type="dxa"/>
            <w:tcBorders>
              <w:top w:val="nil"/>
              <w:left w:val="nil"/>
              <w:bottom w:val="single" w:sz="4" w:space="0" w:color="auto"/>
              <w:right w:val="single" w:sz="4" w:space="0" w:color="auto"/>
            </w:tcBorders>
            <w:vAlign w:val="center"/>
            <w:hideMark/>
          </w:tcPr>
          <w:p w14:paraId="035EDE3F"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Compra de bienes y servicios.</w:t>
            </w:r>
          </w:p>
        </w:tc>
        <w:tc>
          <w:tcPr>
            <w:tcW w:w="1417" w:type="dxa"/>
            <w:tcBorders>
              <w:top w:val="nil"/>
              <w:left w:val="nil"/>
              <w:bottom w:val="single" w:sz="4" w:space="0" w:color="auto"/>
              <w:right w:val="single" w:sz="4" w:space="0" w:color="auto"/>
            </w:tcBorders>
            <w:vAlign w:val="center"/>
            <w:hideMark/>
          </w:tcPr>
          <w:p w14:paraId="6980C737" w14:textId="1C59EB9E"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731,895,384</w:t>
            </w:r>
          </w:p>
        </w:tc>
      </w:tr>
      <w:tr w:rsidR="00DB0940" w:rsidRPr="00DB0940" w14:paraId="65A85EC5"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762FB97C"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2.1.1.3</w:t>
            </w:r>
          </w:p>
        </w:tc>
        <w:tc>
          <w:tcPr>
            <w:tcW w:w="6379" w:type="dxa"/>
            <w:tcBorders>
              <w:top w:val="nil"/>
              <w:left w:val="nil"/>
              <w:bottom w:val="single" w:sz="4" w:space="0" w:color="auto"/>
              <w:right w:val="single" w:sz="4" w:space="0" w:color="auto"/>
            </w:tcBorders>
            <w:vAlign w:val="center"/>
            <w:hideMark/>
          </w:tcPr>
          <w:p w14:paraId="1FEBAEE7"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Variación de Existencias (Disminución (+) Incremento (-)).</w:t>
            </w:r>
          </w:p>
        </w:tc>
        <w:tc>
          <w:tcPr>
            <w:tcW w:w="1417" w:type="dxa"/>
            <w:tcBorders>
              <w:top w:val="nil"/>
              <w:left w:val="nil"/>
              <w:bottom w:val="single" w:sz="4" w:space="0" w:color="auto"/>
              <w:right w:val="single" w:sz="4" w:space="0" w:color="auto"/>
            </w:tcBorders>
            <w:vAlign w:val="center"/>
            <w:hideMark/>
          </w:tcPr>
          <w:p w14:paraId="2FA19A47" w14:textId="579587DB"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05A455EF"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0748A8A0"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2.1.1.4</w:t>
            </w:r>
          </w:p>
        </w:tc>
        <w:tc>
          <w:tcPr>
            <w:tcW w:w="6379" w:type="dxa"/>
            <w:tcBorders>
              <w:top w:val="nil"/>
              <w:left w:val="nil"/>
              <w:bottom w:val="single" w:sz="4" w:space="0" w:color="auto"/>
              <w:right w:val="single" w:sz="4" w:space="0" w:color="auto"/>
            </w:tcBorders>
            <w:vAlign w:val="center"/>
            <w:hideMark/>
          </w:tcPr>
          <w:p w14:paraId="0979BBAC"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Depreciación y amortización (Consumo de Capital Fijo).</w:t>
            </w:r>
          </w:p>
        </w:tc>
        <w:tc>
          <w:tcPr>
            <w:tcW w:w="1417" w:type="dxa"/>
            <w:tcBorders>
              <w:top w:val="nil"/>
              <w:left w:val="nil"/>
              <w:bottom w:val="single" w:sz="4" w:space="0" w:color="auto"/>
              <w:right w:val="single" w:sz="4" w:space="0" w:color="auto"/>
            </w:tcBorders>
            <w:vAlign w:val="center"/>
            <w:hideMark/>
          </w:tcPr>
          <w:p w14:paraId="1E217C25" w14:textId="26FB9823"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7ED5B0CB"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0C817809"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2.1.1.5</w:t>
            </w:r>
          </w:p>
        </w:tc>
        <w:tc>
          <w:tcPr>
            <w:tcW w:w="6379" w:type="dxa"/>
            <w:tcBorders>
              <w:top w:val="nil"/>
              <w:left w:val="nil"/>
              <w:bottom w:val="single" w:sz="4" w:space="0" w:color="auto"/>
              <w:right w:val="single" w:sz="4" w:space="0" w:color="auto"/>
            </w:tcBorders>
            <w:vAlign w:val="center"/>
            <w:hideMark/>
          </w:tcPr>
          <w:p w14:paraId="5DE6AC50"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Estimaciones por Deterioro de Inventarios.</w:t>
            </w:r>
          </w:p>
        </w:tc>
        <w:tc>
          <w:tcPr>
            <w:tcW w:w="1417" w:type="dxa"/>
            <w:tcBorders>
              <w:top w:val="nil"/>
              <w:left w:val="nil"/>
              <w:bottom w:val="single" w:sz="4" w:space="0" w:color="auto"/>
              <w:right w:val="single" w:sz="4" w:space="0" w:color="auto"/>
            </w:tcBorders>
            <w:vAlign w:val="center"/>
            <w:hideMark/>
          </w:tcPr>
          <w:p w14:paraId="756D57FE" w14:textId="628E6EB0"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0C7E28CC"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66EC4FF5"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2.1.1.6</w:t>
            </w:r>
          </w:p>
        </w:tc>
        <w:tc>
          <w:tcPr>
            <w:tcW w:w="6379" w:type="dxa"/>
            <w:tcBorders>
              <w:top w:val="nil"/>
              <w:left w:val="nil"/>
              <w:bottom w:val="single" w:sz="4" w:space="0" w:color="auto"/>
              <w:right w:val="single" w:sz="4" w:space="0" w:color="auto"/>
            </w:tcBorders>
            <w:vAlign w:val="center"/>
            <w:hideMark/>
          </w:tcPr>
          <w:p w14:paraId="12C45FB8"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Impuestos sobre los productos, la producción y las importaciones de las entidades empresariales.</w:t>
            </w:r>
          </w:p>
        </w:tc>
        <w:tc>
          <w:tcPr>
            <w:tcW w:w="1417" w:type="dxa"/>
            <w:tcBorders>
              <w:top w:val="nil"/>
              <w:left w:val="nil"/>
              <w:bottom w:val="single" w:sz="4" w:space="0" w:color="auto"/>
              <w:right w:val="single" w:sz="4" w:space="0" w:color="auto"/>
            </w:tcBorders>
            <w:vAlign w:val="center"/>
            <w:hideMark/>
          </w:tcPr>
          <w:p w14:paraId="1298D709" w14:textId="68CA95DB"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317C61CC"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5EEFDA3F"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2.1.2</w:t>
            </w:r>
          </w:p>
        </w:tc>
        <w:tc>
          <w:tcPr>
            <w:tcW w:w="6379" w:type="dxa"/>
            <w:tcBorders>
              <w:top w:val="nil"/>
              <w:left w:val="nil"/>
              <w:bottom w:val="single" w:sz="4" w:space="0" w:color="auto"/>
              <w:right w:val="single" w:sz="4" w:space="0" w:color="auto"/>
            </w:tcBorders>
            <w:vAlign w:val="center"/>
            <w:hideMark/>
          </w:tcPr>
          <w:p w14:paraId="32948F4F"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Prestaciones de la Seguridad Social.</w:t>
            </w:r>
          </w:p>
        </w:tc>
        <w:tc>
          <w:tcPr>
            <w:tcW w:w="1417" w:type="dxa"/>
            <w:tcBorders>
              <w:top w:val="nil"/>
              <w:left w:val="nil"/>
              <w:bottom w:val="single" w:sz="4" w:space="0" w:color="auto"/>
              <w:right w:val="single" w:sz="4" w:space="0" w:color="auto"/>
            </w:tcBorders>
            <w:vAlign w:val="center"/>
            <w:hideMark/>
          </w:tcPr>
          <w:p w14:paraId="084A9D2C" w14:textId="46F3D665" w:rsidR="00DB0940" w:rsidRPr="00DB0940" w:rsidRDefault="00DB0940" w:rsidP="00DB0940">
            <w:pPr>
              <w:spacing w:line="256" w:lineRule="auto"/>
              <w:jc w:val="right"/>
              <w:rPr>
                <w:rFonts w:eastAsia="Times New Roman" w:cs="Arial"/>
                <w:sz w:val="18"/>
                <w:szCs w:val="18"/>
                <w:lang w:val="es-ES" w:eastAsia="en-US"/>
              </w:rPr>
            </w:pPr>
            <w:r w:rsidRPr="00DB0940">
              <w:rPr>
                <w:rFonts w:cs="Arial"/>
                <w:b/>
                <w:bCs/>
                <w:sz w:val="18"/>
                <w:szCs w:val="18"/>
              </w:rPr>
              <w:t>1,256,591,433</w:t>
            </w:r>
          </w:p>
        </w:tc>
      </w:tr>
      <w:tr w:rsidR="00DB0940" w:rsidRPr="00DB0940" w14:paraId="02667CDE"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0BC0AD86"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2.1.3</w:t>
            </w:r>
          </w:p>
        </w:tc>
        <w:tc>
          <w:tcPr>
            <w:tcW w:w="6379" w:type="dxa"/>
            <w:tcBorders>
              <w:top w:val="nil"/>
              <w:left w:val="nil"/>
              <w:bottom w:val="single" w:sz="4" w:space="0" w:color="auto"/>
              <w:right w:val="single" w:sz="4" w:space="0" w:color="auto"/>
            </w:tcBorders>
            <w:vAlign w:val="center"/>
            <w:hideMark/>
          </w:tcPr>
          <w:p w14:paraId="79CD9C0F"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Gastos de la propiedad.</w:t>
            </w:r>
          </w:p>
        </w:tc>
        <w:tc>
          <w:tcPr>
            <w:tcW w:w="1417" w:type="dxa"/>
            <w:tcBorders>
              <w:top w:val="nil"/>
              <w:left w:val="nil"/>
              <w:bottom w:val="single" w:sz="4" w:space="0" w:color="auto"/>
              <w:right w:val="single" w:sz="4" w:space="0" w:color="auto"/>
            </w:tcBorders>
            <w:vAlign w:val="center"/>
            <w:hideMark/>
          </w:tcPr>
          <w:p w14:paraId="5FE8D5FF" w14:textId="00E83C4A" w:rsidR="00DB0940" w:rsidRPr="00DB0940" w:rsidRDefault="00DB0940" w:rsidP="00DB0940">
            <w:pPr>
              <w:spacing w:line="256" w:lineRule="auto"/>
              <w:jc w:val="right"/>
              <w:rPr>
                <w:rFonts w:eastAsia="Times New Roman" w:cs="Arial"/>
                <w:sz w:val="18"/>
                <w:szCs w:val="18"/>
                <w:lang w:val="es-ES" w:eastAsia="en-US"/>
              </w:rPr>
            </w:pPr>
            <w:r w:rsidRPr="00DB0940">
              <w:rPr>
                <w:rFonts w:cs="Arial"/>
                <w:b/>
                <w:bCs/>
                <w:sz w:val="18"/>
                <w:szCs w:val="18"/>
              </w:rPr>
              <w:t>446,356,535</w:t>
            </w:r>
          </w:p>
        </w:tc>
      </w:tr>
      <w:tr w:rsidR="00DB0940" w:rsidRPr="00DB0940" w14:paraId="1CD161B0"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30D11356"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2.1.3.1</w:t>
            </w:r>
          </w:p>
        </w:tc>
        <w:tc>
          <w:tcPr>
            <w:tcW w:w="6379" w:type="dxa"/>
            <w:tcBorders>
              <w:top w:val="nil"/>
              <w:left w:val="nil"/>
              <w:bottom w:val="single" w:sz="4" w:space="0" w:color="auto"/>
              <w:right w:val="single" w:sz="4" w:space="0" w:color="auto"/>
            </w:tcBorders>
            <w:vAlign w:val="center"/>
            <w:hideMark/>
          </w:tcPr>
          <w:p w14:paraId="5FDF970B"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Intereses.</w:t>
            </w:r>
          </w:p>
        </w:tc>
        <w:tc>
          <w:tcPr>
            <w:tcW w:w="1417" w:type="dxa"/>
            <w:tcBorders>
              <w:top w:val="nil"/>
              <w:left w:val="nil"/>
              <w:bottom w:val="single" w:sz="4" w:space="0" w:color="auto"/>
              <w:right w:val="single" w:sz="4" w:space="0" w:color="auto"/>
            </w:tcBorders>
            <w:vAlign w:val="center"/>
            <w:hideMark/>
          </w:tcPr>
          <w:p w14:paraId="1FB278CF" w14:textId="678C6E0B"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440,636,135</w:t>
            </w:r>
          </w:p>
        </w:tc>
      </w:tr>
      <w:tr w:rsidR="00DB0940" w:rsidRPr="00DB0940" w14:paraId="636BBFB2"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279D512A"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2.1.3.2</w:t>
            </w:r>
          </w:p>
        </w:tc>
        <w:tc>
          <w:tcPr>
            <w:tcW w:w="6379" w:type="dxa"/>
            <w:tcBorders>
              <w:top w:val="nil"/>
              <w:left w:val="nil"/>
              <w:bottom w:val="single" w:sz="4" w:space="0" w:color="auto"/>
              <w:right w:val="single" w:sz="4" w:space="0" w:color="auto"/>
            </w:tcBorders>
            <w:vAlign w:val="center"/>
            <w:hideMark/>
          </w:tcPr>
          <w:p w14:paraId="593F82E3"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Gastos de la Propiedad Distintos de Intereses.</w:t>
            </w:r>
          </w:p>
        </w:tc>
        <w:tc>
          <w:tcPr>
            <w:tcW w:w="1417" w:type="dxa"/>
            <w:tcBorders>
              <w:top w:val="nil"/>
              <w:left w:val="nil"/>
              <w:bottom w:val="single" w:sz="4" w:space="0" w:color="auto"/>
              <w:right w:val="single" w:sz="4" w:space="0" w:color="auto"/>
            </w:tcBorders>
            <w:vAlign w:val="center"/>
            <w:hideMark/>
          </w:tcPr>
          <w:p w14:paraId="748D1501" w14:textId="26BA16C4"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5,720,400</w:t>
            </w:r>
          </w:p>
        </w:tc>
      </w:tr>
      <w:tr w:rsidR="00DB0940" w:rsidRPr="00DB0940" w14:paraId="49DDDDD0"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37A60514"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2.1.4</w:t>
            </w:r>
          </w:p>
        </w:tc>
        <w:tc>
          <w:tcPr>
            <w:tcW w:w="6379" w:type="dxa"/>
            <w:tcBorders>
              <w:top w:val="nil"/>
              <w:left w:val="nil"/>
              <w:bottom w:val="single" w:sz="4" w:space="0" w:color="auto"/>
              <w:right w:val="single" w:sz="4" w:space="0" w:color="auto"/>
            </w:tcBorders>
            <w:vAlign w:val="center"/>
            <w:hideMark/>
          </w:tcPr>
          <w:p w14:paraId="771D9BF1"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Subsidios y Subvenciones a Empresas.</w:t>
            </w:r>
          </w:p>
        </w:tc>
        <w:tc>
          <w:tcPr>
            <w:tcW w:w="1417" w:type="dxa"/>
            <w:tcBorders>
              <w:top w:val="nil"/>
              <w:left w:val="nil"/>
              <w:bottom w:val="single" w:sz="4" w:space="0" w:color="auto"/>
              <w:right w:val="single" w:sz="4" w:space="0" w:color="auto"/>
            </w:tcBorders>
            <w:vAlign w:val="center"/>
            <w:hideMark/>
          </w:tcPr>
          <w:p w14:paraId="45F457EC" w14:textId="6CD9505B" w:rsidR="00DB0940" w:rsidRPr="00DB0940" w:rsidRDefault="00DB0940" w:rsidP="00DB0940">
            <w:pPr>
              <w:spacing w:line="256" w:lineRule="auto"/>
              <w:jc w:val="right"/>
              <w:rPr>
                <w:rFonts w:eastAsia="Times New Roman" w:cs="Arial"/>
                <w:sz w:val="18"/>
                <w:szCs w:val="18"/>
                <w:lang w:val="es-ES" w:eastAsia="en-US"/>
              </w:rPr>
            </w:pPr>
            <w:r w:rsidRPr="00DB0940">
              <w:rPr>
                <w:rFonts w:cs="Arial"/>
                <w:b/>
                <w:bCs/>
                <w:sz w:val="18"/>
                <w:szCs w:val="18"/>
              </w:rPr>
              <w:t>0</w:t>
            </w:r>
          </w:p>
        </w:tc>
      </w:tr>
      <w:tr w:rsidR="00DB0940" w:rsidRPr="00DB0940" w14:paraId="74448F0E"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5F934FAC"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2.1.5</w:t>
            </w:r>
          </w:p>
        </w:tc>
        <w:tc>
          <w:tcPr>
            <w:tcW w:w="6379" w:type="dxa"/>
            <w:tcBorders>
              <w:top w:val="nil"/>
              <w:left w:val="nil"/>
              <w:bottom w:val="single" w:sz="4" w:space="0" w:color="auto"/>
              <w:right w:val="single" w:sz="4" w:space="0" w:color="auto"/>
            </w:tcBorders>
            <w:vAlign w:val="center"/>
            <w:hideMark/>
          </w:tcPr>
          <w:p w14:paraId="316474E4"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Transferencias, asignaciones y donativos corrientes otorgados.</w:t>
            </w:r>
          </w:p>
        </w:tc>
        <w:tc>
          <w:tcPr>
            <w:tcW w:w="1417" w:type="dxa"/>
            <w:tcBorders>
              <w:top w:val="nil"/>
              <w:left w:val="nil"/>
              <w:bottom w:val="single" w:sz="4" w:space="0" w:color="auto"/>
              <w:right w:val="single" w:sz="4" w:space="0" w:color="auto"/>
            </w:tcBorders>
            <w:vAlign w:val="center"/>
            <w:hideMark/>
          </w:tcPr>
          <w:p w14:paraId="75E52EE2" w14:textId="7A367618" w:rsidR="00DB0940" w:rsidRPr="00DB0940" w:rsidRDefault="00DB0940" w:rsidP="00DB0940">
            <w:pPr>
              <w:spacing w:line="256" w:lineRule="auto"/>
              <w:jc w:val="right"/>
              <w:rPr>
                <w:rFonts w:eastAsia="Times New Roman" w:cs="Arial"/>
                <w:sz w:val="18"/>
                <w:szCs w:val="18"/>
                <w:lang w:val="es-ES" w:eastAsia="en-US"/>
              </w:rPr>
            </w:pPr>
            <w:r w:rsidRPr="00DB0940">
              <w:rPr>
                <w:rFonts w:cs="Arial"/>
                <w:b/>
                <w:bCs/>
                <w:sz w:val="18"/>
                <w:szCs w:val="18"/>
              </w:rPr>
              <w:t>13,605,369,477</w:t>
            </w:r>
          </w:p>
        </w:tc>
      </w:tr>
      <w:tr w:rsidR="00DB0940" w:rsidRPr="00DB0940" w14:paraId="46549AA4"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05310F24"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2.1.6</w:t>
            </w:r>
          </w:p>
        </w:tc>
        <w:tc>
          <w:tcPr>
            <w:tcW w:w="6379" w:type="dxa"/>
            <w:tcBorders>
              <w:top w:val="nil"/>
              <w:left w:val="nil"/>
              <w:bottom w:val="single" w:sz="4" w:space="0" w:color="auto"/>
              <w:right w:val="single" w:sz="4" w:space="0" w:color="auto"/>
            </w:tcBorders>
            <w:vAlign w:val="center"/>
            <w:hideMark/>
          </w:tcPr>
          <w:p w14:paraId="461E7FB7"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Impuestos sobre los ingresos, la riqueza y otros a las entidades empresariales públicas.</w:t>
            </w:r>
          </w:p>
        </w:tc>
        <w:tc>
          <w:tcPr>
            <w:tcW w:w="1417" w:type="dxa"/>
            <w:tcBorders>
              <w:top w:val="nil"/>
              <w:left w:val="nil"/>
              <w:bottom w:val="single" w:sz="4" w:space="0" w:color="auto"/>
              <w:right w:val="single" w:sz="4" w:space="0" w:color="auto"/>
            </w:tcBorders>
            <w:vAlign w:val="center"/>
            <w:hideMark/>
          </w:tcPr>
          <w:p w14:paraId="1B166CB2" w14:textId="175253F8" w:rsidR="00DB0940" w:rsidRPr="00DB0940" w:rsidRDefault="00DB0940" w:rsidP="00DB0940">
            <w:pPr>
              <w:spacing w:line="256" w:lineRule="auto"/>
              <w:jc w:val="right"/>
              <w:rPr>
                <w:rFonts w:eastAsia="Times New Roman" w:cs="Arial"/>
                <w:sz w:val="18"/>
                <w:szCs w:val="18"/>
                <w:lang w:val="es-ES" w:eastAsia="en-US"/>
              </w:rPr>
            </w:pPr>
            <w:r w:rsidRPr="00DB0940">
              <w:rPr>
                <w:rFonts w:cs="Arial"/>
                <w:b/>
                <w:bCs/>
                <w:sz w:val="18"/>
                <w:szCs w:val="18"/>
              </w:rPr>
              <w:t>0</w:t>
            </w:r>
          </w:p>
        </w:tc>
      </w:tr>
      <w:tr w:rsidR="00DB0940" w:rsidRPr="00DB0940" w14:paraId="082970B6"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36BD6556"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2.1.7</w:t>
            </w:r>
          </w:p>
        </w:tc>
        <w:tc>
          <w:tcPr>
            <w:tcW w:w="6379" w:type="dxa"/>
            <w:tcBorders>
              <w:top w:val="nil"/>
              <w:left w:val="nil"/>
              <w:bottom w:val="single" w:sz="4" w:space="0" w:color="auto"/>
              <w:right w:val="single" w:sz="4" w:space="0" w:color="auto"/>
            </w:tcBorders>
            <w:vAlign w:val="center"/>
            <w:hideMark/>
          </w:tcPr>
          <w:p w14:paraId="1AE57354"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Participaciones.</w:t>
            </w:r>
          </w:p>
        </w:tc>
        <w:tc>
          <w:tcPr>
            <w:tcW w:w="1417" w:type="dxa"/>
            <w:tcBorders>
              <w:top w:val="nil"/>
              <w:left w:val="nil"/>
              <w:bottom w:val="single" w:sz="4" w:space="0" w:color="auto"/>
              <w:right w:val="single" w:sz="4" w:space="0" w:color="auto"/>
            </w:tcBorders>
            <w:vAlign w:val="center"/>
            <w:hideMark/>
          </w:tcPr>
          <w:p w14:paraId="6F86243F" w14:textId="6870B5C4" w:rsidR="00DB0940" w:rsidRPr="00DB0940" w:rsidRDefault="00DB0940" w:rsidP="00DB0940">
            <w:pPr>
              <w:spacing w:line="256" w:lineRule="auto"/>
              <w:jc w:val="right"/>
              <w:rPr>
                <w:rFonts w:eastAsia="Times New Roman" w:cs="Arial"/>
                <w:sz w:val="18"/>
                <w:szCs w:val="18"/>
                <w:lang w:val="es-ES" w:eastAsia="en-US"/>
              </w:rPr>
            </w:pPr>
            <w:r w:rsidRPr="00DB0940">
              <w:rPr>
                <w:rFonts w:cs="Arial"/>
                <w:b/>
                <w:bCs/>
                <w:sz w:val="18"/>
                <w:szCs w:val="18"/>
              </w:rPr>
              <w:t>3,334,416,398</w:t>
            </w:r>
          </w:p>
        </w:tc>
      </w:tr>
      <w:tr w:rsidR="00DB0940" w:rsidRPr="00DB0940" w14:paraId="4D8DB363"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38D5B848"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lastRenderedPageBreak/>
              <w:t>2.1.8</w:t>
            </w:r>
          </w:p>
        </w:tc>
        <w:tc>
          <w:tcPr>
            <w:tcW w:w="6379" w:type="dxa"/>
            <w:tcBorders>
              <w:top w:val="nil"/>
              <w:left w:val="nil"/>
              <w:bottom w:val="single" w:sz="4" w:space="0" w:color="auto"/>
              <w:right w:val="single" w:sz="4" w:space="0" w:color="auto"/>
            </w:tcBorders>
            <w:vAlign w:val="center"/>
            <w:hideMark/>
          </w:tcPr>
          <w:p w14:paraId="7A0B648A"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Provisiones y Otras Estimaciones.</w:t>
            </w:r>
          </w:p>
        </w:tc>
        <w:tc>
          <w:tcPr>
            <w:tcW w:w="1417" w:type="dxa"/>
            <w:tcBorders>
              <w:top w:val="nil"/>
              <w:left w:val="nil"/>
              <w:bottom w:val="single" w:sz="4" w:space="0" w:color="auto"/>
              <w:right w:val="single" w:sz="4" w:space="0" w:color="auto"/>
            </w:tcBorders>
            <w:vAlign w:val="center"/>
            <w:hideMark/>
          </w:tcPr>
          <w:p w14:paraId="221CFFCA" w14:textId="043E6D05" w:rsidR="00DB0940" w:rsidRPr="00DB0940" w:rsidRDefault="00DB0940" w:rsidP="00DB0940">
            <w:pPr>
              <w:spacing w:line="256" w:lineRule="auto"/>
              <w:jc w:val="right"/>
              <w:rPr>
                <w:rFonts w:eastAsia="Times New Roman" w:cs="Arial"/>
                <w:sz w:val="18"/>
                <w:szCs w:val="18"/>
                <w:lang w:val="es-ES" w:eastAsia="en-US"/>
              </w:rPr>
            </w:pPr>
            <w:r w:rsidRPr="00DB0940">
              <w:rPr>
                <w:rFonts w:cs="Arial"/>
                <w:b/>
                <w:bCs/>
                <w:sz w:val="18"/>
                <w:szCs w:val="18"/>
              </w:rPr>
              <w:t>0</w:t>
            </w:r>
          </w:p>
        </w:tc>
      </w:tr>
      <w:tr w:rsidR="00DB0940" w:rsidRPr="00DB0940" w14:paraId="156E3B2D"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5027AFFC" w14:textId="77777777" w:rsidR="00DB0940" w:rsidRPr="00DB0940" w:rsidRDefault="00DB0940" w:rsidP="00DB0940">
            <w:pPr>
              <w:spacing w:line="256" w:lineRule="auto"/>
              <w:rPr>
                <w:rFonts w:eastAsia="Times New Roman" w:cs="Arial"/>
                <w:b/>
                <w:bCs/>
                <w:sz w:val="18"/>
                <w:szCs w:val="18"/>
                <w:lang w:val="es-ES" w:eastAsia="en-US"/>
              </w:rPr>
            </w:pPr>
            <w:r w:rsidRPr="00DB0940">
              <w:rPr>
                <w:rFonts w:eastAsia="Times New Roman" w:cs="Arial"/>
                <w:b/>
                <w:bCs/>
                <w:sz w:val="18"/>
                <w:szCs w:val="18"/>
                <w:lang w:val="es-ES" w:eastAsia="en-US"/>
              </w:rPr>
              <w:t>2.2</w:t>
            </w:r>
          </w:p>
        </w:tc>
        <w:tc>
          <w:tcPr>
            <w:tcW w:w="6379" w:type="dxa"/>
            <w:tcBorders>
              <w:top w:val="nil"/>
              <w:left w:val="nil"/>
              <w:bottom w:val="single" w:sz="4" w:space="0" w:color="auto"/>
              <w:right w:val="single" w:sz="4" w:space="0" w:color="auto"/>
            </w:tcBorders>
            <w:vAlign w:val="center"/>
            <w:hideMark/>
          </w:tcPr>
          <w:p w14:paraId="1D973A47" w14:textId="77777777" w:rsidR="00DB0940" w:rsidRPr="00DB0940" w:rsidRDefault="00DB0940" w:rsidP="00DB0940">
            <w:pPr>
              <w:spacing w:line="256" w:lineRule="auto"/>
              <w:rPr>
                <w:rFonts w:eastAsia="Times New Roman" w:cs="Arial"/>
                <w:b/>
                <w:bCs/>
                <w:sz w:val="18"/>
                <w:szCs w:val="18"/>
                <w:lang w:val="es-ES" w:eastAsia="en-US"/>
              </w:rPr>
            </w:pPr>
            <w:r w:rsidRPr="00DB0940">
              <w:rPr>
                <w:rFonts w:eastAsia="Times New Roman" w:cs="Arial"/>
                <w:b/>
                <w:bCs/>
                <w:sz w:val="18"/>
                <w:szCs w:val="18"/>
                <w:lang w:val="es-ES" w:eastAsia="en-US"/>
              </w:rPr>
              <w:t>Gastos de Capital.</w:t>
            </w:r>
          </w:p>
        </w:tc>
        <w:tc>
          <w:tcPr>
            <w:tcW w:w="1417" w:type="dxa"/>
            <w:tcBorders>
              <w:top w:val="nil"/>
              <w:left w:val="nil"/>
              <w:bottom w:val="single" w:sz="4" w:space="0" w:color="auto"/>
              <w:right w:val="single" w:sz="4" w:space="0" w:color="auto"/>
            </w:tcBorders>
            <w:vAlign w:val="center"/>
            <w:hideMark/>
          </w:tcPr>
          <w:p w14:paraId="4DA38691" w14:textId="2A47A4EA" w:rsidR="00DB0940" w:rsidRPr="00DB0940" w:rsidRDefault="00DB0940" w:rsidP="00DB0940">
            <w:pPr>
              <w:spacing w:line="256" w:lineRule="auto"/>
              <w:jc w:val="right"/>
              <w:rPr>
                <w:rFonts w:eastAsia="Times New Roman" w:cs="Arial"/>
                <w:b/>
                <w:bCs/>
                <w:sz w:val="18"/>
                <w:szCs w:val="18"/>
                <w:lang w:val="es-ES" w:eastAsia="en-US"/>
              </w:rPr>
            </w:pPr>
            <w:r w:rsidRPr="00DB0940">
              <w:rPr>
                <w:rFonts w:cs="Arial"/>
                <w:b/>
                <w:bCs/>
                <w:sz w:val="18"/>
                <w:szCs w:val="18"/>
              </w:rPr>
              <w:t>577,618,824</w:t>
            </w:r>
          </w:p>
        </w:tc>
      </w:tr>
      <w:tr w:rsidR="00DB0940" w:rsidRPr="00DB0940" w14:paraId="6509464D"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40E0E04D"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 xml:space="preserve">2.2.1 </w:t>
            </w:r>
          </w:p>
        </w:tc>
        <w:tc>
          <w:tcPr>
            <w:tcW w:w="6379" w:type="dxa"/>
            <w:tcBorders>
              <w:top w:val="nil"/>
              <w:left w:val="nil"/>
              <w:bottom w:val="single" w:sz="4" w:space="0" w:color="auto"/>
              <w:right w:val="single" w:sz="4" w:space="0" w:color="auto"/>
            </w:tcBorders>
            <w:vAlign w:val="center"/>
            <w:hideMark/>
          </w:tcPr>
          <w:p w14:paraId="0E09B13C"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Construcciones en Proceso.</w:t>
            </w:r>
          </w:p>
        </w:tc>
        <w:tc>
          <w:tcPr>
            <w:tcW w:w="1417" w:type="dxa"/>
            <w:tcBorders>
              <w:top w:val="nil"/>
              <w:left w:val="nil"/>
              <w:bottom w:val="single" w:sz="4" w:space="0" w:color="auto"/>
              <w:right w:val="single" w:sz="4" w:space="0" w:color="auto"/>
            </w:tcBorders>
            <w:vAlign w:val="center"/>
            <w:hideMark/>
          </w:tcPr>
          <w:p w14:paraId="24E0F44F" w14:textId="083B1850"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401,328,829</w:t>
            </w:r>
          </w:p>
        </w:tc>
      </w:tr>
      <w:tr w:rsidR="00DB0940" w:rsidRPr="00DB0940" w14:paraId="38D60167"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2FDADC61"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 xml:space="preserve">2.2.2 </w:t>
            </w:r>
          </w:p>
        </w:tc>
        <w:tc>
          <w:tcPr>
            <w:tcW w:w="6379" w:type="dxa"/>
            <w:tcBorders>
              <w:top w:val="nil"/>
              <w:left w:val="nil"/>
              <w:bottom w:val="single" w:sz="4" w:space="0" w:color="auto"/>
              <w:right w:val="single" w:sz="4" w:space="0" w:color="auto"/>
            </w:tcBorders>
            <w:vAlign w:val="center"/>
            <w:hideMark/>
          </w:tcPr>
          <w:p w14:paraId="7A4537FF"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Activos Fijos (Formación bruta de capital fijo).</w:t>
            </w:r>
          </w:p>
        </w:tc>
        <w:tc>
          <w:tcPr>
            <w:tcW w:w="1417" w:type="dxa"/>
            <w:tcBorders>
              <w:top w:val="nil"/>
              <w:left w:val="nil"/>
              <w:bottom w:val="single" w:sz="4" w:space="0" w:color="auto"/>
              <w:right w:val="single" w:sz="4" w:space="0" w:color="auto"/>
            </w:tcBorders>
            <w:vAlign w:val="center"/>
            <w:hideMark/>
          </w:tcPr>
          <w:p w14:paraId="4C822BC5" w14:textId="1CD2E23F"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154,654,542</w:t>
            </w:r>
          </w:p>
        </w:tc>
      </w:tr>
      <w:tr w:rsidR="00DB0940" w:rsidRPr="00DB0940" w14:paraId="6A86805D"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0500A849"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2.2.3</w:t>
            </w:r>
          </w:p>
        </w:tc>
        <w:tc>
          <w:tcPr>
            <w:tcW w:w="6379" w:type="dxa"/>
            <w:tcBorders>
              <w:top w:val="nil"/>
              <w:left w:val="nil"/>
              <w:bottom w:val="single" w:sz="4" w:space="0" w:color="auto"/>
              <w:right w:val="single" w:sz="4" w:space="0" w:color="auto"/>
            </w:tcBorders>
            <w:vAlign w:val="center"/>
            <w:hideMark/>
          </w:tcPr>
          <w:p w14:paraId="0544A029"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Incremento de existencias.</w:t>
            </w:r>
          </w:p>
        </w:tc>
        <w:tc>
          <w:tcPr>
            <w:tcW w:w="1417" w:type="dxa"/>
            <w:tcBorders>
              <w:top w:val="nil"/>
              <w:left w:val="nil"/>
              <w:bottom w:val="single" w:sz="4" w:space="0" w:color="auto"/>
              <w:right w:val="single" w:sz="4" w:space="0" w:color="auto"/>
            </w:tcBorders>
            <w:vAlign w:val="center"/>
            <w:hideMark/>
          </w:tcPr>
          <w:p w14:paraId="34C0FBBE" w14:textId="2E0A8F04"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16,835,453</w:t>
            </w:r>
          </w:p>
        </w:tc>
      </w:tr>
      <w:tr w:rsidR="00DB0940" w:rsidRPr="00DB0940" w14:paraId="13F36BBF"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44F74F8B"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 xml:space="preserve">2.2.4 </w:t>
            </w:r>
          </w:p>
        </w:tc>
        <w:tc>
          <w:tcPr>
            <w:tcW w:w="6379" w:type="dxa"/>
            <w:tcBorders>
              <w:top w:val="nil"/>
              <w:left w:val="nil"/>
              <w:bottom w:val="single" w:sz="4" w:space="0" w:color="auto"/>
              <w:right w:val="single" w:sz="4" w:space="0" w:color="auto"/>
            </w:tcBorders>
            <w:vAlign w:val="center"/>
            <w:hideMark/>
          </w:tcPr>
          <w:p w14:paraId="5EB36694"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Objetos de valor.</w:t>
            </w:r>
          </w:p>
        </w:tc>
        <w:tc>
          <w:tcPr>
            <w:tcW w:w="1417" w:type="dxa"/>
            <w:tcBorders>
              <w:top w:val="nil"/>
              <w:left w:val="nil"/>
              <w:bottom w:val="single" w:sz="4" w:space="0" w:color="auto"/>
              <w:right w:val="single" w:sz="4" w:space="0" w:color="auto"/>
            </w:tcBorders>
            <w:vAlign w:val="center"/>
            <w:hideMark/>
          </w:tcPr>
          <w:p w14:paraId="237328DD" w14:textId="0F1B51BE"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6BCAD453"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7C794078"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 xml:space="preserve">2.2.5 </w:t>
            </w:r>
          </w:p>
        </w:tc>
        <w:tc>
          <w:tcPr>
            <w:tcW w:w="6379" w:type="dxa"/>
            <w:tcBorders>
              <w:top w:val="nil"/>
              <w:left w:val="nil"/>
              <w:bottom w:val="single" w:sz="4" w:space="0" w:color="auto"/>
              <w:right w:val="single" w:sz="4" w:space="0" w:color="auto"/>
            </w:tcBorders>
            <w:vAlign w:val="center"/>
            <w:hideMark/>
          </w:tcPr>
          <w:p w14:paraId="52AB43BD"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Activos no producidos.</w:t>
            </w:r>
          </w:p>
        </w:tc>
        <w:tc>
          <w:tcPr>
            <w:tcW w:w="1417" w:type="dxa"/>
            <w:tcBorders>
              <w:top w:val="nil"/>
              <w:left w:val="nil"/>
              <w:bottom w:val="single" w:sz="4" w:space="0" w:color="auto"/>
              <w:right w:val="single" w:sz="4" w:space="0" w:color="auto"/>
            </w:tcBorders>
            <w:vAlign w:val="center"/>
            <w:hideMark/>
          </w:tcPr>
          <w:p w14:paraId="0F528527" w14:textId="0D7D626C"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2D61DC57"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5F4065F8"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 xml:space="preserve">2.2.6 </w:t>
            </w:r>
          </w:p>
        </w:tc>
        <w:tc>
          <w:tcPr>
            <w:tcW w:w="6379" w:type="dxa"/>
            <w:tcBorders>
              <w:top w:val="nil"/>
              <w:left w:val="nil"/>
              <w:bottom w:val="single" w:sz="4" w:space="0" w:color="auto"/>
              <w:right w:val="single" w:sz="4" w:space="0" w:color="auto"/>
            </w:tcBorders>
            <w:vAlign w:val="center"/>
            <w:hideMark/>
          </w:tcPr>
          <w:p w14:paraId="4494B1A3"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Transferencias, asignaciones y donativos de capital otorgados.</w:t>
            </w:r>
          </w:p>
        </w:tc>
        <w:tc>
          <w:tcPr>
            <w:tcW w:w="1417" w:type="dxa"/>
            <w:tcBorders>
              <w:top w:val="nil"/>
              <w:left w:val="nil"/>
              <w:bottom w:val="single" w:sz="4" w:space="0" w:color="auto"/>
              <w:right w:val="single" w:sz="4" w:space="0" w:color="auto"/>
            </w:tcBorders>
            <w:vAlign w:val="center"/>
            <w:hideMark/>
          </w:tcPr>
          <w:p w14:paraId="176F8C30" w14:textId="075CA881"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7DF4DCC9"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1E4EB359" w14:textId="77777777" w:rsidR="00DB0940" w:rsidRPr="00DB0940" w:rsidRDefault="00DB0940" w:rsidP="00DB0940">
            <w:pPr>
              <w:spacing w:line="256" w:lineRule="auto"/>
              <w:rPr>
                <w:rFonts w:eastAsia="Times New Roman" w:cs="Arial"/>
                <w:bCs/>
                <w:sz w:val="18"/>
                <w:szCs w:val="18"/>
                <w:lang w:val="es-ES" w:eastAsia="en-US"/>
              </w:rPr>
            </w:pPr>
            <w:r w:rsidRPr="00DB0940">
              <w:rPr>
                <w:rFonts w:eastAsia="Times New Roman" w:cs="Arial"/>
                <w:bCs/>
                <w:sz w:val="18"/>
                <w:szCs w:val="18"/>
                <w:lang w:val="es-ES" w:eastAsia="en-US"/>
              </w:rPr>
              <w:t>2.2.7</w:t>
            </w:r>
          </w:p>
        </w:tc>
        <w:tc>
          <w:tcPr>
            <w:tcW w:w="6379" w:type="dxa"/>
            <w:tcBorders>
              <w:top w:val="nil"/>
              <w:left w:val="nil"/>
              <w:bottom w:val="single" w:sz="4" w:space="0" w:color="auto"/>
              <w:right w:val="single" w:sz="4" w:space="0" w:color="auto"/>
            </w:tcBorders>
            <w:vAlign w:val="center"/>
            <w:hideMark/>
          </w:tcPr>
          <w:p w14:paraId="4C432A95"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Inversiones financieras realizadas con fines de política económica.</w:t>
            </w:r>
          </w:p>
        </w:tc>
        <w:tc>
          <w:tcPr>
            <w:tcW w:w="1417" w:type="dxa"/>
            <w:tcBorders>
              <w:top w:val="nil"/>
              <w:left w:val="nil"/>
              <w:bottom w:val="single" w:sz="4" w:space="0" w:color="auto"/>
              <w:right w:val="single" w:sz="4" w:space="0" w:color="auto"/>
            </w:tcBorders>
            <w:vAlign w:val="center"/>
            <w:hideMark/>
          </w:tcPr>
          <w:p w14:paraId="47C57A62" w14:textId="408EF5F0"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4,800,000</w:t>
            </w:r>
          </w:p>
        </w:tc>
      </w:tr>
      <w:tr w:rsidR="00DB0940" w:rsidRPr="00DB0940" w14:paraId="2F751198"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35C70D65" w14:textId="77777777" w:rsidR="00DB0940" w:rsidRPr="00DB0940" w:rsidRDefault="00DB0940" w:rsidP="00DB0940">
            <w:pPr>
              <w:spacing w:line="256" w:lineRule="auto"/>
              <w:rPr>
                <w:rFonts w:eastAsia="Times New Roman" w:cs="Arial"/>
                <w:b/>
                <w:bCs/>
                <w:sz w:val="18"/>
                <w:szCs w:val="18"/>
                <w:lang w:val="es-ES" w:eastAsia="en-US"/>
              </w:rPr>
            </w:pPr>
            <w:r w:rsidRPr="00DB0940">
              <w:rPr>
                <w:rFonts w:eastAsia="Times New Roman" w:cs="Arial"/>
                <w:b/>
                <w:bCs/>
                <w:sz w:val="18"/>
                <w:szCs w:val="18"/>
                <w:lang w:val="es-ES" w:eastAsia="en-US"/>
              </w:rPr>
              <w:t> </w:t>
            </w:r>
          </w:p>
        </w:tc>
        <w:tc>
          <w:tcPr>
            <w:tcW w:w="6379" w:type="dxa"/>
            <w:tcBorders>
              <w:top w:val="nil"/>
              <w:left w:val="nil"/>
              <w:bottom w:val="single" w:sz="4" w:space="0" w:color="auto"/>
              <w:right w:val="single" w:sz="4" w:space="0" w:color="auto"/>
            </w:tcBorders>
            <w:vAlign w:val="center"/>
            <w:hideMark/>
          </w:tcPr>
          <w:p w14:paraId="3059B7A1" w14:textId="77777777" w:rsidR="00DB0940" w:rsidRPr="00DB0940" w:rsidRDefault="00DB0940" w:rsidP="00DB0940">
            <w:pPr>
              <w:spacing w:line="256" w:lineRule="auto"/>
              <w:rPr>
                <w:rFonts w:eastAsia="Times New Roman" w:cs="Arial"/>
                <w:b/>
                <w:bCs/>
                <w:sz w:val="18"/>
                <w:szCs w:val="18"/>
                <w:lang w:val="es-ES" w:eastAsia="en-US"/>
              </w:rPr>
            </w:pPr>
            <w:proofErr w:type="gramStart"/>
            <w:r w:rsidRPr="00DB0940">
              <w:rPr>
                <w:rFonts w:eastAsia="Times New Roman" w:cs="Arial"/>
                <w:b/>
                <w:bCs/>
                <w:sz w:val="18"/>
                <w:szCs w:val="18"/>
                <w:lang w:val="es-ES" w:eastAsia="en-US"/>
              </w:rPr>
              <w:t>Total</w:t>
            </w:r>
            <w:proofErr w:type="gramEnd"/>
            <w:r w:rsidRPr="00DB0940">
              <w:rPr>
                <w:rFonts w:eastAsia="Times New Roman" w:cs="Arial"/>
                <w:b/>
                <w:bCs/>
                <w:sz w:val="18"/>
                <w:szCs w:val="18"/>
                <w:lang w:val="es-ES" w:eastAsia="en-US"/>
              </w:rPr>
              <w:t xml:space="preserve"> del Gasto.</w:t>
            </w:r>
          </w:p>
        </w:tc>
        <w:tc>
          <w:tcPr>
            <w:tcW w:w="1417" w:type="dxa"/>
            <w:tcBorders>
              <w:top w:val="nil"/>
              <w:left w:val="nil"/>
              <w:bottom w:val="single" w:sz="4" w:space="0" w:color="auto"/>
              <w:right w:val="single" w:sz="4" w:space="0" w:color="auto"/>
            </w:tcBorders>
            <w:vAlign w:val="center"/>
            <w:hideMark/>
          </w:tcPr>
          <w:p w14:paraId="7CE67074" w14:textId="427336C2" w:rsidR="00DB0940" w:rsidRPr="00DB0940" w:rsidRDefault="00DB0940" w:rsidP="00DB0940">
            <w:pPr>
              <w:spacing w:line="256" w:lineRule="auto"/>
              <w:jc w:val="right"/>
              <w:rPr>
                <w:rFonts w:eastAsia="Times New Roman" w:cs="Arial"/>
                <w:b/>
                <w:bCs/>
                <w:sz w:val="18"/>
                <w:szCs w:val="18"/>
                <w:lang w:val="es-ES" w:eastAsia="en-US"/>
              </w:rPr>
            </w:pPr>
            <w:r w:rsidRPr="00DB0940">
              <w:rPr>
                <w:rFonts w:cs="Arial"/>
                <w:b/>
                <w:bCs/>
                <w:sz w:val="18"/>
                <w:szCs w:val="18"/>
              </w:rPr>
              <w:t>22,523,994,856</w:t>
            </w:r>
          </w:p>
        </w:tc>
      </w:tr>
      <w:tr w:rsidR="00DB0940" w:rsidRPr="00DB0940" w14:paraId="714D970D"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3930CD02" w14:textId="77777777" w:rsidR="00DB0940" w:rsidRPr="00DB0940" w:rsidRDefault="00DB0940" w:rsidP="00DB0940">
            <w:pPr>
              <w:spacing w:line="256" w:lineRule="auto"/>
              <w:rPr>
                <w:rFonts w:eastAsia="Times New Roman" w:cs="Arial"/>
                <w:b/>
                <w:bCs/>
                <w:sz w:val="18"/>
                <w:szCs w:val="18"/>
                <w:lang w:val="es-ES" w:eastAsia="en-US"/>
              </w:rPr>
            </w:pPr>
            <w:r w:rsidRPr="00DB0940">
              <w:rPr>
                <w:rFonts w:eastAsia="Times New Roman" w:cs="Arial"/>
                <w:b/>
                <w:bCs/>
                <w:sz w:val="18"/>
                <w:szCs w:val="18"/>
                <w:lang w:val="es-ES" w:eastAsia="en-US"/>
              </w:rPr>
              <w:t>3</w:t>
            </w:r>
          </w:p>
        </w:tc>
        <w:tc>
          <w:tcPr>
            <w:tcW w:w="6379" w:type="dxa"/>
            <w:tcBorders>
              <w:top w:val="nil"/>
              <w:left w:val="nil"/>
              <w:bottom w:val="single" w:sz="4" w:space="0" w:color="auto"/>
              <w:right w:val="single" w:sz="4" w:space="0" w:color="auto"/>
            </w:tcBorders>
            <w:vAlign w:val="center"/>
            <w:hideMark/>
          </w:tcPr>
          <w:p w14:paraId="2035A8EF" w14:textId="77777777" w:rsidR="00DB0940" w:rsidRPr="00DB0940" w:rsidRDefault="00DB0940" w:rsidP="00DB0940">
            <w:pPr>
              <w:spacing w:line="256" w:lineRule="auto"/>
              <w:rPr>
                <w:rFonts w:eastAsia="Times New Roman" w:cs="Arial"/>
                <w:b/>
                <w:bCs/>
                <w:sz w:val="18"/>
                <w:szCs w:val="18"/>
                <w:lang w:val="es-ES" w:eastAsia="en-US"/>
              </w:rPr>
            </w:pPr>
            <w:r w:rsidRPr="00DB0940">
              <w:rPr>
                <w:rFonts w:eastAsia="Times New Roman" w:cs="Arial"/>
                <w:b/>
                <w:bCs/>
                <w:sz w:val="18"/>
                <w:szCs w:val="18"/>
                <w:lang w:val="es-ES" w:eastAsia="en-US"/>
              </w:rPr>
              <w:t>Financiamiento.</w:t>
            </w:r>
          </w:p>
        </w:tc>
        <w:tc>
          <w:tcPr>
            <w:tcW w:w="1417" w:type="dxa"/>
            <w:tcBorders>
              <w:top w:val="nil"/>
              <w:left w:val="nil"/>
              <w:bottom w:val="single" w:sz="4" w:space="0" w:color="auto"/>
              <w:right w:val="single" w:sz="4" w:space="0" w:color="auto"/>
            </w:tcBorders>
            <w:vAlign w:val="center"/>
            <w:hideMark/>
          </w:tcPr>
          <w:p w14:paraId="459E9F2F" w14:textId="34BB191D"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 </w:t>
            </w:r>
          </w:p>
        </w:tc>
      </w:tr>
      <w:tr w:rsidR="00DB0940" w:rsidRPr="00DB0940" w14:paraId="5C72AA9A"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48A8CAC7" w14:textId="77777777" w:rsidR="00DB0940" w:rsidRPr="00DB0940" w:rsidRDefault="00DB0940" w:rsidP="00DB0940">
            <w:pPr>
              <w:spacing w:line="256" w:lineRule="auto"/>
              <w:rPr>
                <w:rFonts w:eastAsia="Times New Roman" w:cs="Arial"/>
                <w:b/>
                <w:bCs/>
                <w:sz w:val="18"/>
                <w:szCs w:val="18"/>
                <w:lang w:val="es-ES" w:eastAsia="en-US"/>
              </w:rPr>
            </w:pPr>
            <w:r w:rsidRPr="00DB0940">
              <w:rPr>
                <w:rFonts w:eastAsia="Times New Roman" w:cs="Arial"/>
                <w:b/>
                <w:bCs/>
                <w:sz w:val="18"/>
                <w:szCs w:val="18"/>
                <w:lang w:val="es-ES" w:eastAsia="en-US"/>
              </w:rPr>
              <w:t>3.1</w:t>
            </w:r>
          </w:p>
        </w:tc>
        <w:tc>
          <w:tcPr>
            <w:tcW w:w="6379" w:type="dxa"/>
            <w:tcBorders>
              <w:top w:val="nil"/>
              <w:left w:val="nil"/>
              <w:bottom w:val="single" w:sz="4" w:space="0" w:color="auto"/>
              <w:right w:val="single" w:sz="4" w:space="0" w:color="auto"/>
            </w:tcBorders>
            <w:vAlign w:val="center"/>
            <w:hideMark/>
          </w:tcPr>
          <w:p w14:paraId="0E781448" w14:textId="77777777" w:rsidR="00DB0940" w:rsidRPr="00DB0940" w:rsidRDefault="00DB0940" w:rsidP="00DB0940">
            <w:pPr>
              <w:spacing w:line="256" w:lineRule="auto"/>
              <w:rPr>
                <w:rFonts w:eastAsia="Times New Roman" w:cs="Arial"/>
                <w:b/>
                <w:bCs/>
                <w:sz w:val="18"/>
                <w:szCs w:val="18"/>
                <w:lang w:val="es-ES" w:eastAsia="en-US"/>
              </w:rPr>
            </w:pPr>
            <w:r w:rsidRPr="00DB0940">
              <w:rPr>
                <w:rFonts w:eastAsia="Times New Roman" w:cs="Arial"/>
                <w:b/>
                <w:bCs/>
                <w:sz w:val="18"/>
                <w:szCs w:val="18"/>
                <w:lang w:val="es-ES" w:eastAsia="en-US"/>
              </w:rPr>
              <w:t>Fuentes Financieras.</w:t>
            </w:r>
          </w:p>
        </w:tc>
        <w:tc>
          <w:tcPr>
            <w:tcW w:w="1417" w:type="dxa"/>
            <w:tcBorders>
              <w:top w:val="nil"/>
              <w:left w:val="nil"/>
              <w:bottom w:val="single" w:sz="4" w:space="0" w:color="auto"/>
              <w:right w:val="single" w:sz="4" w:space="0" w:color="auto"/>
            </w:tcBorders>
            <w:noWrap/>
            <w:vAlign w:val="center"/>
            <w:hideMark/>
          </w:tcPr>
          <w:p w14:paraId="2FAEB56C" w14:textId="28C3D1DB" w:rsidR="00DB0940" w:rsidRPr="00DB0940" w:rsidRDefault="00DB0940" w:rsidP="00DB0940">
            <w:pPr>
              <w:spacing w:line="256" w:lineRule="auto"/>
              <w:jc w:val="right"/>
              <w:rPr>
                <w:rFonts w:eastAsia="Times New Roman" w:cs="Arial"/>
                <w:b/>
                <w:bCs/>
                <w:sz w:val="18"/>
                <w:szCs w:val="18"/>
                <w:lang w:val="es-ES" w:eastAsia="en-US"/>
              </w:rPr>
            </w:pPr>
            <w:r w:rsidRPr="00DB0940">
              <w:rPr>
                <w:rFonts w:cs="Arial"/>
                <w:sz w:val="18"/>
                <w:szCs w:val="18"/>
              </w:rPr>
              <w:t> </w:t>
            </w:r>
          </w:p>
        </w:tc>
      </w:tr>
      <w:tr w:rsidR="00DB0940" w:rsidRPr="00DB0940" w14:paraId="7D57963A"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3607C2E4"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3.1.1</w:t>
            </w:r>
          </w:p>
        </w:tc>
        <w:tc>
          <w:tcPr>
            <w:tcW w:w="6379" w:type="dxa"/>
            <w:tcBorders>
              <w:top w:val="nil"/>
              <w:left w:val="nil"/>
              <w:bottom w:val="single" w:sz="4" w:space="0" w:color="auto"/>
              <w:right w:val="single" w:sz="4" w:space="0" w:color="auto"/>
            </w:tcBorders>
            <w:vAlign w:val="center"/>
            <w:hideMark/>
          </w:tcPr>
          <w:p w14:paraId="62CC82B6"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Disminución de activos financieros.</w:t>
            </w:r>
          </w:p>
        </w:tc>
        <w:tc>
          <w:tcPr>
            <w:tcW w:w="1417" w:type="dxa"/>
            <w:tcBorders>
              <w:top w:val="nil"/>
              <w:left w:val="nil"/>
              <w:bottom w:val="single" w:sz="4" w:space="0" w:color="auto"/>
              <w:right w:val="single" w:sz="4" w:space="0" w:color="auto"/>
            </w:tcBorders>
            <w:vAlign w:val="center"/>
            <w:hideMark/>
          </w:tcPr>
          <w:p w14:paraId="5ABF70CF" w14:textId="42D6C199"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5E7AB311"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242B37E4"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3.1.2</w:t>
            </w:r>
          </w:p>
        </w:tc>
        <w:tc>
          <w:tcPr>
            <w:tcW w:w="6379" w:type="dxa"/>
            <w:tcBorders>
              <w:top w:val="nil"/>
              <w:left w:val="nil"/>
              <w:bottom w:val="single" w:sz="4" w:space="0" w:color="auto"/>
              <w:right w:val="single" w:sz="4" w:space="0" w:color="auto"/>
            </w:tcBorders>
            <w:vAlign w:val="center"/>
            <w:hideMark/>
          </w:tcPr>
          <w:p w14:paraId="290BF361"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Incremento de pasivos.</w:t>
            </w:r>
          </w:p>
        </w:tc>
        <w:tc>
          <w:tcPr>
            <w:tcW w:w="1417" w:type="dxa"/>
            <w:tcBorders>
              <w:top w:val="nil"/>
              <w:left w:val="nil"/>
              <w:bottom w:val="single" w:sz="4" w:space="0" w:color="auto"/>
              <w:right w:val="single" w:sz="4" w:space="0" w:color="auto"/>
            </w:tcBorders>
            <w:vAlign w:val="center"/>
            <w:hideMark/>
          </w:tcPr>
          <w:p w14:paraId="4A84AA01" w14:textId="4EBABE25"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 xml:space="preserve">333,241,473 </w:t>
            </w:r>
          </w:p>
        </w:tc>
      </w:tr>
      <w:tr w:rsidR="00DB0940" w:rsidRPr="00DB0940" w14:paraId="2C45D69E"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243470B0"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3.1.3</w:t>
            </w:r>
          </w:p>
        </w:tc>
        <w:tc>
          <w:tcPr>
            <w:tcW w:w="6379" w:type="dxa"/>
            <w:tcBorders>
              <w:top w:val="nil"/>
              <w:left w:val="nil"/>
              <w:bottom w:val="single" w:sz="4" w:space="0" w:color="auto"/>
              <w:right w:val="single" w:sz="4" w:space="0" w:color="auto"/>
            </w:tcBorders>
            <w:vAlign w:val="center"/>
            <w:hideMark/>
          </w:tcPr>
          <w:p w14:paraId="0AD3DDCB"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Incremento del patrimonio.</w:t>
            </w:r>
          </w:p>
        </w:tc>
        <w:tc>
          <w:tcPr>
            <w:tcW w:w="1417" w:type="dxa"/>
            <w:tcBorders>
              <w:top w:val="nil"/>
              <w:left w:val="nil"/>
              <w:bottom w:val="single" w:sz="4" w:space="0" w:color="auto"/>
              <w:right w:val="single" w:sz="4" w:space="0" w:color="auto"/>
            </w:tcBorders>
            <w:vAlign w:val="center"/>
            <w:hideMark/>
          </w:tcPr>
          <w:p w14:paraId="7CF05DA7" w14:textId="1D223566"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072DC42C"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0E47241F" w14:textId="77777777" w:rsidR="00DB0940" w:rsidRPr="00DB0940" w:rsidRDefault="00DB0940" w:rsidP="00DB0940">
            <w:pPr>
              <w:spacing w:line="256" w:lineRule="auto"/>
              <w:rPr>
                <w:rFonts w:eastAsia="Times New Roman" w:cs="Arial"/>
                <w:b/>
                <w:bCs/>
                <w:sz w:val="18"/>
                <w:szCs w:val="18"/>
                <w:lang w:val="es-ES" w:eastAsia="en-US"/>
              </w:rPr>
            </w:pPr>
            <w:r w:rsidRPr="00DB0940">
              <w:rPr>
                <w:rFonts w:eastAsia="Times New Roman" w:cs="Arial"/>
                <w:b/>
                <w:bCs/>
                <w:sz w:val="18"/>
                <w:szCs w:val="18"/>
                <w:lang w:val="es-ES" w:eastAsia="en-US"/>
              </w:rPr>
              <w:t> </w:t>
            </w:r>
          </w:p>
        </w:tc>
        <w:tc>
          <w:tcPr>
            <w:tcW w:w="6379" w:type="dxa"/>
            <w:tcBorders>
              <w:top w:val="nil"/>
              <w:left w:val="nil"/>
              <w:bottom w:val="single" w:sz="4" w:space="0" w:color="auto"/>
              <w:right w:val="single" w:sz="4" w:space="0" w:color="auto"/>
            </w:tcBorders>
            <w:vAlign w:val="center"/>
            <w:hideMark/>
          </w:tcPr>
          <w:p w14:paraId="5A417FFE" w14:textId="77777777" w:rsidR="00DB0940" w:rsidRPr="00DB0940" w:rsidRDefault="00DB0940" w:rsidP="00DB0940">
            <w:pPr>
              <w:spacing w:line="256" w:lineRule="auto"/>
              <w:rPr>
                <w:rFonts w:eastAsia="Times New Roman" w:cs="Arial"/>
                <w:b/>
                <w:bCs/>
                <w:sz w:val="18"/>
                <w:szCs w:val="18"/>
                <w:lang w:val="es-ES" w:eastAsia="en-US"/>
              </w:rPr>
            </w:pPr>
            <w:proofErr w:type="gramStart"/>
            <w:r w:rsidRPr="00DB0940">
              <w:rPr>
                <w:rFonts w:eastAsia="Times New Roman" w:cs="Arial"/>
                <w:b/>
                <w:bCs/>
                <w:sz w:val="18"/>
                <w:szCs w:val="18"/>
                <w:lang w:val="es-ES" w:eastAsia="en-US"/>
              </w:rPr>
              <w:t>Total</w:t>
            </w:r>
            <w:proofErr w:type="gramEnd"/>
            <w:r w:rsidRPr="00DB0940">
              <w:rPr>
                <w:rFonts w:eastAsia="Times New Roman" w:cs="Arial"/>
                <w:b/>
                <w:bCs/>
                <w:sz w:val="18"/>
                <w:szCs w:val="18"/>
                <w:lang w:val="es-ES" w:eastAsia="en-US"/>
              </w:rPr>
              <w:t xml:space="preserve"> Fuentes Financieras.</w:t>
            </w:r>
          </w:p>
        </w:tc>
        <w:tc>
          <w:tcPr>
            <w:tcW w:w="1417" w:type="dxa"/>
            <w:tcBorders>
              <w:top w:val="nil"/>
              <w:left w:val="nil"/>
              <w:bottom w:val="single" w:sz="4" w:space="0" w:color="auto"/>
              <w:right w:val="single" w:sz="4" w:space="0" w:color="auto"/>
            </w:tcBorders>
            <w:vAlign w:val="center"/>
            <w:hideMark/>
          </w:tcPr>
          <w:p w14:paraId="1DD81F19" w14:textId="4A6DBC86" w:rsidR="00DB0940" w:rsidRPr="00DB0940" w:rsidRDefault="00DB0940" w:rsidP="00DB0940">
            <w:pPr>
              <w:spacing w:line="256" w:lineRule="auto"/>
              <w:jc w:val="right"/>
              <w:rPr>
                <w:rFonts w:eastAsia="Times New Roman" w:cs="Arial"/>
                <w:b/>
                <w:bCs/>
                <w:sz w:val="18"/>
                <w:szCs w:val="18"/>
                <w:lang w:val="es-ES" w:eastAsia="en-US"/>
              </w:rPr>
            </w:pPr>
            <w:r w:rsidRPr="00DB0940">
              <w:rPr>
                <w:rFonts w:cs="Arial"/>
                <w:b/>
                <w:bCs/>
                <w:sz w:val="18"/>
                <w:szCs w:val="18"/>
              </w:rPr>
              <w:t>0</w:t>
            </w:r>
          </w:p>
        </w:tc>
      </w:tr>
      <w:tr w:rsidR="00DB0940" w:rsidRPr="00DB0940" w14:paraId="4E963567"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01CB8768" w14:textId="77777777" w:rsidR="00DB0940" w:rsidRPr="00DB0940" w:rsidRDefault="00DB0940" w:rsidP="00DB0940">
            <w:pPr>
              <w:spacing w:line="256" w:lineRule="auto"/>
              <w:rPr>
                <w:rFonts w:eastAsia="Times New Roman" w:cs="Arial"/>
                <w:b/>
                <w:bCs/>
                <w:sz w:val="18"/>
                <w:szCs w:val="18"/>
                <w:lang w:val="es-ES" w:eastAsia="en-US"/>
              </w:rPr>
            </w:pPr>
            <w:r w:rsidRPr="00DB0940">
              <w:rPr>
                <w:rFonts w:eastAsia="Times New Roman" w:cs="Arial"/>
                <w:b/>
                <w:bCs/>
                <w:sz w:val="18"/>
                <w:szCs w:val="18"/>
                <w:lang w:val="es-ES" w:eastAsia="en-US"/>
              </w:rPr>
              <w:t>3.2</w:t>
            </w:r>
          </w:p>
        </w:tc>
        <w:tc>
          <w:tcPr>
            <w:tcW w:w="6379" w:type="dxa"/>
            <w:tcBorders>
              <w:top w:val="nil"/>
              <w:left w:val="nil"/>
              <w:bottom w:val="single" w:sz="4" w:space="0" w:color="auto"/>
              <w:right w:val="single" w:sz="4" w:space="0" w:color="auto"/>
            </w:tcBorders>
            <w:vAlign w:val="center"/>
            <w:hideMark/>
          </w:tcPr>
          <w:p w14:paraId="781655D4" w14:textId="77777777" w:rsidR="00DB0940" w:rsidRPr="00DB0940" w:rsidRDefault="00DB0940" w:rsidP="00DB0940">
            <w:pPr>
              <w:spacing w:line="256" w:lineRule="auto"/>
              <w:rPr>
                <w:rFonts w:eastAsia="Times New Roman" w:cs="Arial"/>
                <w:b/>
                <w:bCs/>
                <w:sz w:val="18"/>
                <w:szCs w:val="18"/>
                <w:lang w:val="es-ES" w:eastAsia="en-US"/>
              </w:rPr>
            </w:pPr>
            <w:r w:rsidRPr="00DB0940">
              <w:rPr>
                <w:rFonts w:eastAsia="Times New Roman" w:cs="Arial"/>
                <w:b/>
                <w:bCs/>
                <w:sz w:val="18"/>
                <w:szCs w:val="18"/>
                <w:lang w:val="es-ES" w:eastAsia="en-US"/>
              </w:rPr>
              <w:t>Aplicaciones Financieras (Usos).</w:t>
            </w:r>
          </w:p>
        </w:tc>
        <w:tc>
          <w:tcPr>
            <w:tcW w:w="1417" w:type="dxa"/>
            <w:tcBorders>
              <w:top w:val="nil"/>
              <w:left w:val="nil"/>
              <w:bottom w:val="single" w:sz="4" w:space="0" w:color="auto"/>
              <w:right w:val="single" w:sz="4" w:space="0" w:color="auto"/>
            </w:tcBorders>
            <w:vAlign w:val="center"/>
            <w:hideMark/>
          </w:tcPr>
          <w:p w14:paraId="0BE796F0" w14:textId="101820BC" w:rsidR="00DB0940" w:rsidRPr="00DB0940" w:rsidRDefault="00DB0940" w:rsidP="00DB0940">
            <w:pPr>
              <w:spacing w:line="256" w:lineRule="auto"/>
              <w:jc w:val="right"/>
              <w:rPr>
                <w:rFonts w:eastAsia="Times New Roman" w:cs="Arial"/>
                <w:b/>
                <w:bCs/>
                <w:sz w:val="18"/>
                <w:szCs w:val="18"/>
                <w:lang w:val="es-ES" w:eastAsia="en-US"/>
              </w:rPr>
            </w:pPr>
            <w:r w:rsidRPr="00DB0940">
              <w:rPr>
                <w:rFonts w:cs="Arial"/>
                <w:sz w:val="18"/>
                <w:szCs w:val="18"/>
              </w:rPr>
              <w:t> </w:t>
            </w:r>
          </w:p>
        </w:tc>
      </w:tr>
      <w:tr w:rsidR="00DB0940" w:rsidRPr="00DB0940" w14:paraId="7459CC15"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738B7D71"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3.2.1</w:t>
            </w:r>
          </w:p>
        </w:tc>
        <w:tc>
          <w:tcPr>
            <w:tcW w:w="6379" w:type="dxa"/>
            <w:tcBorders>
              <w:top w:val="nil"/>
              <w:left w:val="nil"/>
              <w:bottom w:val="single" w:sz="4" w:space="0" w:color="auto"/>
              <w:right w:val="single" w:sz="4" w:space="0" w:color="auto"/>
            </w:tcBorders>
            <w:vAlign w:val="center"/>
            <w:hideMark/>
          </w:tcPr>
          <w:p w14:paraId="49584DC3"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Incremento de activos financieros.</w:t>
            </w:r>
          </w:p>
        </w:tc>
        <w:tc>
          <w:tcPr>
            <w:tcW w:w="1417" w:type="dxa"/>
            <w:tcBorders>
              <w:top w:val="nil"/>
              <w:left w:val="nil"/>
              <w:bottom w:val="single" w:sz="4" w:space="0" w:color="auto"/>
              <w:right w:val="single" w:sz="4" w:space="0" w:color="auto"/>
            </w:tcBorders>
            <w:vAlign w:val="center"/>
            <w:hideMark/>
          </w:tcPr>
          <w:p w14:paraId="5BAC1977" w14:textId="5E079115"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2A410DC5"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33F74A60"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3.2.2</w:t>
            </w:r>
          </w:p>
        </w:tc>
        <w:tc>
          <w:tcPr>
            <w:tcW w:w="6379" w:type="dxa"/>
            <w:tcBorders>
              <w:top w:val="nil"/>
              <w:left w:val="nil"/>
              <w:bottom w:val="single" w:sz="4" w:space="0" w:color="auto"/>
              <w:right w:val="single" w:sz="4" w:space="0" w:color="auto"/>
            </w:tcBorders>
            <w:vAlign w:val="center"/>
            <w:hideMark/>
          </w:tcPr>
          <w:p w14:paraId="30ED0B62"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Disminución de pasivos.</w:t>
            </w:r>
          </w:p>
        </w:tc>
        <w:tc>
          <w:tcPr>
            <w:tcW w:w="1417" w:type="dxa"/>
            <w:tcBorders>
              <w:top w:val="nil"/>
              <w:left w:val="nil"/>
              <w:bottom w:val="single" w:sz="4" w:space="0" w:color="auto"/>
              <w:right w:val="single" w:sz="4" w:space="0" w:color="auto"/>
            </w:tcBorders>
            <w:vAlign w:val="center"/>
            <w:hideMark/>
          </w:tcPr>
          <w:p w14:paraId="10DA8586" w14:textId="695602CC"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480,135,423</w:t>
            </w:r>
          </w:p>
        </w:tc>
      </w:tr>
      <w:tr w:rsidR="00DB0940" w:rsidRPr="00DB0940" w14:paraId="5A191044"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1CB9F8DD"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3.2.3</w:t>
            </w:r>
          </w:p>
        </w:tc>
        <w:tc>
          <w:tcPr>
            <w:tcW w:w="6379" w:type="dxa"/>
            <w:tcBorders>
              <w:top w:val="nil"/>
              <w:left w:val="nil"/>
              <w:bottom w:val="single" w:sz="4" w:space="0" w:color="auto"/>
              <w:right w:val="single" w:sz="4" w:space="0" w:color="auto"/>
            </w:tcBorders>
            <w:vAlign w:val="center"/>
            <w:hideMark/>
          </w:tcPr>
          <w:p w14:paraId="258CF5E7" w14:textId="77777777" w:rsidR="00DB0940" w:rsidRPr="00DB0940" w:rsidRDefault="00DB0940" w:rsidP="00DB0940">
            <w:pPr>
              <w:spacing w:line="256" w:lineRule="auto"/>
              <w:rPr>
                <w:rFonts w:eastAsia="Times New Roman" w:cs="Arial"/>
                <w:sz w:val="18"/>
                <w:szCs w:val="18"/>
                <w:lang w:val="es-ES" w:eastAsia="en-US"/>
              </w:rPr>
            </w:pPr>
            <w:r w:rsidRPr="00DB0940">
              <w:rPr>
                <w:rFonts w:eastAsia="Times New Roman" w:cs="Arial"/>
                <w:sz w:val="18"/>
                <w:szCs w:val="18"/>
                <w:lang w:val="es-ES" w:eastAsia="en-US"/>
              </w:rPr>
              <w:t>Disminución de Patrimonio.</w:t>
            </w:r>
          </w:p>
        </w:tc>
        <w:tc>
          <w:tcPr>
            <w:tcW w:w="1417" w:type="dxa"/>
            <w:tcBorders>
              <w:top w:val="nil"/>
              <w:left w:val="nil"/>
              <w:bottom w:val="single" w:sz="4" w:space="0" w:color="auto"/>
              <w:right w:val="single" w:sz="4" w:space="0" w:color="auto"/>
            </w:tcBorders>
            <w:vAlign w:val="center"/>
            <w:hideMark/>
          </w:tcPr>
          <w:p w14:paraId="2BC25A90" w14:textId="21670416" w:rsidR="00DB0940" w:rsidRPr="00DB0940" w:rsidRDefault="00DB0940" w:rsidP="00DB0940">
            <w:pPr>
              <w:spacing w:line="256" w:lineRule="auto"/>
              <w:jc w:val="right"/>
              <w:rPr>
                <w:rFonts w:eastAsia="Times New Roman" w:cs="Arial"/>
                <w:sz w:val="18"/>
                <w:szCs w:val="18"/>
                <w:lang w:val="es-ES" w:eastAsia="en-US"/>
              </w:rPr>
            </w:pPr>
            <w:r w:rsidRPr="00DB0940">
              <w:rPr>
                <w:rFonts w:cs="Arial"/>
                <w:sz w:val="18"/>
                <w:szCs w:val="18"/>
              </w:rPr>
              <w:t>0</w:t>
            </w:r>
          </w:p>
        </w:tc>
      </w:tr>
      <w:tr w:rsidR="00DB0940" w:rsidRPr="00DB0940" w14:paraId="0DF4E550" w14:textId="77777777" w:rsidTr="00BF5974">
        <w:trPr>
          <w:trHeight w:val="20"/>
          <w:jc w:val="center"/>
        </w:trPr>
        <w:tc>
          <w:tcPr>
            <w:tcW w:w="709" w:type="dxa"/>
            <w:tcBorders>
              <w:top w:val="nil"/>
              <w:left w:val="single" w:sz="4" w:space="0" w:color="auto"/>
              <w:bottom w:val="single" w:sz="4" w:space="0" w:color="auto"/>
              <w:right w:val="single" w:sz="4" w:space="0" w:color="auto"/>
            </w:tcBorders>
            <w:vAlign w:val="center"/>
          </w:tcPr>
          <w:p w14:paraId="0E91E543" w14:textId="77777777" w:rsidR="00BF5974" w:rsidRPr="00DB0940" w:rsidRDefault="00BF5974">
            <w:pPr>
              <w:spacing w:line="256" w:lineRule="auto"/>
              <w:rPr>
                <w:rFonts w:eastAsia="Times New Roman" w:cs="Arial"/>
                <w:sz w:val="18"/>
                <w:szCs w:val="18"/>
                <w:lang w:val="es-ES" w:eastAsia="en-US"/>
              </w:rPr>
            </w:pPr>
          </w:p>
        </w:tc>
        <w:tc>
          <w:tcPr>
            <w:tcW w:w="6379" w:type="dxa"/>
            <w:tcBorders>
              <w:top w:val="nil"/>
              <w:left w:val="nil"/>
              <w:bottom w:val="single" w:sz="4" w:space="0" w:color="auto"/>
              <w:right w:val="single" w:sz="4" w:space="0" w:color="auto"/>
            </w:tcBorders>
            <w:vAlign w:val="center"/>
            <w:hideMark/>
          </w:tcPr>
          <w:p w14:paraId="0E14E5AD" w14:textId="77777777" w:rsidR="00BF5974" w:rsidRPr="00DB0940" w:rsidRDefault="00BF5974">
            <w:pPr>
              <w:spacing w:line="256" w:lineRule="auto"/>
              <w:jc w:val="left"/>
              <w:rPr>
                <w:rFonts w:eastAsia="Times New Roman" w:cs="Arial"/>
                <w:sz w:val="18"/>
                <w:szCs w:val="18"/>
                <w:lang w:val="es-ES" w:eastAsia="en-US"/>
              </w:rPr>
            </w:pPr>
            <w:proofErr w:type="gramStart"/>
            <w:r w:rsidRPr="00DB0940">
              <w:rPr>
                <w:rFonts w:eastAsia="Times New Roman" w:cs="Arial"/>
                <w:b/>
                <w:bCs/>
                <w:sz w:val="18"/>
                <w:szCs w:val="18"/>
                <w:lang w:val="es-ES" w:eastAsia="en-US"/>
              </w:rPr>
              <w:t>Total</w:t>
            </w:r>
            <w:proofErr w:type="gramEnd"/>
            <w:r w:rsidRPr="00DB0940">
              <w:rPr>
                <w:rFonts w:eastAsia="Times New Roman" w:cs="Arial"/>
                <w:b/>
                <w:bCs/>
                <w:sz w:val="18"/>
                <w:szCs w:val="18"/>
                <w:lang w:val="es-ES" w:eastAsia="en-US"/>
              </w:rPr>
              <w:t xml:space="preserve"> Aplicaciones Financieras.</w:t>
            </w:r>
          </w:p>
        </w:tc>
        <w:tc>
          <w:tcPr>
            <w:tcW w:w="1417" w:type="dxa"/>
            <w:tcBorders>
              <w:top w:val="nil"/>
              <w:left w:val="nil"/>
              <w:bottom w:val="single" w:sz="4" w:space="0" w:color="auto"/>
              <w:right w:val="single" w:sz="4" w:space="0" w:color="auto"/>
            </w:tcBorders>
            <w:vAlign w:val="center"/>
            <w:hideMark/>
          </w:tcPr>
          <w:p w14:paraId="52BBE960" w14:textId="77777777" w:rsidR="00BF5974" w:rsidRPr="00DB0940" w:rsidRDefault="00BF5974">
            <w:pPr>
              <w:spacing w:line="256" w:lineRule="auto"/>
              <w:jc w:val="right"/>
              <w:rPr>
                <w:rFonts w:eastAsia="Times New Roman" w:cs="Arial"/>
                <w:b/>
                <w:bCs/>
                <w:sz w:val="18"/>
                <w:szCs w:val="18"/>
                <w:lang w:val="es-ES" w:eastAsia="en-US"/>
              </w:rPr>
            </w:pPr>
            <w:r w:rsidRPr="00DB0940">
              <w:rPr>
                <w:rFonts w:cs="Arial"/>
                <w:b/>
                <w:bCs/>
                <w:sz w:val="18"/>
                <w:szCs w:val="18"/>
                <w:lang w:val="es-ES" w:eastAsia="en-US"/>
              </w:rPr>
              <w:t> </w:t>
            </w:r>
          </w:p>
        </w:tc>
      </w:tr>
    </w:tbl>
    <w:p w14:paraId="070DF4F3" w14:textId="77777777" w:rsidR="00BF5974" w:rsidRDefault="00BF5974" w:rsidP="00BF5974">
      <w:pPr>
        <w:ind w:left="709" w:right="474" w:hanging="567"/>
        <w:rPr>
          <w:rFonts w:cs="Arial"/>
          <w:sz w:val="18"/>
          <w:lang w:val="es-ES"/>
        </w:rPr>
      </w:pPr>
      <w:r>
        <w:rPr>
          <w:rFonts w:cs="Arial"/>
          <w:b/>
          <w:sz w:val="18"/>
          <w:lang w:val="es-ES"/>
        </w:rPr>
        <w:t>Nota:</w:t>
      </w:r>
      <w:r>
        <w:rPr>
          <w:rFonts w:cs="Arial"/>
          <w:sz w:val="18"/>
          <w:lang w:val="es-ES"/>
        </w:rPr>
        <w:t xml:space="preserve"> </w:t>
      </w:r>
      <w:r>
        <w:rPr>
          <w:rFonts w:cs="Arial"/>
          <w:sz w:val="18"/>
          <w:lang w:val="es-ES"/>
        </w:rPr>
        <w:tab/>
        <w:t xml:space="preserve">Las cifras se presentan en el momento contable estimado, para el caso de los ingresos; y aprobado, para el caso de los egresos. No incluye saldos de cuentas contables. </w:t>
      </w:r>
    </w:p>
    <w:p w14:paraId="3D7ABB4F" w14:textId="77777777" w:rsidR="00BF5974" w:rsidRDefault="00BF5974" w:rsidP="00BF5974">
      <w:pPr>
        <w:rPr>
          <w:rFonts w:cs="Arial"/>
          <w:b/>
          <w:lang w:val="es-ES"/>
        </w:rPr>
      </w:pPr>
    </w:p>
    <w:p w14:paraId="2870A5E9" w14:textId="77777777" w:rsidR="00BF5974" w:rsidRDefault="00BF5974" w:rsidP="00BF5974">
      <w:pPr>
        <w:rPr>
          <w:rFonts w:cs="Arial"/>
          <w:lang w:val="es-ES"/>
        </w:rPr>
      </w:pPr>
      <w:r>
        <w:rPr>
          <w:rFonts w:cs="Arial"/>
          <w:b/>
          <w:lang w:val="es-ES"/>
        </w:rPr>
        <w:t>Artículo 15</w:t>
      </w:r>
      <w:r>
        <w:rPr>
          <w:rFonts w:cs="Arial"/>
          <w:lang w:val="es-ES"/>
        </w:rPr>
        <w:t xml:space="preserve">. El gasto neto total previsto en el Presupuesto de Egresos del Estado de Colima para el Ejercicio Fiscal 2025, de acuerdo a la </w:t>
      </w:r>
      <w:r>
        <w:rPr>
          <w:rFonts w:cs="Arial"/>
          <w:bCs/>
          <w:lang w:val="es-ES"/>
        </w:rPr>
        <w:t>Clasificación por Objeto del Gasto</w:t>
      </w:r>
      <w:r>
        <w:rPr>
          <w:rFonts w:cs="Arial"/>
          <w:b/>
          <w:lang w:val="es-ES"/>
        </w:rPr>
        <w:t xml:space="preserve"> </w:t>
      </w:r>
      <w:r>
        <w:rPr>
          <w:rFonts w:cs="Arial"/>
          <w:lang w:val="es-ES"/>
        </w:rPr>
        <w:t xml:space="preserve">a nivel Capítulo de la siguiente forma: </w:t>
      </w:r>
    </w:p>
    <w:p w14:paraId="049997D1" w14:textId="77777777" w:rsidR="00BF5974" w:rsidRDefault="00BF5974" w:rsidP="00BF5974">
      <w:pPr>
        <w:keepNext/>
        <w:keepLines/>
        <w:outlineLvl w:val="2"/>
        <w:rPr>
          <w:rFonts w:eastAsia="Times New Roman" w:cs="Arial"/>
          <w:b/>
          <w:szCs w:val="24"/>
          <w:lang w:val="es-E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5387"/>
        <w:gridCol w:w="1950"/>
      </w:tblGrid>
      <w:tr w:rsidR="00BF5974" w:rsidRPr="009D26EB" w14:paraId="2C18CA88" w14:textId="77777777" w:rsidTr="00BF5974">
        <w:trPr>
          <w:trHeight w:val="20"/>
          <w:tblHeader/>
          <w:jc w:val="center"/>
        </w:trPr>
        <w:tc>
          <w:tcPr>
            <w:tcW w:w="8353" w:type="dxa"/>
            <w:gridSpan w:val="3"/>
            <w:tcBorders>
              <w:top w:val="nil"/>
              <w:left w:val="nil"/>
              <w:bottom w:val="single" w:sz="4" w:space="0" w:color="auto"/>
              <w:right w:val="nil"/>
            </w:tcBorders>
            <w:vAlign w:val="center"/>
            <w:hideMark/>
          </w:tcPr>
          <w:p w14:paraId="1361DAEF" w14:textId="77777777" w:rsidR="00BF5974" w:rsidRPr="009D26EB" w:rsidRDefault="00BF5974">
            <w:pPr>
              <w:spacing w:line="256" w:lineRule="auto"/>
              <w:jc w:val="center"/>
              <w:rPr>
                <w:rFonts w:cs="Arial"/>
                <w:b/>
                <w:sz w:val="20"/>
                <w:szCs w:val="20"/>
                <w:lang w:val="es-ES" w:eastAsia="en-US"/>
              </w:rPr>
            </w:pPr>
            <w:bookmarkStart w:id="23" w:name="_Toc22983150"/>
            <w:bookmarkStart w:id="24" w:name="_Toc22021872"/>
            <w:bookmarkStart w:id="25" w:name="_Toc526757438"/>
            <w:bookmarkStart w:id="26" w:name="_Toc522869232"/>
            <w:r w:rsidRPr="009D26EB">
              <w:rPr>
                <w:rFonts w:eastAsia="Times New Roman" w:cs="Arial"/>
                <w:b/>
                <w:sz w:val="20"/>
                <w:szCs w:val="20"/>
                <w:lang w:val="es-ES" w:eastAsia="en-US"/>
              </w:rPr>
              <w:t xml:space="preserve">Tabla 4. Clasificación por Objeto del Gasto </w:t>
            </w:r>
            <w:r w:rsidRPr="009D26EB">
              <w:rPr>
                <w:rFonts w:eastAsia="Times New Roman" w:cs="Arial"/>
                <w:b/>
                <w:sz w:val="20"/>
                <w:szCs w:val="20"/>
                <w:lang w:val="es-ES" w:eastAsia="en-US"/>
              </w:rPr>
              <w:br/>
              <w:t>(Capítulo)</w:t>
            </w:r>
            <w:bookmarkEnd w:id="23"/>
            <w:bookmarkEnd w:id="24"/>
            <w:bookmarkEnd w:id="25"/>
            <w:bookmarkEnd w:id="26"/>
          </w:p>
        </w:tc>
      </w:tr>
      <w:tr w:rsidR="00BF5974" w:rsidRPr="009D26EB" w14:paraId="379D4431" w14:textId="77777777" w:rsidTr="00BF5974">
        <w:trPr>
          <w:trHeight w:val="20"/>
          <w:tblHeade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E1E96BA" w14:textId="77777777" w:rsidR="00BF5974" w:rsidRPr="009D26EB" w:rsidRDefault="00BF5974">
            <w:pPr>
              <w:spacing w:line="256" w:lineRule="auto"/>
              <w:jc w:val="center"/>
              <w:rPr>
                <w:rFonts w:cs="Arial"/>
                <w:b/>
                <w:sz w:val="20"/>
                <w:szCs w:val="20"/>
                <w:lang w:val="es-ES" w:eastAsia="en-US"/>
              </w:rPr>
            </w:pPr>
            <w:r w:rsidRPr="009D26EB">
              <w:rPr>
                <w:rFonts w:cs="Arial"/>
                <w:b/>
                <w:sz w:val="20"/>
                <w:szCs w:val="20"/>
                <w:lang w:val="es-ES" w:eastAsia="en-US"/>
              </w:rPr>
              <w:t>Capítulo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68936D0" w14:textId="77777777" w:rsidR="00BF5974" w:rsidRPr="009D26EB" w:rsidRDefault="00BF5974">
            <w:pPr>
              <w:spacing w:line="256" w:lineRule="auto"/>
              <w:jc w:val="center"/>
              <w:rPr>
                <w:rFonts w:cs="Arial"/>
                <w:b/>
                <w:sz w:val="20"/>
                <w:szCs w:val="20"/>
                <w:lang w:val="es-ES" w:eastAsia="en-US"/>
              </w:rPr>
            </w:pPr>
            <w:r w:rsidRPr="009D26EB">
              <w:rPr>
                <w:rFonts w:cs="Arial"/>
                <w:b/>
                <w:sz w:val="20"/>
                <w:szCs w:val="20"/>
                <w:lang w:val="es-ES" w:eastAsia="en-US"/>
              </w:rPr>
              <w:t>Concepto</w:t>
            </w:r>
          </w:p>
        </w:tc>
        <w:tc>
          <w:tcPr>
            <w:tcW w:w="1950" w:type="dxa"/>
            <w:tcBorders>
              <w:top w:val="single" w:sz="4" w:space="0" w:color="auto"/>
              <w:left w:val="single" w:sz="4" w:space="0" w:color="auto"/>
              <w:bottom w:val="single" w:sz="4" w:space="0" w:color="auto"/>
              <w:right w:val="single" w:sz="4" w:space="0" w:color="auto"/>
            </w:tcBorders>
            <w:vAlign w:val="center"/>
            <w:hideMark/>
          </w:tcPr>
          <w:p w14:paraId="590889DA" w14:textId="77777777" w:rsidR="00BF5974" w:rsidRPr="009D26EB" w:rsidRDefault="00BF5974">
            <w:pPr>
              <w:spacing w:line="256" w:lineRule="auto"/>
              <w:jc w:val="center"/>
              <w:rPr>
                <w:rFonts w:cs="Arial"/>
                <w:b/>
                <w:sz w:val="20"/>
                <w:szCs w:val="20"/>
                <w:lang w:val="es-ES" w:eastAsia="en-US"/>
              </w:rPr>
            </w:pPr>
            <w:r w:rsidRPr="009D26EB">
              <w:rPr>
                <w:rFonts w:cs="Arial"/>
                <w:b/>
                <w:sz w:val="20"/>
                <w:szCs w:val="20"/>
                <w:lang w:val="es-ES" w:eastAsia="en-US"/>
              </w:rPr>
              <w:t>Asignación Presupuestal</w:t>
            </w:r>
          </w:p>
        </w:tc>
      </w:tr>
      <w:tr w:rsidR="009D26EB" w:rsidRPr="009D26EB" w14:paraId="6925C069" w14:textId="77777777" w:rsidTr="0051429E">
        <w:trPr>
          <w:trHeight w:val="20"/>
          <w:jc w:val="center"/>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274DD708" w14:textId="77777777" w:rsidR="009D26EB" w:rsidRPr="009D26EB" w:rsidRDefault="009D26EB" w:rsidP="009D26EB">
            <w:pPr>
              <w:spacing w:line="256" w:lineRule="auto"/>
              <w:jc w:val="center"/>
              <w:rPr>
                <w:rFonts w:cs="Arial"/>
                <w:sz w:val="20"/>
                <w:szCs w:val="20"/>
                <w:lang w:val="es-ES" w:eastAsia="en-US"/>
              </w:rPr>
            </w:pPr>
            <w:r w:rsidRPr="009D26EB">
              <w:rPr>
                <w:rFonts w:cs="Arial"/>
                <w:sz w:val="20"/>
                <w:szCs w:val="20"/>
                <w:lang w:val="es-ES" w:eastAsia="en-US"/>
              </w:rPr>
              <w:t>010000</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703F0F77" w14:textId="77777777" w:rsidR="009D26EB" w:rsidRPr="009D26EB" w:rsidRDefault="009D26EB" w:rsidP="009D26EB">
            <w:pPr>
              <w:spacing w:line="256" w:lineRule="auto"/>
              <w:rPr>
                <w:rFonts w:cs="Arial"/>
                <w:sz w:val="20"/>
                <w:szCs w:val="20"/>
                <w:lang w:val="es-ES" w:eastAsia="en-US"/>
              </w:rPr>
            </w:pPr>
            <w:r w:rsidRPr="009D26EB">
              <w:rPr>
                <w:rFonts w:cs="Arial"/>
                <w:sz w:val="20"/>
                <w:szCs w:val="20"/>
                <w:lang w:val="es-ES" w:eastAsia="en-US"/>
              </w:rPr>
              <w:t>Servicios Personales.</w:t>
            </w:r>
          </w:p>
        </w:tc>
        <w:tc>
          <w:tcPr>
            <w:tcW w:w="1950" w:type="dxa"/>
            <w:tcBorders>
              <w:top w:val="single" w:sz="4" w:space="0" w:color="auto"/>
              <w:left w:val="single" w:sz="4" w:space="0" w:color="auto"/>
              <w:bottom w:val="single" w:sz="4" w:space="0" w:color="auto"/>
              <w:right w:val="single" w:sz="4" w:space="0" w:color="auto"/>
            </w:tcBorders>
            <w:noWrap/>
            <w:vAlign w:val="bottom"/>
            <w:hideMark/>
          </w:tcPr>
          <w:p w14:paraId="3E4145F6" w14:textId="5C5AA15C" w:rsidR="009D26EB" w:rsidRPr="009D26EB" w:rsidRDefault="009D26EB" w:rsidP="009D26EB">
            <w:pPr>
              <w:spacing w:line="256" w:lineRule="auto"/>
              <w:jc w:val="right"/>
              <w:rPr>
                <w:rFonts w:cs="Arial"/>
                <w:sz w:val="20"/>
                <w:szCs w:val="20"/>
                <w:lang w:val="es-ES" w:eastAsia="en-US"/>
              </w:rPr>
            </w:pPr>
            <w:r w:rsidRPr="009D26EB">
              <w:rPr>
                <w:rFonts w:cs="Arial"/>
                <w:color w:val="000000"/>
                <w:sz w:val="20"/>
                <w:szCs w:val="20"/>
              </w:rPr>
              <w:t xml:space="preserve">2,527,759,401 </w:t>
            </w:r>
          </w:p>
        </w:tc>
      </w:tr>
      <w:tr w:rsidR="009D26EB" w:rsidRPr="009D26EB" w14:paraId="13829698" w14:textId="77777777" w:rsidTr="0051429E">
        <w:trPr>
          <w:trHeight w:val="20"/>
          <w:jc w:val="center"/>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68537860" w14:textId="77777777" w:rsidR="009D26EB" w:rsidRPr="009D26EB" w:rsidRDefault="009D26EB" w:rsidP="009D26EB">
            <w:pPr>
              <w:spacing w:line="256" w:lineRule="auto"/>
              <w:jc w:val="center"/>
              <w:rPr>
                <w:rFonts w:cs="Arial"/>
                <w:sz w:val="20"/>
                <w:szCs w:val="20"/>
                <w:lang w:val="es-ES" w:eastAsia="en-US"/>
              </w:rPr>
            </w:pPr>
            <w:r w:rsidRPr="009D26EB">
              <w:rPr>
                <w:rFonts w:cs="Arial"/>
                <w:sz w:val="20"/>
                <w:szCs w:val="20"/>
                <w:lang w:val="es-ES" w:eastAsia="en-US"/>
              </w:rPr>
              <w:t>020000</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653DDADB" w14:textId="77777777" w:rsidR="009D26EB" w:rsidRPr="009D26EB" w:rsidRDefault="009D26EB" w:rsidP="009D26EB">
            <w:pPr>
              <w:spacing w:line="256" w:lineRule="auto"/>
              <w:rPr>
                <w:rFonts w:cs="Arial"/>
                <w:sz w:val="20"/>
                <w:szCs w:val="20"/>
                <w:lang w:val="es-ES" w:eastAsia="en-US"/>
              </w:rPr>
            </w:pPr>
            <w:r w:rsidRPr="009D26EB">
              <w:rPr>
                <w:rFonts w:cs="Arial"/>
                <w:sz w:val="20"/>
                <w:szCs w:val="20"/>
                <w:lang w:val="es-ES" w:eastAsia="en-US"/>
              </w:rPr>
              <w:t>Materiales y Suministros.</w:t>
            </w:r>
          </w:p>
        </w:tc>
        <w:tc>
          <w:tcPr>
            <w:tcW w:w="1950" w:type="dxa"/>
            <w:tcBorders>
              <w:top w:val="single" w:sz="4" w:space="0" w:color="auto"/>
              <w:left w:val="single" w:sz="4" w:space="0" w:color="auto"/>
              <w:bottom w:val="single" w:sz="4" w:space="0" w:color="auto"/>
              <w:right w:val="single" w:sz="4" w:space="0" w:color="auto"/>
            </w:tcBorders>
            <w:noWrap/>
            <w:vAlign w:val="bottom"/>
            <w:hideMark/>
          </w:tcPr>
          <w:p w14:paraId="1101F78D" w14:textId="1BED279B" w:rsidR="009D26EB" w:rsidRPr="009D26EB" w:rsidRDefault="009D26EB" w:rsidP="009D26EB">
            <w:pPr>
              <w:spacing w:line="256" w:lineRule="auto"/>
              <w:jc w:val="right"/>
              <w:rPr>
                <w:rFonts w:cs="Arial"/>
                <w:sz w:val="20"/>
                <w:szCs w:val="20"/>
                <w:lang w:val="es-ES" w:eastAsia="en-US"/>
              </w:rPr>
            </w:pPr>
            <w:r w:rsidRPr="009D26EB">
              <w:rPr>
                <w:rFonts w:cs="Arial"/>
                <w:color w:val="000000"/>
                <w:sz w:val="20"/>
                <w:szCs w:val="20"/>
              </w:rPr>
              <w:t xml:space="preserve">296,329,937 </w:t>
            </w:r>
          </w:p>
        </w:tc>
      </w:tr>
      <w:tr w:rsidR="009D26EB" w:rsidRPr="009D26EB" w14:paraId="0F6A0AC9" w14:textId="77777777" w:rsidTr="0051429E">
        <w:trPr>
          <w:trHeight w:val="20"/>
          <w:jc w:val="center"/>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13D80BCE" w14:textId="77777777" w:rsidR="009D26EB" w:rsidRPr="009D26EB" w:rsidRDefault="009D26EB" w:rsidP="009D26EB">
            <w:pPr>
              <w:spacing w:line="256" w:lineRule="auto"/>
              <w:jc w:val="center"/>
              <w:rPr>
                <w:rFonts w:cs="Arial"/>
                <w:sz w:val="20"/>
                <w:szCs w:val="20"/>
                <w:lang w:val="es-ES" w:eastAsia="en-US"/>
              </w:rPr>
            </w:pPr>
            <w:r w:rsidRPr="009D26EB">
              <w:rPr>
                <w:rFonts w:cs="Arial"/>
                <w:sz w:val="20"/>
                <w:szCs w:val="20"/>
                <w:lang w:val="es-ES" w:eastAsia="en-US"/>
              </w:rPr>
              <w:t>030000</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6249955B" w14:textId="77777777" w:rsidR="009D26EB" w:rsidRPr="009D26EB" w:rsidRDefault="009D26EB" w:rsidP="009D26EB">
            <w:pPr>
              <w:spacing w:line="256" w:lineRule="auto"/>
              <w:rPr>
                <w:rFonts w:cs="Arial"/>
                <w:sz w:val="20"/>
                <w:szCs w:val="20"/>
                <w:lang w:val="es-ES" w:eastAsia="en-US"/>
              </w:rPr>
            </w:pPr>
            <w:r w:rsidRPr="009D26EB">
              <w:rPr>
                <w:rFonts w:cs="Arial"/>
                <w:sz w:val="20"/>
                <w:szCs w:val="20"/>
                <w:lang w:val="es-ES" w:eastAsia="en-US"/>
              </w:rPr>
              <w:t>Servicios Generales.</w:t>
            </w:r>
          </w:p>
        </w:tc>
        <w:tc>
          <w:tcPr>
            <w:tcW w:w="1950" w:type="dxa"/>
            <w:tcBorders>
              <w:top w:val="single" w:sz="4" w:space="0" w:color="auto"/>
              <w:left w:val="single" w:sz="4" w:space="0" w:color="auto"/>
              <w:bottom w:val="single" w:sz="4" w:space="0" w:color="auto"/>
              <w:right w:val="single" w:sz="4" w:space="0" w:color="auto"/>
            </w:tcBorders>
            <w:noWrap/>
            <w:vAlign w:val="bottom"/>
            <w:hideMark/>
          </w:tcPr>
          <w:p w14:paraId="3BF3B4C0" w14:textId="74152F56" w:rsidR="009D26EB" w:rsidRPr="009D26EB" w:rsidRDefault="009D26EB" w:rsidP="009D26EB">
            <w:pPr>
              <w:spacing w:line="256" w:lineRule="auto"/>
              <w:jc w:val="right"/>
              <w:rPr>
                <w:rFonts w:cs="Arial"/>
                <w:sz w:val="20"/>
                <w:szCs w:val="20"/>
                <w:lang w:val="es-ES" w:eastAsia="en-US"/>
              </w:rPr>
            </w:pPr>
            <w:r w:rsidRPr="009D26EB">
              <w:rPr>
                <w:rFonts w:cs="Arial"/>
                <w:color w:val="000000"/>
                <w:sz w:val="20"/>
                <w:szCs w:val="20"/>
              </w:rPr>
              <w:t xml:space="preserve">499,488,704 </w:t>
            </w:r>
          </w:p>
        </w:tc>
      </w:tr>
      <w:tr w:rsidR="009D26EB" w:rsidRPr="009D26EB" w14:paraId="4006A145" w14:textId="77777777" w:rsidTr="0051429E">
        <w:trPr>
          <w:trHeight w:val="20"/>
          <w:jc w:val="center"/>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722C7D1C" w14:textId="77777777" w:rsidR="009D26EB" w:rsidRPr="009D26EB" w:rsidRDefault="009D26EB" w:rsidP="009D26EB">
            <w:pPr>
              <w:spacing w:line="256" w:lineRule="auto"/>
              <w:jc w:val="center"/>
              <w:rPr>
                <w:rFonts w:cs="Arial"/>
                <w:sz w:val="20"/>
                <w:szCs w:val="20"/>
                <w:lang w:val="es-ES" w:eastAsia="en-US"/>
              </w:rPr>
            </w:pPr>
            <w:r w:rsidRPr="009D26EB">
              <w:rPr>
                <w:rFonts w:cs="Arial"/>
                <w:sz w:val="20"/>
                <w:szCs w:val="20"/>
                <w:lang w:val="es-ES" w:eastAsia="en-US"/>
              </w:rPr>
              <w:t>040000</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FC88EF0" w14:textId="77777777" w:rsidR="009D26EB" w:rsidRPr="009D26EB" w:rsidRDefault="009D26EB" w:rsidP="009D26EB">
            <w:pPr>
              <w:spacing w:line="256" w:lineRule="auto"/>
              <w:rPr>
                <w:rFonts w:cs="Arial"/>
                <w:sz w:val="20"/>
                <w:szCs w:val="20"/>
                <w:lang w:val="es-ES" w:eastAsia="en-US"/>
              </w:rPr>
            </w:pPr>
            <w:r w:rsidRPr="009D26EB">
              <w:rPr>
                <w:rFonts w:cs="Arial"/>
                <w:sz w:val="20"/>
                <w:szCs w:val="20"/>
                <w:lang w:val="es-ES" w:eastAsia="en-US"/>
              </w:rPr>
              <w:t>Transferencias, Asignaciones, Subsidios y Otras Ayudas.</w:t>
            </w:r>
          </w:p>
        </w:tc>
        <w:tc>
          <w:tcPr>
            <w:tcW w:w="1950" w:type="dxa"/>
            <w:tcBorders>
              <w:top w:val="single" w:sz="4" w:space="0" w:color="auto"/>
              <w:left w:val="single" w:sz="4" w:space="0" w:color="auto"/>
              <w:bottom w:val="single" w:sz="4" w:space="0" w:color="auto"/>
              <w:right w:val="single" w:sz="4" w:space="0" w:color="auto"/>
            </w:tcBorders>
            <w:noWrap/>
            <w:vAlign w:val="bottom"/>
            <w:hideMark/>
          </w:tcPr>
          <w:p w14:paraId="3C205917" w14:textId="6BC5E1C3" w:rsidR="009D26EB" w:rsidRPr="009D26EB" w:rsidRDefault="009D26EB" w:rsidP="009D26EB">
            <w:pPr>
              <w:spacing w:line="256" w:lineRule="auto"/>
              <w:jc w:val="right"/>
              <w:rPr>
                <w:rFonts w:cs="Arial"/>
                <w:sz w:val="20"/>
                <w:szCs w:val="20"/>
                <w:lang w:val="es-ES" w:eastAsia="en-US"/>
              </w:rPr>
            </w:pPr>
            <w:r w:rsidRPr="009D26EB">
              <w:rPr>
                <w:rFonts w:cs="Arial"/>
                <w:color w:val="000000"/>
                <w:sz w:val="20"/>
                <w:szCs w:val="20"/>
              </w:rPr>
              <w:t xml:space="preserve">14,861,960,910 </w:t>
            </w:r>
          </w:p>
        </w:tc>
      </w:tr>
      <w:tr w:rsidR="009D26EB" w:rsidRPr="009D26EB" w14:paraId="0679DDE4" w14:textId="77777777" w:rsidTr="0051429E">
        <w:trPr>
          <w:trHeight w:val="20"/>
          <w:jc w:val="center"/>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5965ACB5" w14:textId="77777777" w:rsidR="009D26EB" w:rsidRPr="009D26EB" w:rsidRDefault="009D26EB" w:rsidP="009D26EB">
            <w:pPr>
              <w:spacing w:line="256" w:lineRule="auto"/>
              <w:jc w:val="center"/>
              <w:rPr>
                <w:rFonts w:cs="Arial"/>
                <w:sz w:val="20"/>
                <w:szCs w:val="20"/>
                <w:lang w:val="es-ES" w:eastAsia="en-US"/>
              </w:rPr>
            </w:pPr>
            <w:r w:rsidRPr="009D26EB">
              <w:rPr>
                <w:rFonts w:cs="Arial"/>
                <w:sz w:val="20"/>
                <w:szCs w:val="20"/>
                <w:lang w:val="es-ES" w:eastAsia="en-US"/>
              </w:rPr>
              <w:t>050000</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2C9F7106" w14:textId="77777777" w:rsidR="009D26EB" w:rsidRPr="009D26EB" w:rsidRDefault="009D26EB" w:rsidP="009D26EB">
            <w:pPr>
              <w:spacing w:line="256" w:lineRule="auto"/>
              <w:rPr>
                <w:rFonts w:cs="Arial"/>
                <w:sz w:val="20"/>
                <w:szCs w:val="20"/>
                <w:lang w:val="es-ES" w:eastAsia="en-US"/>
              </w:rPr>
            </w:pPr>
            <w:r w:rsidRPr="009D26EB">
              <w:rPr>
                <w:rFonts w:cs="Arial"/>
                <w:sz w:val="20"/>
                <w:szCs w:val="20"/>
                <w:lang w:val="es-ES" w:eastAsia="en-US"/>
              </w:rPr>
              <w:t>Bienes Muebles, Inmuebles e Intangibles.</w:t>
            </w:r>
          </w:p>
        </w:tc>
        <w:tc>
          <w:tcPr>
            <w:tcW w:w="1950" w:type="dxa"/>
            <w:tcBorders>
              <w:top w:val="single" w:sz="4" w:space="0" w:color="auto"/>
              <w:left w:val="single" w:sz="4" w:space="0" w:color="auto"/>
              <w:bottom w:val="single" w:sz="4" w:space="0" w:color="auto"/>
              <w:right w:val="single" w:sz="4" w:space="0" w:color="auto"/>
            </w:tcBorders>
            <w:noWrap/>
            <w:vAlign w:val="bottom"/>
            <w:hideMark/>
          </w:tcPr>
          <w:p w14:paraId="7BBFC1C7" w14:textId="2172E8DB" w:rsidR="009D26EB" w:rsidRPr="009D26EB" w:rsidRDefault="009D26EB" w:rsidP="009D26EB">
            <w:pPr>
              <w:spacing w:line="256" w:lineRule="auto"/>
              <w:jc w:val="right"/>
              <w:rPr>
                <w:rFonts w:cs="Arial"/>
                <w:sz w:val="20"/>
                <w:szCs w:val="20"/>
                <w:lang w:val="es-ES" w:eastAsia="en-US"/>
              </w:rPr>
            </w:pPr>
            <w:r w:rsidRPr="009D26EB">
              <w:rPr>
                <w:rFonts w:cs="Arial"/>
                <w:color w:val="000000"/>
                <w:sz w:val="20"/>
                <w:szCs w:val="20"/>
              </w:rPr>
              <w:t xml:space="preserve">154,654,542 </w:t>
            </w:r>
          </w:p>
        </w:tc>
      </w:tr>
      <w:tr w:rsidR="009D26EB" w:rsidRPr="009D26EB" w14:paraId="7AF73AAA" w14:textId="77777777" w:rsidTr="0051429E">
        <w:trPr>
          <w:trHeight w:val="20"/>
          <w:jc w:val="center"/>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0C422B34" w14:textId="77777777" w:rsidR="009D26EB" w:rsidRPr="009D26EB" w:rsidRDefault="009D26EB" w:rsidP="009D26EB">
            <w:pPr>
              <w:spacing w:line="256" w:lineRule="auto"/>
              <w:jc w:val="center"/>
              <w:rPr>
                <w:rFonts w:cs="Arial"/>
                <w:sz w:val="20"/>
                <w:szCs w:val="20"/>
                <w:lang w:val="es-ES" w:eastAsia="en-US"/>
              </w:rPr>
            </w:pPr>
            <w:r w:rsidRPr="009D26EB">
              <w:rPr>
                <w:rFonts w:cs="Arial"/>
                <w:sz w:val="20"/>
                <w:szCs w:val="20"/>
                <w:lang w:val="es-ES" w:eastAsia="en-US"/>
              </w:rPr>
              <w:t>060000</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61802648" w14:textId="77777777" w:rsidR="009D26EB" w:rsidRPr="009D26EB" w:rsidRDefault="009D26EB" w:rsidP="009D26EB">
            <w:pPr>
              <w:spacing w:line="256" w:lineRule="auto"/>
              <w:rPr>
                <w:rFonts w:cs="Arial"/>
                <w:sz w:val="20"/>
                <w:szCs w:val="20"/>
                <w:lang w:val="es-ES" w:eastAsia="en-US"/>
              </w:rPr>
            </w:pPr>
            <w:r w:rsidRPr="009D26EB">
              <w:rPr>
                <w:rFonts w:cs="Arial"/>
                <w:sz w:val="20"/>
                <w:szCs w:val="20"/>
                <w:lang w:val="es-ES" w:eastAsia="en-US"/>
              </w:rPr>
              <w:t>Inversión Pública.</w:t>
            </w:r>
          </w:p>
        </w:tc>
        <w:tc>
          <w:tcPr>
            <w:tcW w:w="1950" w:type="dxa"/>
            <w:tcBorders>
              <w:top w:val="single" w:sz="4" w:space="0" w:color="auto"/>
              <w:left w:val="single" w:sz="4" w:space="0" w:color="auto"/>
              <w:bottom w:val="single" w:sz="4" w:space="0" w:color="auto"/>
              <w:right w:val="single" w:sz="4" w:space="0" w:color="auto"/>
            </w:tcBorders>
            <w:noWrap/>
            <w:vAlign w:val="bottom"/>
            <w:hideMark/>
          </w:tcPr>
          <w:p w14:paraId="0C49816F" w14:textId="505BEC81" w:rsidR="009D26EB" w:rsidRPr="009D26EB" w:rsidRDefault="009D26EB" w:rsidP="009D26EB">
            <w:pPr>
              <w:spacing w:line="256" w:lineRule="auto"/>
              <w:jc w:val="right"/>
              <w:rPr>
                <w:rFonts w:cs="Arial"/>
                <w:sz w:val="20"/>
                <w:szCs w:val="20"/>
                <w:lang w:val="es-ES" w:eastAsia="en-US"/>
              </w:rPr>
            </w:pPr>
            <w:r w:rsidRPr="009D26EB">
              <w:rPr>
                <w:rFonts w:cs="Arial"/>
                <w:color w:val="000000"/>
                <w:sz w:val="20"/>
                <w:szCs w:val="20"/>
              </w:rPr>
              <w:t xml:space="preserve">401,328,829 </w:t>
            </w:r>
          </w:p>
        </w:tc>
      </w:tr>
      <w:tr w:rsidR="009D26EB" w:rsidRPr="009D26EB" w14:paraId="17F6E292" w14:textId="77777777" w:rsidTr="0051429E">
        <w:trPr>
          <w:trHeight w:val="20"/>
          <w:jc w:val="center"/>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79928690" w14:textId="77777777" w:rsidR="009D26EB" w:rsidRPr="009D26EB" w:rsidRDefault="009D26EB" w:rsidP="009D26EB">
            <w:pPr>
              <w:spacing w:line="256" w:lineRule="auto"/>
              <w:jc w:val="center"/>
              <w:rPr>
                <w:rFonts w:cs="Arial"/>
                <w:sz w:val="20"/>
                <w:szCs w:val="20"/>
                <w:lang w:val="es-ES" w:eastAsia="en-US"/>
              </w:rPr>
            </w:pPr>
            <w:r w:rsidRPr="009D26EB">
              <w:rPr>
                <w:rFonts w:cs="Arial"/>
                <w:sz w:val="20"/>
                <w:szCs w:val="20"/>
                <w:lang w:val="es-ES" w:eastAsia="en-US"/>
              </w:rPr>
              <w:t>070000</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0541376E" w14:textId="77777777" w:rsidR="009D26EB" w:rsidRPr="009D26EB" w:rsidRDefault="009D26EB" w:rsidP="009D26EB">
            <w:pPr>
              <w:spacing w:line="256" w:lineRule="auto"/>
              <w:rPr>
                <w:rFonts w:cs="Arial"/>
                <w:sz w:val="20"/>
                <w:szCs w:val="20"/>
                <w:lang w:val="es-ES" w:eastAsia="en-US"/>
              </w:rPr>
            </w:pPr>
            <w:r w:rsidRPr="009D26EB">
              <w:rPr>
                <w:rFonts w:cs="Arial"/>
                <w:sz w:val="20"/>
                <w:szCs w:val="20"/>
                <w:lang w:val="es-ES" w:eastAsia="en-US"/>
              </w:rPr>
              <w:t>Inversiones Financieras y Otras Provisiones.</w:t>
            </w:r>
          </w:p>
        </w:tc>
        <w:tc>
          <w:tcPr>
            <w:tcW w:w="1950" w:type="dxa"/>
            <w:tcBorders>
              <w:top w:val="single" w:sz="4" w:space="0" w:color="auto"/>
              <w:left w:val="single" w:sz="4" w:space="0" w:color="auto"/>
              <w:bottom w:val="single" w:sz="4" w:space="0" w:color="auto"/>
              <w:right w:val="single" w:sz="4" w:space="0" w:color="auto"/>
            </w:tcBorders>
            <w:noWrap/>
            <w:vAlign w:val="bottom"/>
            <w:hideMark/>
          </w:tcPr>
          <w:p w14:paraId="31F826D7" w14:textId="718CED9F" w:rsidR="009D26EB" w:rsidRPr="009D26EB" w:rsidRDefault="009D26EB" w:rsidP="009D26EB">
            <w:pPr>
              <w:spacing w:line="256" w:lineRule="auto"/>
              <w:jc w:val="right"/>
              <w:rPr>
                <w:rFonts w:cs="Arial"/>
                <w:sz w:val="20"/>
                <w:szCs w:val="20"/>
                <w:lang w:val="es-ES" w:eastAsia="en-US"/>
              </w:rPr>
            </w:pPr>
            <w:r w:rsidRPr="009D26EB">
              <w:rPr>
                <w:rFonts w:cs="Arial"/>
                <w:color w:val="000000"/>
                <w:sz w:val="20"/>
                <w:szCs w:val="20"/>
              </w:rPr>
              <w:t xml:space="preserve">4,800,000 </w:t>
            </w:r>
          </w:p>
        </w:tc>
      </w:tr>
      <w:tr w:rsidR="009D26EB" w:rsidRPr="009D26EB" w14:paraId="1438F330" w14:textId="77777777" w:rsidTr="0051429E">
        <w:trPr>
          <w:trHeight w:val="20"/>
          <w:jc w:val="center"/>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755EB40E" w14:textId="77777777" w:rsidR="009D26EB" w:rsidRPr="009D26EB" w:rsidRDefault="009D26EB" w:rsidP="009D26EB">
            <w:pPr>
              <w:spacing w:line="256" w:lineRule="auto"/>
              <w:jc w:val="center"/>
              <w:rPr>
                <w:rFonts w:cs="Arial"/>
                <w:sz w:val="20"/>
                <w:szCs w:val="20"/>
                <w:lang w:val="es-ES" w:eastAsia="en-US"/>
              </w:rPr>
            </w:pPr>
            <w:r w:rsidRPr="009D26EB">
              <w:rPr>
                <w:rFonts w:cs="Arial"/>
                <w:sz w:val="20"/>
                <w:szCs w:val="20"/>
                <w:lang w:val="es-ES" w:eastAsia="en-US"/>
              </w:rPr>
              <w:t>080000</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4D2E860E" w14:textId="77777777" w:rsidR="009D26EB" w:rsidRPr="009D26EB" w:rsidRDefault="009D26EB" w:rsidP="009D26EB">
            <w:pPr>
              <w:spacing w:line="256" w:lineRule="auto"/>
              <w:rPr>
                <w:rFonts w:cs="Arial"/>
                <w:sz w:val="20"/>
                <w:szCs w:val="20"/>
                <w:lang w:val="es-ES" w:eastAsia="en-US"/>
              </w:rPr>
            </w:pPr>
            <w:r w:rsidRPr="009D26EB">
              <w:rPr>
                <w:rFonts w:cs="Arial"/>
                <w:sz w:val="20"/>
                <w:szCs w:val="20"/>
                <w:lang w:val="es-ES" w:eastAsia="en-US"/>
              </w:rPr>
              <w:t>Participaciones y Aportaciones.</w:t>
            </w:r>
          </w:p>
        </w:tc>
        <w:tc>
          <w:tcPr>
            <w:tcW w:w="1950" w:type="dxa"/>
            <w:tcBorders>
              <w:top w:val="single" w:sz="4" w:space="0" w:color="auto"/>
              <w:left w:val="single" w:sz="4" w:space="0" w:color="auto"/>
              <w:bottom w:val="single" w:sz="4" w:space="0" w:color="auto"/>
              <w:right w:val="single" w:sz="4" w:space="0" w:color="auto"/>
            </w:tcBorders>
            <w:noWrap/>
            <w:vAlign w:val="bottom"/>
            <w:hideMark/>
          </w:tcPr>
          <w:p w14:paraId="0CD9A26D" w14:textId="4684E805" w:rsidR="009D26EB" w:rsidRPr="009D26EB" w:rsidRDefault="009D26EB" w:rsidP="009D26EB">
            <w:pPr>
              <w:spacing w:line="256" w:lineRule="auto"/>
              <w:jc w:val="right"/>
              <w:rPr>
                <w:rFonts w:cs="Arial"/>
                <w:sz w:val="20"/>
                <w:szCs w:val="20"/>
                <w:lang w:val="es-ES" w:eastAsia="en-US"/>
              </w:rPr>
            </w:pPr>
            <w:r w:rsidRPr="009D26EB">
              <w:rPr>
                <w:rFonts w:cs="Arial"/>
                <w:color w:val="000000"/>
                <w:sz w:val="20"/>
                <w:szCs w:val="20"/>
              </w:rPr>
              <w:t xml:space="preserve">3,334,416,398 </w:t>
            </w:r>
          </w:p>
        </w:tc>
      </w:tr>
      <w:tr w:rsidR="009D26EB" w:rsidRPr="009D26EB" w14:paraId="4B17368B" w14:textId="77777777" w:rsidTr="0051429E">
        <w:trPr>
          <w:trHeight w:val="20"/>
          <w:jc w:val="center"/>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67D625C4" w14:textId="77777777" w:rsidR="009D26EB" w:rsidRPr="009D26EB" w:rsidRDefault="009D26EB" w:rsidP="009D26EB">
            <w:pPr>
              <w:spacing w:line="256" w:lineRule="auto"/>
              <w:jc w:val="center"/>
              <w:rPr>
                <w:rFonts w:cs="Arial"/>
                <w:sz w:val="20"/>
                <w:szCs w:val="20"/>
                <w:lang w:val="es-ES" w:eastAsia="en-US"/>
              </w:rPr>
            </w:pPr>
            <w:r w:rsidRPr="009D26EB">
              <w:rPr>
                <w:rFonts w:cs="Arial"/>
                <w:sz w:val="20"/>
                <w:szCs w:val="20"/>
                <w:lang w:val="es-ES" w:eastAsia="en-US"/>
              </w:rPr>
              <w:t>090000</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1D73CC49" w14:textId="77777777" w:rsidR="009D26EB" w:rsidRPr="009D26EB" w:rsidRDefault="009D26EB" w:rsidP="009D26EB">
            <w:pPr>
              <w:spacing w:line="256" w:lineRule="auto"/>
              <w:rPr>
                <w:rFonts w:cs="Arial"/>
                <w:sz w:val="20"/>
                <w:szCs w:val="20"/>
                <w:lang w:val="es-ES" w:eastAsia="en-US"/>
              </w:rPr>
            </w:pPr>
            <w:r w:rsidRPr="009D26EB">
              <w:rPr>
                <w:rFonts w:cs="Arial"/>
                <w:sz w:val="20"/>
                <w:szCs w:val="20"/>
                <w:lang w:val="es-ES" w:eastAsia="en-US"/>
              </w:rPr>
              <w:t>Deuda Pública.</w:t>
            </w:r>
          </w:p>
        </w:tc>
        <w:tc>
          <w:tcPr>
            <w:tcW w:w="1950" w:type="dxa"/>
            <w:tcBorders>
              <w:top w:val="single" w:sz="4" w:space="0" w:color="auto"/>
              <w:left w:val="single" w:sz="4" w:space="0" w:color="auto"/>
              <w:bottom w:val="single" w:sz="4" w:space="0" w:color="auto"/>
              <w:right w:val="single" w:sz="4" w:space="0" w:color="auto"/>
            </w:tcBorders>
            <w:noWrap/>
            <w:vAlign w:val="bottom"/>
            <w:hideMark/>
          </w:tcPr>
          <w:p w14:paraId="7E70DE90" w14:textId="73C5DA03" w:rsidR="009D26EB" w:rsidRPr="009D26EB" w:rsidRDefault="009D26EB" w:rsidP="009D26EB">
            <w:pPr>
              <w:spacing w:line="256" w:lineRule="auto"/>
              <w:jc w:val="right"/>
              <w:rPr>
                <w:rFonts w:cs="Arial"/>
                <w:sz w:val="20"/>
                <w:szCs w:val="20"/>
                <w:lang w:val="es-ES" w:eastAsia="en-US"/>
              </w:rPr>
            </w:pPr>
            <w:r w:rsidRPr="009D26EB">
              <w:rPr>
                <w:rFonts w:cs="Arial"/>
                <w:color w:val="000000"/>
                <w:sz w:val="20"/>
                <w:szCs w:val="20"/>
              </w:rPr>
              <w:t xml:space="preserve">923,391,558 </w:t>
            </w:r>
          </w:p>
        </w:tc>
      </w:tr>
      <w:tr w:rsidR="009D26EB" w:rsidRPr="009D26EB" w14:paraId="60A23A4F" w14:textId="77777777" w:rsidTr="0051429E">
        <w:trPr>
          <w:trHeight w:val="20"/>
          <w:jc w:val="center"/>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549452A1" w14:textId="77777777" w:rsidR="009D26EB" w:rsidRPr="009D26EB" w:rsidRDefault="009D26EB" w:rsidP="009D26EB">
            <w:pPr>
              <w:rPr>
                <w:rFonts w:cs="Arial"/>
                <w:sz w:val="20"/>
                <w:szCs w:val="20"/>
                <w:lang w:val="es-ES" w:eastAsia="en-US"/>
              </w:rPr>
            </w:pP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5932C60D" w14:textId="77777777" w:rsidR="009D26EB" w:rsidRPr="009D26EB" w:rsidRDefault="009D26EB" w:rsidP="009D26EB">
            <w:pPr>
              <w:spacing w:line="256" w:lineRule="auto"/>
              <w:jc w:val="center"/>
              <w:rPr>
                <w:rFonts w:cs="Arial"/>
                <w:b/>
                <w:bCs/>
                <w:sz w:val="20"/>
                <w:szCs w:val="20"/>
                <w:lang w:val="es-ES" w:eastAsia="en-US"/>
              </w:rPr>
            </w:pPr>
            <w:r w:rsidRPr="009D26EB">
              <w:rPr>
                <w:rFonts w:cs="Arial"/>
                <w:b/>
                <w:bCs/>
                <w:sz w:val="20"/>
                <w:szCs w:val="20"/>
                <w:lang w:val="es-ES" w:eastAsia="en-US"/>
              </w:rPr>
              <w:t>Total</w:t>
            </w:r>
          </w:p>
        </w:tc>
        <w:tc>
          <w:tcPr>
            <w:tcW w:w="1950" w:type="dxa"/>
            <w:tcBorders>
              <w:top w:val="single" w:sz="4" w:space="0" w:color="auto"/>
              <w:left w:val="single" w:sz="4" w:space="0" w:color="auto"/>
              <w:bottom w:val="single" w:sz="4" w:space="0" w:color="auto"/>
              <w:right w:val="single" w:sz="4" w:space="0" w:color="auto"/>
            </w:tcBorders>
            <w:noWrap/>
            <w:vAlign w:val="bottom"/>
            <w:hideMark/>
          </w:tcPr>
          <w:p w14:paraId="0BE4B937" w14:textId="084988E6" w:rsidR="009D26EB" w:rsidRPr="009D26EB" w:rsidRDefault="009D26EB" w:rsidP="009D26EB">
            <w:pPr>
              <w:spacing w:line="256" w:lineRule="auto"/>
              <w:jc w:val="right"/>
              <w:rPr>
                <w:rFonts w:cs="Arial"/>
                <w:b/>
                <w:bCs/>
                <w:sz w:val="20"/>
                <w:szCs w:val="20"/>
                <w:lang w:val="es-ES" w:eastAsia="en-US"/>
              </w:rPr>
            </w:pPr>
            <w:r w:rsidRPr="009D26EB">
              <w:rPr>
                <w:rFonts w:cs="Arial"/>
                <w:b/>
                <w:bCs/>
                <w:color w:val="000000"/>
                <w:sz w:val="20"/>
                <w:szCs w:val="20"/>
              </w:rPr>
              <w:t xml:space="preserve">23,004,130,279 </w:t>
            </w:r>
          </w:p>
        </w:tc>
      </w:tr>
    </w:tbl>
    <w:p w14:paraId="0CB7BCC4" w14:textId="77777777" w:rsidR="00BF5974" w:rsidRDefault="00BF5974" w:rsidP="00BF5974">
      <w:pPr>
        <w:rPr>
          <w:rFonts w:cs="Arial"/>
          <w:lang w:val="es-ES"/>
        </w:rPr>
      </w:pPr>
      <w:bookmarkStart w:id="27" w:name="_Hlk180921595"/>
      <w:r>
        <w:rPr>
          <w:rFonts w:cs="Arial"/>
          <w:lang w:val="es-ES"/>
        </w:rPr>
        <w:lastRenderedPageBreak/>
        <w:t xml:space="preserve">En el </w:t>
      </w:r>
      <w:r>
        <w:rPr>
          <w:rFonts w:cs="Arial"/>
          <w:b/>
          <w:lang w:val="es-ES"/>
        </w:rPr>
        <w:t>Anexo 1</w:t>
      </w:r>
      <w:r>
        <w:rPr>
          <w:rFonts w:cs="Arial"/>
          <w:lang w:val="es-ES"/>
        </w:rPr>
        <w:t xml:space="preserve"> del presente Decreto, se integra de la siguiente manera: </w:t>
      </w:r>
    </w:p>
    <w:p w14:paraId="7FD1699D" w14:textId="77777777" w:rsidR="00BF5974" w:rsidRDefault="00BF5974" w:rsidP="00BF5974">
      <w:pPr>
        <w:tabs>
          <w:tab w:val="left" w:pos="1276"/>
        </w:tabs>
        <w:ind w:left="1276" w:hanging="1276"/>
        <w:rPr>
          <w:rFonts w:cs="Arial"/>
          <w:bCs/>
          <w:lang w:val="es-ES"/>
        </w:rPr>
      </w:pPr>
    </w:p>
    <w:p w14:paraId="1FCDB801" w14:textId="77777777" w:rsidR="00BF5974" w:rsidRDefault="00BF5974" w:rsidP="00BF5974">
      <w:pPr>
        <w:tabs>
          <w:tab w:val="left" w:pos="1276"/>
        </w:tabs>
        <w:ind w:left="1276" w:hanging="1276"/>
        <w:rPr>
          <w:rFonts w:cs="Arial"/>
          <w:bCs/>
          <w:lang w:val="es-ES"/>
        </w:rPr>
      </w:pPr>
      <w:r w:rsidRPr="00105286">
        <w:rPr>
          <w:rFonts w:cs="Arial"/>
          <w:b/>
          <w:lang w:val="es-ES"/>
        </w:rPr>
        <w:t>Anexo 1.1</w:t>
      </w:r>
      <w:r>
        <w:rPr>
          <w:rFonts w:cs="Arial"/>
          <w:bCs/>
          <w:lang w:val="es-ES"/>
        </w:rPr>
        <w:tab/>
        <w:t>Clasificación por Objeto del Gasto, a Cuarto Nivel.</w:t>
      </w:r>
    </w:p>
    <w:p w14:paraId="3218BD87" w14:textId="77777777" w:rsidR="00BF5974" w:rsidRDefault="00BF5974" w:rsidP="00BF5974">
      <w:pPr>
        <w:tabs>
          <w:tab w:val="left" w:pos="1276"/>
        </w:tabs>
        <w:ind w:left="1276" w:hanging="1276"/>
        <w:rPr>
          <w:rFonts w:cs="Arial"/>
          <w:bCs/>
          <w:lang w:val="es-ES"/>
        </w:rPr>
      </w:pPr>
      <w:r w:rsidRPr="00105286">
        <w:rPr>
          <w:rFonts w:cs="Arial"/>
          <w:b/>
          <w:lang w:val="es-ES"/>
        </w:rPr>
        <w:t>Anexo 1.2</w:t>
      </w:r>
      <w:r>
        <w:rPr>
          <w:rFonts w:cs="Arial"/>
          <w:bCs/>
          <w:lang w:val="es-ES"/>
        </w:rPr>
        <w:tab/>
        <w:t xml:space="preserve">Gastos en Comunicación Social (Capítulo, Concepto, Partida Genérica y Partida Específica). </w:t>
      </w:r>
    </w:p>
    <w:p w14:paraId="7A2BC299" w14:textId="77777777" w:rsidR="00BF5974" w:rsidRDefault="00BF5974" w:rsidP="00BF5974">
      <w:pPr>
        <w:tabs>
          <w:tab w:val="left" w:pos="1276"/>
        </w:tabs>
        <w:ind w:left="1276" w:hanging="1276"/>
        <w:rPr>
          <w:rFonts w:cs="Arial"/>
          <w:bCs/>
          <w:lang w:val="es-ES"/>
        </w:rPr>
      </w:pPr>
      <w:r w:rsidRPr="00105286">
        <w:rPr>
          <w:rFonts w:cs="Arial"/>
          <w:b/>
          <w:lang w:val="es-ES"/>
        </w:rPr>
        <w:t>Anexo 1.3</w:t>
      </w:r>
      <w:r>
        <w:rPr>
          <w:rFonts w:cs="Arial"/>
          <w:bCs/>
          <w:lang w:val="es-ES"/>
        </w:rPr>
        <w:tab/>
        <w:t>Gastos en Comunicación Social (Clasificación Administrativa y Clasificación por Objeto del Gasto).</w:t>
      </w:r>
    </w:p>
    <w:p w14:paraId="7BD5709F" w14:textId="77777777" w:rsidR="00BF5974" w:rsidRDefault="00BF5974" w:rsidP="00BF5974">
      <w:pPr>
        <w:tabs>
          <w:tab w:val="left" w:pos="1276"/>
        </w:tabs>
        <w:ind w:left="1276" w:hanging="1276"/>
        <w:rPr>
          <w:rFonts w:cs="Arial"/>
          <w:bCs/>
          <w:lang w:val="es-ES"/>
        </w:rPr>
      </w:pPr>
      <w:r w:rsidRPr="00105286">
        <w:rPr>
          <w:rFonts w:cs="Arial"/>
          <w:b/>
          <w:lang w:val="es-ES"/>
        </w:rPr>
        <w:t>Anexo 1.4</w:t>
      </w:r>
      <w:r>
        <w:rPr>
          <w:rFonts w:cs="Arial"/>
          <w:bCs/>
          <w:lang w:val="es-ES"/>
        </w:rPr>
        <w:tab/>
        <w:t xml:space="preserve">Subsidios y Subvenciones. </w:t>
      </w:r>
    </w:p>
    <w:p w14:paraId="464E8C81" w14:textId="77777777" w:rsidR="00BF5974" w:rsidRDefault="00BF5974" w:rsidP="00BF5974">
      <w:pPr>
        <w:tabs>
          <w:tab w:val="left" w:pos="1276"/>
        </w:tabs>
        <w:ind w:left="1276" w:hanging="1276"/>
        <w:rPr>
          <w:rFonts w:cs="Arial"/>
          <w:bCs/>
          <w:lang w:val="es-ES"/>
        </w:rPr>
      </w:pPr>
      <w:r w:rsidRPr="00105286">
        <w:rPr>
          <w:rFonts w:cs="Arial"/>
          <w:b/>
          <w:lang w:val="es-ES"/>
        </w:rPr>
        <w:t>Anexo 1.5</w:t>
      </w:r>
      <w:r>
        <w:rPr>
          <w:rFonts w:cs="Arial"/>
          <w:bCs/>
          <w:lang w:val="es-ES"/>
        </w:rPr>
        <w:tab/>
        <w:t xml:space="preserve">Ayudas Sociales. </w:t>
      </w:r>
    </w:p>
    <w:bookmarkEnd w:id="27"/>
    <w:p w14:paraId="4E711DBC" w14:textId="77777777" w:rsidR="00BF5974" w:rsidRDefault="00BF5974" w:rsidP="00BF5974">
      <w:pPr>
        <w:tabs>
          <w:tab w:val="left" w:pos="1276"/>
        </w:tabs>
        <w:ind w:left="1276" w:hanging="1276"/>
        <w:rPr>
          <w:rFonts w:cs="Arial"/>
          <w:bCs/>
          <w:lang w:val="es-ES"/>
        </w:rPr>
      </w:pPr>
    </w:p>
    <w:p w14:paraId="648E8C36" w14:textId="77777777" w:rsidR="00BF5974" w:rsidRDefault="00BF5974" w:rsidP="00BF5974">
      <w:pPr>
        <w:rPr>
          <w:rFonts w:cs="Arial"/>
          <w:lang w:val="es-ES"/>
        </w:rPr>
      </w:pPr>
      <w:r>
        <w:rPr>
          <w:rFonts w:cs="Arial"/>
          <w:b/>
          <w:lang w:val="es-ES"/>
        </w:rPr>
        <w:t>Artículo 16</w:t>
      </w:r>
      <w:r>
        <w:rPr>
          <w:rFonts w:cs="Arial"/>
          <w:lang w:val="es-ES"/>
        </w:rPr>
        <w:t xml:space="preserve">. Las erogaciones previstas en el Presupuesto de Egresos del Estado de Colima para el Ejercicio Fiscal 2025, de acuerdo con la </w:t>
      </w:r>
      <w:r>
        <w:rPr>
          <w:rFonts w:cs="Arial"/>
          <w:bCs/>
          <w:lang w:val="es-ES"/>
        </w:rPr>
        <w:t>Clasificación Administrativa</w:t>
      </w:r>
      <w:r>
        <w:rPr>
          <w:rFonts w:cs="Arial"/>
          <w:b/>
          <w:color w:val="FF0000"/>
          <w:lang w:val="es-ES"/>
        </w:rPr>
        <w:t xml:space="preserve"> </w:t>
      </w:r>
      <w:r>
        <w:rPr>
          <w:rFonts w:cs="Arial"/>
          <w:lang w:val="es-ES"/>
        </w:rPr>
        <w:t>se distribuyen de la siguiente manera:</w:t>
      </w:r>
    </w:p>
    <w:p w14:paraId="4BA5E86E" w14:textId="77777777" w:rsidR="00BF5974" w:rsidRDefault="00BF5974" w:rsidP="00BF5974">
      <w:pPr>
        <w:rPr>
          <w:rFonts w:cs="Arial"/>
          <w:lang w:val="es-ES"/>
        </w:rPr>
      </w:pPr>
    </w:p>
    <w:p w14:paraId="36D2A49F" w14:textId="729A0DFE" w:rsidR="00BF5974" w:rsidRDefault="00BF5974" w:rsidP="00BF5974">
      <w:pPr>
        <w:rPr>
          <w:rFonts w:cs="Arial"/>
          <w:lang w:val="es-ES"/>
        </w:rPr>
      </w:pPr>
      <w:r>
        <w:rPr>
          <w:rFonts w:cs="Arial"/>
          <w:lang w:val="es-ES"/>
        </w:rPr>
        <w:t>I. Clasificación Administrativa a Nivel Agregado.</w:t>
      </w:r>
    </w:p>
    <w:p w14:paraId="1B17CFEC" w14:textId="77777777" w:rsidR="00105286" w:rsidRDefault="00105286" w:rsidP="00BF5974">
      <w:pPr>
        <w:rPr>
          <w:rFonts w:cs="Arial"/>
          <w:lang w:val="es-ES"/>
        </w:rPr>
      </w:pPr>
    </w:p>
    <w:p w14:paraId="4A022760" w14:textId="77777777" w:rsidR="00BF5974" w:rsidRDefault="00BF5974" w:rsidP="00BF5974">
      <w:pPr>
        <w:keepNext/>
        <w:keepLines/>
        <w:outlineLvl w:val="2"/>
        <w:rPr>
          <w:rFonts w:eastAsia="Times New Roman" w:cs="Arial"/>
          <w:b/>
          <w:szCs w:val="24"/>
          <w:lang w:val="es-ES" w:eastAsia="en-US"/>
        </w:rPr>
      </w:pP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5958"/>
        <w:gridCol w:w="1713"/>
      </w:tblGrid>
      <w:tr w:rsidR="00BF5974" w14:paraId="4BA9FB0E" w14:textId="77777777" w:rsidTr="00BF5974">
        <w:trPr>
          <w:trHeight w:val="20"/>
          <w:tblHeader/>
          <w:jc w:val="center"/>
        </w:trPr>
        <w:tc>
          <w:tcPr>
            <w:tcW w:w="8517" w:type="dxa"/>
            <w:gridSpan w:val="3"/>
            <w:tcBorders>
              <w:top w:val="nil"/>
              <w:left w:val="nil"/>
              <w:bottom w:val="single" w:sz="4" w:space="0" w:color="auto"/>
              <w:right w:val="nil"/>
            </w:tcBorders>
            <w:vAlign w:val="center"/>
            <w:hideMark/>
          </w:tcPr>
          <w:p w14:paraId="4FAD6FE1" w14:textId="77777777" w:rsidR="00BF5974" w:rsidRDefault="00BF5974">
            <w:pPr>
              <w:spacing w:line="256" w:lineRule="auto"/>
              <w:jc w:val="center"/>
              <w:rPr>
                <w:rFonts w:eastAsia="Times New Roman" w:cs="Arial"/>
                <w:b/>
                <w:bCs/>
                <w:sz w:val="20"/>
                <w:szCs w:val="20"/>
                <w:lang w:val="es-ES" w:eastAsia="en-US"/>
              </w:rPr>
            </w:pPr>
            <w:bookmarkStart w:id="28" w:name="_Toc22983151"/>
            <w:bookmarkStart w:id="29" w:name="_Toc22021874"/>
            <w:bookmarkStart w:id="30" w:name="_Toc526757440"/>
            <w:bookmarkStart w:id="31" w:name="_Toc522869252"/>
            <w:r>
              <w:rPr>
                <w:rFonts w:eastAsia="Times New Roman" w:cs="Arial"/>
                <w:b/>
                <w:sz w:val="20"/>
                <w:szCs w:val="20"/>
                <w:lang w:val="es-ES" w:eastAsia="en-US"/>
              </w:rPr>
              <w:t>Tabla 5. Clasificación Administrativa a Nivel Agregado</w:t>
            </w:r>
            <w:bookmarkEnd w:id="28"/>
            <w:bookmarkEnd w:id="29"/>
            <w:bookmarkEnd w:id="30"/>
            <w:bookmarkEnd w:id="31"/>
          </w:p>
        </w:tc>
      </w:tr>
      <w:tr w:rsidR="00BF5974" w14:paraId="41FBDA3A" w14:textId="77777777" w:rsidTr="00BF5974">
        <w:trPr>
          <w:trHeight w:val="20"/>
          <w:tblHeade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3112CA4" w14:textId="77777777" w:rsidR="00BF5974" w:rsidRDefault="00BF5974">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Clave</w:t>
            </w:r>
          </w:p>
        </w:tc>
        <w:tc>
          <w:tcPr>
            <w:tcW w:w="5958" w:type="dxa"/>
            <w:tcBorders>
              <w:top w:val="single" w:sz="4" w:space="0" w:color="auto"/>
              <w:left w:val="single" w:sz="4" w:space="0" w:color="auto"/>
              <w:bottom w:val="single" w:sz="4" w:space="0" w:color="auto"/>
              <w:right w:val="single" w:sz="4" w:space="0" w:color="auto"/>
            </w:tcBorders>
            <w:vAlign w:val="center"/>
            <w:hideMark/>
          </w:tcPr>
          <w:p w14:paraId="54EA6046" w14:textId="77777777" w:rsidR="00BF5974" w:rsidRDefault="00BF5974">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Concepto</w:t>
            </w:r>
          </w:p>
        </w:tc>
        <w:tc>
          <w:tcPr>
            <w:tcW w:w="1713" w:type="dxa"/>
            <w:tcBorders>
              <w:top w:val="single" w:sz="4" w:space="0" w:color="auto"/>
              <w:left w:val="single" w:sz="4" w:space="0" w:color="auto"/>
              <w:bottom w:val="single" w:sz="4" w:space="0" w:color="auto"/>
              <w:right w:val="single" w:sz="4" w:space="0" w:color="auto"/>
            </w:tcBorders>
            <w:vAlign w:val="center"/>
            <w:hideMark/>
          </w:tcPr>
          <w:p w14:paraId="3E7C4F52" w14:textId="77777777" w:rsidR="00BF5974" w:rsidRDefault="00BF5974">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Asignación Presupuestal</w:t>
            </w:r>
          </w:p>
        </w:tc>
      </w:tr>
      <w:tr w:rsidR="009D26EB" w:rsidRPr="009D26EB" w14:paraId="4D1490B9" w14:textId="77777777" w:rsidTr="0051429E">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5EFA9F3" w14:textId="77777777" w:rsidR="009D26EB" w:rsidRDefault="009D26EB" w:rsidP="009D26EB">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20000</w:t>
            </w:r>
          </w:p>
        </w:tc>
        <w:tc>
          <w:tcPr>
            <w:tcW w:w="5958" w:type="dxa"/>
            <w:tcBorders>
              <w:top w:val="single" w:sz="4" w:space="0" w:color="auto"/>
              <w:left w:val="single" w:sz="4" w:space="0" w:color="auto"/>
              <w:bottom w:val="single" w:sz="4" w:space="0" w:color="auto"/>
              <w:right w:val="single" w:sz="4" w:space="0" w:color="auto"/>
            </w:tcBorders>
            <w:vAlign w:val="center"/>
            <w:hideMark/>
          </w:tcPr>
          <w:p w14:paraId="0657C90A" w14:textId="77777777" w:rsidR="009D26EB" w:rsidRDefault="009D26EB" w:rsidP="009D26EB">
            <w:pPr>
              <w:spacing w:line="256" w:lineRule="auto"/>
              <w:rPr>
                <w:rFonts w:eastAsia="Times New Roman" w:cs="Arial"/>
                <w:b/>
                <w:bCs/>
                <w:sz w:val="18"/>
                <w:szCs w:val="18"/>
                <w:lang w:val="es-ES" w:eastAsia="en-US"/>
              </w:rPr>
            </w:pPr>
            <w:r>
              <w:rPr>
                <w:rFonts w:eastAsia="Times New Roman" w:cs="Arial"/>
                <w:b/>
                <w:bCs/>
                <w:sz w:val="18"/>
                <w:szCs w:val="18"/>
                <w:lang w:val="es-ES" w:eastAsia="en-US"/>
              </w:rPr>
              <w:t>Sector Público de las Entidades Federativas.</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70C83E8D" w14:textId="2C04B6AF" w:rsidR="009D26EB" w:rsidRPr="009D26EB" w:rsidRDefault="009D26EB" w:rsidP="009D26EB">
            <w:pPr>
              <w:spacing w:line="256" w:lineRule="auto"/>
              <w:jc w:val="right"/>
              <w:rPr>
                <w:rFonts w:cs="Arial"/>
                <w:b/>
                <w:bCs/>
                <w:color w:val="000000"/>
                <w:sz w:val="18"/>
                <w:szCs w:val="18"/>
              </w:rPr>
            </w:pPr>
            <w:r w:rsidRPr="009D26EB">
              <w:rPr>
                <w:rFonts w:cs="Arial"/>
                <w:b/>
                <w:bCs/>
                <w:color w:val="000000"/>
                <w:sz w:val="18"/>
                <w:szCs w:val="18"/>
              </w:rPr>
              <w:t xml:space="preserve">23,004,130,279 </w:t>
            </w:r>
          </w:p>
        </w:tc>
      </w:tr>
      <w:tr w:rsidR="009D26EB" w14:paraId="614EF0E1" w14:textId="77777777" w:rsidTr="0051429E">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900D975" w14:textId="77777777" w:rsidR="009D26EB" w:rsidRDefault="009D26EB" w:rsidP="009D26EB">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21000</w:t>
            </w:r>
          </w:p>
        </w:tc>
        <w:tc>
          <w:tcPr>
            <w:tcW w:w="5958" w:type="dxa"/>
            <w:tcBorders>
              <w:top w:val="single" w:sz="4" w:space="0" w:color="auto"/>
              <w:left w:val="single" w:sz="4" w:space="0" w:color="auto"/>
              <w:bottom w:val="single" w:sz="4" w:space="0" w:color="auto"/>
              <w:right w:val="single" w:sz="4" w:space="0" w:color="auto"/>
            </w:tcBorders>
            <w:vAlign w:val="center"/>
            <w:hideMark/>
          </w:tcPr>
          <w:p w14:paraId="20A32596" w14:textId="77777777" w:rsidR="009D26EB" w:rsidRDefault="009D26EB" w:rsidP="009D26EB">
            <w:pPr>
              <w:spacing w:line="256" w:lineRule="auto"/>
              <w:rPr>
                <w:rFonts w:eastAsia="Times New Roman" w:cs="Arial"/>
                <w:b/>
                <w:bCs/>
                <w:sz w:val="18"/>
                <w:szCs w:val="18"/>
                <w:lang w:val="es-ES" w:eastAsia="en-US"/>
              </w:rPr>
            </w:pPr>
            <w:r>
              <w:rPr>
                <w:rFonts w:eastAsia="Times New Roman" w:cs="Arial"/>
                <w:b/>
                <w:bCs/>
                <w:sz w:val="18"/>
                <w:szCs w:val="18"/>
                <w:lang w:val="es-ES" w:eastAsia="en-US"/>
              </w:rPr>
              <w:t>Sector Público No Financiero.</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2DE5BB4B" w14:textId="545C1CC1" w:rsidR="009D26EB" w:rsidRPr="009D26EB" w:rsidRDefault="009D26EB" w:rsidP="009D26EB">
            <w:pPr>
              <w:spacing w:line="256" w:lineRule="auto"/>
              <w:jc w:val="right"/>
              <w:rPr>
                <w:rFonts w:cs="Arial"/>
                <w:b/>
                <w:bCs/>
                <w:sz w:val="18"/>
                <w:szCs w:val="18"/>
                <w:lang w:val="es-ES" w:eastAsia="en-US"/>
              </w:rPr>
            </w:pPr>
            <w:r w:rsidRPr="009D26EB">
              <w:rPr>
                <w:rFonts w:cs="Arial"/>
                <w:b/>
                <w:bCs/>
                <w:color w:val="000000"/>
                <w:sz w:val="18"/>
                <w:szCs w:val="18"/>
              </w:rPr>
              <w:t xml:space="preserve">23,004,130,279 </w:t>
            </w:r>
          </w:p>
        </w:tc>
      </w:tr>
      <w:tr w:rsidR="009D26EB" w14:paraId="673D0B3B" w14:textId="77777777" w:rsidTr="0051429E">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C7BD044" w14:textId="77777777" w:rsidR="009D26EB" w:rsidRDefault="009D26EB" w:rsidP="009D26EB">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21100</w:t>
            </w:r>
          </w:p>
        </w:tc>
        <w:tc>
          <w:tcPr>
            <w:tcW w:w="5958" w:type="dxa"/>
            <w:tcBorders>
              <w:top w:val="single" w:sz="4" w:space="0" w:color="auto"/>
              <w:left w:val="single" w:sz="4" w:space="0" w:color="auto"/>
              <w:bottom w:val="single" w:sz="4" w:space="0" w:color="auto"/>
              <w:right w:val="single" w:sz="4" w:space="0" w:color="auto"/>
            </w:tcBorders>
            <w:vAlign w:val="center"/>
            <w:hideMark/>
          </w:tcPr>
          <w:p w14:paraId="24F18317" w14:textId="77777777" w:rsidR="009D26EB" w:rsidRDefault="009D26EB" w:rsidP="009D26EB">
            <w:pPr>
              <w:spacing w:line="256" w:lineRule="auto"/>
              <w:rPr>
                <w:rFonts w:eastAsia="Times New Roman" w:cs="Arial"/>
                <w:b/>
                <w:bCs/>
                <w:sz w:val="18"/>
                <w:szCs w:val="18"/>
                <w:lang w:val="es-ES" w:eastAsia="en-US"/>
              </w:rPr>
            </w:pPr>
            <w:r>
              <w:rPr>
                <w:rFonts w:eastAsia="Times New Roman" w:cs="Arial"/>
                <w:b/>
                <w:bCs/>
                <w:sz w:val="18"/>
                <w:szCs w:val="18"/>
                <w:lang w:val="es-ES" w:eastAsia="en-US"/>
              </w:rPr>
              <w:t>Gobierno General Estatal o del Distrito Federal.</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603EE0A5" w14:textId="6CC8037C" w:rsidR="009D26EB" w:rsidRPr="009D26EB" w:rsidRDefault="009D26EB" w:rsidP="009D26EB">
            <w:pPr>
              <w:spacing w:line="256" w:lineRule="auto"/>
              <w:jc w:val="right"/>
              <w:rPr>
                <w:rFonts w:cs="Arial"/>
                <w:b/>
                <w:bCs/>
                <w:sz w:val="18"/>
                <w:szCs w:val="18"/>
                <w:lang w:val="es-ES" w:eastAsia="en-US"/>
              </w:rPr>
            </w:pPr>
            <w:r w:rsidRPr="009D26EB">
              <w:rPr>
                <w:rFonts w:cs="Arial"/>
                <w:b/>
                <w:bCs/>
                <w:color w:val="000000"/>
                <w:sz w:val="18"/>
                <w:szCs w:val="18"/>
              </w:rPr>
              <w:t xml:space="preserve">23,004,130,279 </w:t>
            </w:r>
          </w:p>
        </w:tc>
      </w:tr>
      <w:tr w:rsidR="009D26EB" w14:paraId="26D41F7B" w14:textId="77777777" w:rsidTr="0051429E">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BE4C8DA" w14:textId="77777777" w:rsidR="009D26EB" w:rsidRDefault="009D26EB" w:rsidP="009D26EB">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21110</w:t>
            </w:r>
          </w:p>
        </w:tc>
        <w:tc>
          <w:tcPr>
            <w:tcW w:w="5958" w:type="dxa"/>
            <w:tcBorders>
              <w:top w:val="single" w:sz="4" w:space="0" w:color="auto"/>
              <w:left w:val="single" w:sz="4" w:space="0" w:color="auto"/>
              <w:bottom w:val="single" w:sz="4" w:space="0" w:color="auto"/>
              <w:right w:val="single" w:sz="4" w:space="0" w:color="auto"/>
            </w:tcBorders>
            <w:vAlign w:val="center"/>
            <w:hideMark/>
          </w:tcPr>
          <w:p w14:paraId="02FA14B0" w14:textId="77777777" w:rsidR="009D26EB" w:rsidRDefault="009D26EB" w:rsidP="009D26EB">
            <w:pPr>
              <w:spacing w:line="256" w:lineRule="auto"/>
              <w:rPr>
                <w:rFonts w:eastAsia="Times New Roman" w:cs="Arial"/>
                <w:b/>
                <w:bCs/>
                <w:sz w:val="18"/>
                <w:szCs w:val="18"/>
                <w:lang w:val="es-ES" w:eastAsia="en-US"/>
              </w:rPr>
            </w:pPr>
            <w:r>
              <w:rPr>
                <w:rFonts w:eastAsia="Times New Roman" w:cs="Arial"/>
                <w:b/>
                <w:bCs/>
                <w:sz w:val="18"/>
                <w:szCs w:val="18"/>
                <w:lang w:val="es-ES" w:eastAsia="en-US"/>
              </w:rPr>
              <w:t>Gobierno Estatal o del Distrito Federal.</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4EF84DF9" w14:textId="503A910D" w:rsidR="009D26EB" w:rsidRPr="009D26EB" w:rsidRDefault="009D26EB" w:rsidP="009D26EB">
            <w:pPr>
              <w:spacing w:line="256" w:lineRule="auto"/>
              <w:jc w:val="right"/>
              <w:rPr>
                <w:rFonts w:cs="Arial"/>
                <w:b/>
                <w:bCs/>
                <w:sz w:val="18"/>
                <w:szCs w:val="18"/>
                <w:lang w:val="es-ES" w:eastAsia="en-US"/>
              </w:rPr>
            </w:pPr>
            <w:r w:rsidRPr="009D26EB">
              <w:rPr>
                <w:rFonts w:cs="Arial"/>
                <w:b/>
                <w:bCs/>
                <w:color w:val="000000"/>
                <w:sz w:val="18"/>
                <w:szCs w:val="18"/>
              </w:rPr>
              <w:t xml:space="preserve">19,158,559,166 </w:t>
            </w:r>
          </w:p>
        </w:tc>
      </w:tr>
      <w:tr w:rsidR="009D26EB" w14:paraId="7FB1FA2C" w14:textId="77777777" w:rsidTr="0051429E">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32C869E2" w14:textId="77777777" w:rsidR="009D26EB" w:rsidRDefault="009D26EB" w:rsidP="009D26EB">
            <w:pPr>
              <w:spacing w:line="256" w:lineRule="auto"/>
              <w:jc w:val="center"/>
              <w:rPr>
                <w:rFonts w:eastAsia="Times New Roman" w:cs="Arial"/>
                <w:sz w:val="18"/>
                <w:szCs w:val="18"/>
                <w:lang w:val="es-ES" w:eastAsia="en-US"/>
              </w:rPr>
            </w:pPr>
            <w:r>
              <w:rPr>
                <w:rFonts w:eastAsia="Times New Roman" w:cs="Arial"/>
                <w:sz w:val="18"/>
                <w:szCs w:val="18"/>
                <w:lang w:val="es-ES" w:eastAsia="en-US"/>
              </w:rPr>
              <w:t>21111</w:t>
            </w:r>
          </w:p>
        </w:tc>
        <w:tc>
          <w:tcPr>
            <w:tcW w:w="5958" w:type="dxa"/>
            <w:tcBorders>
              <w:top w:val="single" w:sz="4" w:space="0" w:color="auto"/>
              <w:left w:val="single" w:sz="4" w:space="0" w:color="auto"/>
              <w:bottom w:val="single" w:sz="4" w:space="0" w:color="auto"/>
              <w:right w:val="single" w:sz="4" w:space="0" w:color="auto"/>
            </w:tcBorders>
            <w:vAlign w:val="center"/>
            <w:hideMark/>
          </w:tcPr>
          <w:p w14:paraId="4D92BF6B" w14:textId="77777777" w:rsidR="009D26EB" w:rsidRDefault="009D26EB" w:rsidP="009D26EB">
            <w:pPr>
              <w:spacing w:line="256" w:lineRule="auto"/>
              <w:rPr>
                <w:rFonts w:eastAsia="Times New Roman" w:cs="Arial"/>
                <w:sz w:val="18"/>
                <w:szCs w:val="18"/>
                <w:lang w:val="es-ES" w:eastAsia="en-US"/>
              </w:rPr>
            </w:pPr>
            <w:r>
              <w:rPr>
                <w:rFonts w:eastAsia="Times New Roman" w:cs="Arial"/>
                <w:sz w:val="18"/>
                <w:szCs w:val="18"/>
                <w:lang w:val="es-ES" w:eastAsia="en-US"/>
              </w:rPr>
              <w:t>Poder Ejecutivo.</w:t>
            </w:r>
          </w:p>
        </w:tc>
        <w:tc>
          <w:tcPr>
            <w:tcW w:w="1713" w:type="dxa"/>
            <w:tcBorders>
              <w:top w:val="single" w:sz="4" w:space="0" w:color="auto"/>
              <w:left w:val="single" w:sz="4" w:space="0" w:color="auto"/>
              <w:bottom w:val="single" w:sz="4" w:space="0" w:color="auto"/>
              <w:right w:val="single" w:sz="4" w:space="0" w:color="auto"/>
            </w:tcBorders>
            <w:vAlign w:val="bottom"/>
            <w:hideMark/>
          </w:tcPr>
          <w:p w14:paraId="11C64E2E" w14:textId="71DB73DD" w:rsidR="009D26EB" w:rsidRPr="009D26EB" w:rsidRDefault="009D26EB" w:rsidP="009D26EB">
            <w:pPr>
              <w:spacing w:line="256" w:lineRule="auto"/>
              <w:jc w:val="right"/>
              <w:rPr>
                <w:rFonts w:cs="Arial"/>
                <w:sz w:val="18"/>
                <w:szCs w:val="18"/>
                <w:lang w:val="es-ES" w:eastAsia="en-US"/>
              </w:rPr>
            </w:pPr>
            <w:r w:rsidRPr="009D26EB">
              <w:rPr>
                <w:rFonts w:cs="Arial"/>
                <w:color w:val="000000"/>
                <w:sz w:val="18"/>
                <w:szCs w:val="18"/>
              </w:rPr>
              <w:t xml:space="preserve">18,009,301,086 </w:t>
            </w:r>
          </w:p>
        </w:tc>
      </w:tr>
      <w:tr w:rsidR="009D26EB" w14:paraId="568082B4" w14:textId="77777777" w:rsidTr="0051429E">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9D7646A" w14:textId="77777777" w:rsidR="009D26EB" w:rsidRDefault="009D26EB" w:rsidP="009D26EB">
            <w:pPr>
              <w:spacing w:line="256" w:lineRule="auto"/>
              <w:jc w:val="center"/>
              <w:rPr>
                <w:rFonts w:eastAsia="Times New Roman" w:cs="Arial"/>
                <w:sz w:val="18"/>
                <w:szCs w:val="18"/>
                <w:lang w:val="es-ES" w:eastAsia="en-US"/>
              </w:rPr>
            </w:pPr>
            <w:r>
              <w:rPr>
                <w:rFonts w:eastAsia="Times New Roman" w:cs="Arial"/>
                <w:sz w:val="18"/>
                <w:szCs w:val="18"/>
                <w:lang w:val="es-ES" w:eastAsia="en-US"/>
              </w:rPr>
              <w:t>21112</w:t>
            </w:r>
          </w:p>
        </w:tc>
        <w:tc>
          <w:tcPr>
            <w:tcW w:w="5958" w:type="dxa"/>
            <w:tcBorders>
              <w:top w:val="single" w:sz="4" w:space="0" w:color="auto"/>
              <w:left w:val="single" w:sz="4" w:space="0" w:color="auto"/>
              <w:bottom w:val="single" w:sz="4" w:space="0" w:color="auto"/>
              <w:right w:val="single" w:sz="4" w:space="0" w:color="auto"/>
            </w:tcBorders>
            <w:vAlign w:val="center"/>
            <w:hideMark/>
          </w:tcPr>
          <w:p w14:paraId="07342F39" w14:textId="77777777" w:rsidR="009D26EB" w:rsidRDefault="009D26EB" w:rsidP="009D26EB">
            <w:pPr>
              <w:spacing w:line="256" w:lineRule="auto"/>
              <w:rPr>
                <w:rFonts w:eastAsia="Times New Roman" w:cs="Arial"/>
                <w:sz w:val="18"/>
                <w:szCs w:val="18"/>
                <w:lang w:val="es-ES" w:eastAsia="en-US"/>
              </w:rPr>
            </w:pPr>
            <w:r>
              <w:rPr>
                <w:rFonts w:eastAsia="Times New Roman" w:cs="Arial"/>
                <w:sz w:val="18"/>
                <w:szCs w:val="18"/>
                <w:lang w:val="es-ES" w:eastAsia="en-US"/>
              </w:rPr>
              <w:t>Poder Legislativo.</w:t>
            </w:r>
          </w:p>
        </w:tc>
        <w:tc>
          <w:tcPr>
            <w:tcW w:w="1713" w:type="dxa"/>
            <w:tcBorders>
              <w:top w:val="single" w:sz="4" w:space="0" w:color="auto"/>
              <w:left w:val="single" w:sz="4" w:space="0" w:color="auto"/>
              <w:bottom w:val="single" w:sz="4" w:space="0" w:color="auto"/>
              <w:right w:val="single" w:sz="4" w:space="0" w:color="auto"/>
            </w:tcBorders>
            <w:vAlign w:val="bottom"/>
            <w:hideMark/>
          </w:tcPr>
          <w:p w14:paraId="780442B8" w14:textId="0AF8E4D1" w:rsidR="009D26EB" w:rsidRPr="009D26EB" w:rsidRDefault="009D26EB" w:rsidP="009D26EB">
            <w:pPr>
              <w:spacing w:line="256" w:lineRule="auto"/>
              <w:jc w:val="right"/>
              <w:rPr>
                <w:rFonts w:cs="Arial"/>
                <w:sz w:val="18"/>
                <w:szCs w:val="18"/>
                <w:lang w:val="es-ES" w:eastAsia="en-US"/>
              </w:rPr>
            </w:pPr>
            <w:r w:rsidRPr="009D26EB">
              <w:rPr>
                <w:rFonts w:cs="Arial"/>
                <w:color w:val="000000"/>
                <w:sz w:val="18"/>
                <w:szCs w:val="18"/>
              </w:rPr>
              <w:t xml:space="preserve">125,000,000 </w:t>
            </w:r>
          </w:p>
        </w:tc>
      </w:tr>
      <w:tr w:rsidR="009D26EB" w14:paraId="301F80C7" w14:textId="77777777" w:rsidTr="0051429E">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B2328F5" w14:textId="77777777" w:rsidR="009D26EB" w:rsidRDefault="009D26EB" w:rsidP="009D26EB">
            <w:pPr>
              <w:spacing w:line="256" w:lineRule="auto"/>
              <w:jc w:val="center"/>
              <w:rPr>
                <w:rFonts w:eastAsia="Times New Roman" w:cs="Arial"/>
                <w:sz w:val="18"/>
                <w:szCs w:val="18"/>
                <w:lang w:val="es-ES" w:eastAsia="en-US"/>
              </w:rPr>
            </w:pPr>
            <w:r>
              <w:rPr>
                <w:rFonts w:eastAsia="Times New Roman" w:cs="Arial"/>
                <w:sz w:val="18"/>
                <w:szCs w:val="18"/>
                <w:lang w:val="es-ES" w:eastAsia="en-US"/>
              </w:rPr>
              <w:t>21113</w:t>
            </w:r>
          </w:p>
        </w:tc>
        <w:tc>
          <w:tcPr>
            <w:tcW w:w="5958" w:type="dxa"/>
            <w:tcBorders>
              <w:top w:val="single" w:sz="4" w:space="0" w:color="auto"/>
              <w:left w:val="single" w:sz="4" w:space="0" w:color="auto"/>
              <w:bottom w:val="single" w:sz="4" w:space="0" w:color="auto"/>
              <w:right w:val="single" w:sz="4" w:space="0" w:color="auto"/>
            </w:tcBorders>
            <w:vAlign w:val="center"/>
            <w:hideMark/>
          </w:tcPr>
          <w:p w14:paraId="2EE6F242" w14:textId="77777777" w:rsidR="009D26EB" w:rsidRDefault="009D26EB" w:rsidP="009D26EB">
            <w:pPr>
              <w:spacing w:line="256" w:lineRule="auto"/>
              <w:rPr>
                <w:rFonts w:eastAsia="Times New Roman" w:cs="Arial"/>
                <w:sz w:val="18"/>
                <w:szCs w:val="18"/>
                <w:lang w:val="es-ES" w:eastAsia="en-US"/>
              </w:rPr>
            </w:pPr>
            <w:r>
              <w:rPr>
                <w:rFonts w:eastAsia="Times New Roman" w:cs="Arial"/>
                <w:sz w:val="18"/>
                <w:szCs w:val="18"/>
                <w:lang w:val="es-ES" w:eastAsia="en-US"/>
              </w:rPr>
              <w:t>Poder Judicial.</w:t>
            </w:r>
          </w:p>
        </w:tc>
        <w:tc>
          <w:tcPr>
            <w:tcW w:w="1713" w:type="dxa"/>
            <w:tcBorders>
              <w:top w:val="single" w:sz="4" w:space="0" w:color="auto"/>
              <w:left w:val="single" w:sz="4" w:space="0" w:color="auto"/>
              <w:bottom w:val="single" w:sz="4" w:space="0" w:color="auto"/>
              <w:right w:val="single" w:sz="4" w:space="0" w:color="auto"/>
            </w:tcBorders>
            <w:vAlign w:val="bottom"/>
            <w:hideMark/>
          </w:tcPr>
          <w:p w14:paraId="6CE88ABE" w14:textId="096EDF66" w:rsidR="009D26EB" w:rsidRPr="009D26EB" w:rsidRDefault="009D26EB" w:rsidP="009D26EB">
            <w:pPr>
              <w:spacing w:line="256" w:lineRule="auto"/>
              <w:jc w:val="right"/>
              <w:rPr>
                <w:rFonts w:cs="Arial"/>
                <w:sz w:val="18"/>
                <w:szCs w:val="18"/>
                <w:highlight w:val="yellow"/>
                <w:lang w:val="es-ES" w:eastAsia="en-US"/>
              </w:rPr>
            </w:pPr>
            <w:r w:rsidRPr="009D26EB">
              <w:rPr>
                <w:rFonts w:cs="Arial"/>
                <w:color w:val="000000"/>
                <w:sz w:val="18"/>
                <w:szCs w:val="18"/>
              </w:rPr>
              <w:t xml:space="preserve">271,481,600 </w:t>
            </w:r>
          </w:p>
        </w:tc>
      </w:tr>
      <w:tr w:rsidR="009D26EB" w14:paraId="78A60632" w14:textId="77777777" w:rsidTr="0051429E">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439C1F8B" w14:textId="77777777" w:rsidR="009D26EB" w:rsidRDefault="009D26EB" w:rsidP="009D26EB">
            <w:pPr>
              <w:spacing w:line="256" w:lineRule="auto"/>
              <w:jc w:val="center"/>
              <w:rPr>
                <w:rFonts w:eastAsia="Times New Roman" w:cs="Arial"/>
                <w:sz w:val="18"/>
                <w:szCs w:val="18"/>
                <w:lang w:val="es-ES" w:eastAsia="en-US"/>
              </w:rPr>
            </w:pPr>
            <w:r>
              <w:rPr>
                <w:rFonts w:eastAsia="Times New Roman" w:cs="Arial"/>
                <w:sz w:val="18"/>
                <w:szCs w:val="18"/>
                <w:lang w:val="es-ES" w:eastAsia="en-US"/>
              </w:rPr>
              <w:t>21114</w:t>
            </w:r>
          </w:p>
        </w:tc>
        <w:tc>
          <w:tcPr>
            <w:tcW w:w="5958" w:type="dxa"/>
            <w:tcBorders>
              <w:top w:val="single" w:sz="4" w:space="0" w:color="auto"/>
              <w:left w:val="single" w:sz="4" w:space="0" w:color="auto"/>
              <w:bottom w:val="single" w:sz="4" w:space="0" w:color="auto"/>
              <w:right w:val="single" w:sz="4" w:space="0" w:color="auto"/>
            </w:tcBorders>
            <w:vAlign w:val="center"/>
            <w:hideMark/>
          </w:tcPr>
          <w:p w14:paraId="5772FBC0" w14:textId="77777777" w:rsidR="009D26EB" w:rsidRDefault="009D26EB" w:rsidP="009D26EB">
            <w:pPr>
              <w:spacing w:line="256" w:lineRule="auto"/>
              <w:rPr>
                <w:rFonts w:eastAsia="Times New Roman" w:cs="Arial"/>
                <w:sz w:val="18"/>
                <w:szCs w:val="18"/>
                <w:lang w:val="es-ES" w:eastAsia="en-US"/>
              </w:rPr>
            </w:pPr>
            <w:r>
              <w:rPr>
                <w:rFonts w:eastAsia="Times New Roman" w:cs="Arial"/>
                <w:sz w:val="18"/>
                <w:szCs w:val="18"/>
                <w:lang w:val="es-ES" w:eastAsia="en-US"/>
              </w:rPr>
              <w:t>Órganos Autónomos del Estado.</w:t>
            </w:r>
          </w:p>
        </w:tc>
        <w:tc>
          <w:tcPr>
            <w:tcW w:w="1713" w:type="dxa"/>
            <w:tcBorders>
              <w:top w:val="single" w:sz="4" w:space="0" w:color="auto"/>
              <w:left w:val="single" w:sz="4" w:space="0" w:color="auto"/>
              <w:bottom w:val="single" w:sz="4" w:space="0" w:color="auto"/>
              <w:right w:val="single" w:sz="4" w:space="0" w:color="auto"/>
            </w:tcBorders>
            <w:vAlign w:val="bottom"/>
            <w:hideMark/>
          </w:tcPr>
          <w:p w14:paraId="7130CFEF" w14:textId="7D7D0BBE" w:rsidR="009D26EB" w:rsidRPr="009D26EB" w:rsidRDefault="009D26EB" w:rsidP="009D26EB">
            <w:pPr>
              <w:spacing w:line="256" w:lineRule="auto"/>
              <w:jc w:val="right"/>
              <w:rPr>
                <w:rFonts w:cs="Arial"/>
                <w:sz w:val="18"/>
                <w:szCs w:val="18"/>
                <w:lang w:val="es-ES" w:eastAsia="en-US"/>
              </w:rPr>
            </w:pPr>
            <w:r w:rsidRPr="009D26EB">
              <w:rPr>
                <w:rFonts w:cs="Arial"/>
                <w:color w:val="000000"/>
                <w:sz w:val="18"/>
                <w:szCs w:val="18"/>
              </w:rPr>
              <w:t xml:space="preserve">752,776,480 </w:t>
            </w:r>
          </w:p>
        </w:tc>
      </w:tr>
      <w:tr w:rsidR="009D26EB" w14:paraId="465B3901" w14:textId="77777777" w:rsidTr="009D26EB">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448AE78" w14:textId="77777777" w:rsidR="009D26EB" w:rsidRDefault="009D26EB" w:rsidP="009D26EB">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21120</w:t>
            </w:r>
          </w:p>
        </w:tc>
        <w:tc>
          <w:tcPr>
            <w:tcW w:w="5958" w:type="dxa"/>
            <w:tcBorders>
              <w:top w:val="single" w:sz="4" w:space="0" w:color="auto"/>
              <w:left w:val="single" w:sz="4" w:space="0" w:color="auto"/>
              <w:bottom w:val="single" w:sz="4" w:space="0" w:color="auto"/>
              <w:right w:val="single" w:sz="4" w:space="0" w:color="auto"/>
            </w:tcBorders>
            <w:vAlign w:val="center"/>
            <w:hideMark/>
          </w:tcPr>
          <w:p w14:paraId="4359E046" w14:textId="77777777" w:rsidR="009D26EB" w:rsidRDefault="009D26EB" w:rsidP="009D26EB">
            <w:pPr>
              <w:spacing w:line="256" w:lineRule="auto"/>
              <w:rPr>
                <w:rFonts w:eastAsia="Times New Roman" w:cs="Arial"/>
                <w:b/>
                <w:bCs/>
                <w:sz w:val="18"/>
                <w:szCs w:val="18"/>
                <w:lang w:val="es-ES" w:eastAsia="en-US"/>
              </w:rPr>
            </w:pPr>
            <w:r>
              <w:rPr>
                <w:rFonts w:eastAsia="Times New Roman" w:cs="Arial"/>
                <w:b/>
                <w:bCs/>
                <w:sz w:val="18"/>
                <w:szCs w:val="18"/>
                <w:lang w:val="es-ES" w:eastAsia="en-US"/>
              </w:rPr>
              <w:t>Entidades Paraestatales y Fideicomisos No Empresariales y No Financieros.</w:t>
            </w:r>
          </w:p>
        </w:tc>
        <w:tc>
          <w:tcPr>
            <w:tcW w:w="1713" w:type="dxa"/>
            <w:tcBorders>
              <w:top w:val="single" w:sz="4" w:space="0" w:color="auto"/>
              <w:left w:val="single" w:sz="4" w:space="0" w:color="auto"/>
              <w:bottom w:val="single" w:sz="4" w:space="0" w:color="auto"/>
              <w:right w:val="single" w:sz="4" w:space="0" w:color="auto"/>
            </w:tcBorders>
            <w:noWrap/>
            <w:vAlign w:val="center"/>
            <w:hideMark/>
          </w:tcPr>
          <w:p w14:paraId="69FDBD7C" w14:textId="41386100" w:rsidR="009D26EB" w:rsidRPr="009D26EB" w:rsidRDefault="009D26EB" w:rsidP="009D26EB">
            <w:pPr>
              <w:spacing w:line="256" w:lineRule="auto"/>
              <w:jc w:val="right"/>
              <w:rPr>
                <w:rFonts w:cs="Arial"/>
                <w:b/>
                <w:bCs/>
                <w:sz w:val="18"/>
                <w:szCs w:val="18"/>
                <w:lang w:val="es-ES" w:eastAsia="en-US"/>
              </w:rPr>
            </w:pPr>
            <w:r w:rsidRPr="009D26EB">
              <w:rPr>
                <w:rFonts w:cs="Arial"/>
                <w:b/>
                <w:bCs/>
                <w:color w:val="000000"/>
                <w:sz w:val="18"/>
                <w:szCs w:val="18"/>
              </w:rPr>
              <w:t xml:space="preserve">3,484,960,665 </w:t>
            </w:r>
          </w:p>
        </w:tc>
      </w:tr>
      <w:tr w:rsidR="009D26EB" w14:paraId="5EE2FD44" w14:textId="77777777" w:rsidTr="0051429E">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34A6B7FA" w14:textId="77777777" w:rsidR="009D26EB" w:rsidRDefault="009D26EB" w:rsidP="009D26EB">
            <w:pPr>
              <w:spacing w:line="256" w:lineRule="auto"/>
              <w:jc w:val="center"/>
              <w:rPr>
                <w:rFonts w:eastAsia="Times New Roman" w:cs="Arial"/>
                <w:sz w:val="18"/>
                <w:szCs w:val="18"/>
                <w:lang w:val="es-ES" w:eastAsia="en-US"/>
              </w:rPr>
            </w:pPr>
            <w:r>
              <w:rPr>
                <w:rFonts w:eastAsia="Times New Roman" w:cs="Arial"/>
                <w:sz w:val="18"/>
                <w:szCs w:val="18"/>
                <w:lang w:val="es-ES" w:eastAsia="en-US"/>
              </w:rPr>
              <w:t>21121</w:t>
            </w:r>
          </w:p>
        </w:tc>
        <w:tc>
          <w:tcPr>
            <w:tcW w:w="5958" w:type="dxa"/>
            <w:tcBorders>
              <w:top w:val="single" w:sz="4" w:space="0" w:color="auto"/>
              <w:left w:val="single" w:sz="4" w:space="0" w:color="auto"/>
              <w:bottom w:val="single" w:sz="4" w:space="0" w:color="auto"/>
              <w:right w:val="single" w:sz="4" w:space="0" w:color="auto"/>
            </w:tcBorders>
            <w:vAlign w:val="center"/>
            <w:hideMark/>
          </w:tcPr>
          <w:p w14:paraId="7AECB8C6" w14:textId="77777777" w:rsidR="009D26EB" w:rsidRDefault="009D26EB" w:rsidP="009D26EB">
            <w:pPr>
              <w:spacing w:line="256" w:lineRule="auto"/>
              <w:rPr>
                <w:rFonts w:eastAsia="Times New Roman" w:cs="Arial"/>
                <w:sz w:val="18"/>
                <w:szCs w:val="18"/>
                <w:lang w:val="es-ES" w:eastAsia="en-US"/>
              </w:rPr>
            </w:pPr>
            <w:r>
              <w:rPr>
                <w:rFonts w:eastAsia="Times New Roman" w:cs="Arial"/>
                <w:sz w:val="18"/>
                <w:szCs w:val="18"/>
                <w:lang w:val="es-ES" w:eastAsia="en-US"/>
              </w:rPr>
              <w:t>Entidades Paraestatales.</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667984A8" w14:textId="2AEE02E9" w:rsidR="009D26EB" w:rsidRPr="009D26EB" w:rsidRDefault="009D26EB" w:rsidP="009D26EB">
            <w:pPr>
              <w:spacing w:line="256" w:lineRule="auto"/>
              <w:jc w:val="right"/>
              <w:rPr>
                <w:rFonts w:cs="Arial"/>
                <w:sz w:val="18"/>
                <w:szCs w:val="18"/>
                <w:lang w:val="es-ES" w:eastAsia="en-US"/>
              </w:rPr>
            </w:pPr>
            <w:r w:rsidRPr="009D26EB">
              <w:rPr>
                <w:rFonts w:cs="Arial"/>
                <w:color w:val="000000"/>
                <w:sz w:val="18"/>
                <w:szCs w:val="18"/>
              </w:rPr>
              <w:t xml:space="preserve">3,482,566,028 </w:t>
            </w:r>
          </w:p>
        </w:tc>
      </w:tr>
      <w:tr w:rsidR="009D26EB" w14:paraId="720DC390" w14:textId="77777777" w:rsidTr="0051429E">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451B0A8C" w14:textId="77777777" w:rsidR="009D26EB" w:rsidRDefault="009D26EB" w:rsidP="009D26EB">
            <w:pPr>
              <w:spacing w:line="256" w:lineRule="auto"/>
              <w:jc w:val="center"/>
              <w:rPr>
                <w:rFonts w:eastAsia="Times New Roman" w:cs="Arial"/>
                <w:sz w:val="18"/>
                <w:szCs w:val="18"/>
                <w:lang w:val="es-ES" w:eastAsia="en-US"/>
              </w:rPr>
            </w:pPr>
            <w:r>
              <w:rPr>
                <w:rFonts w:eastAsia="Times New Roman" w:cs="Arial"/>
                <w:sz w:val="18"/>
                <w:szCs w:val="18"/>
                <w:lang w:val="es-ES" w:eastAsia="en-US"/>
              </w:rPr>
              <w:t>21122</w:t>
            </w:r>
          </w:p>
        </w:tc>
        <w:tc>
          <w:tcPr>
            <w:tcW w:w="5958" w:type="dxa"/>
            <w:tcBorders>
              <w:top w:val="single" w:sz="4" w:space="0" w:color="auto"/>
              <w:left w:val="single" w:sz="4" w:space="0" w:color="auto"/>
              <w:bottom w:val="single" w:sz="4" w:space="0" w:color="auto"/>
              <w:right w:val="single" w:sz="4" w:space="0" w:color="auto"/>
            </w:tcBorders>
            <w:vAlign w:val="center"/>
            <w:hideMark/>
          </w:tcPr>
          <w:p w14:paraId="39706577" w14:textId="77777777" w:rsidR="009D26EB" w:rsidRDefault="009D26EB" w:rsidP="009D26EB">
            <w:pPr>
              <w:spacing w:line="256" w:lineRule="auto"/>
              <w:rPr>
                <w:rFonts w:eastAsia="Times New Roman" w:cs="Arial"/>
                <w:sz w:val="18"/>
                <w:szCs w:val="18"/>
                <w:lang w:val="es-ES" w:eastAsia="en-US"/>
              </w:rPr>
            </w:pPr>
            <w:r>
              <w:rPr>
                <w:rFonts w:eastAsia="Times New Roman" w:cs="Arial"/>
                <w:sz w:val="18"/>
                <w:szCs w:val="18"/>
                <w:lang w:val="es-ES" w:eastAsia="en-US"/>
              </w:rPr>
              <w:t>Fideicomisos Públicos.</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27F16072" w14:textId="07F26A2F" w:rsidR="009D26EB" w:rsidRPr="009D26EB" w:rsidRDefault="009D26EB" w:rsidP="009D26EB">
            <w:pPr>
              <w:spacing w:line="256" w:lineRule="auto"/>
              <w:jc w:val="right"/>
              <w:rPr>
                <w:rFonts w:cs="Arial"/>
                <w:sz w:val="18"/>
                <w:szCs w:val="18"/>
                <w:lang w:val="es-ES" w:eastAsia="en-US"/>
              </w:rPr>
            </w:pPr>
            <w:r w:rsidRPr="009D26EB">
              <w:rPr>
                <w:rFonts w:cs="Arial"/>
                <w:color w:val="000000"/>
                <w:sz w:val="18"/>
                <w:szCs w:val="18"/>
              </w:rPr>
              <w:t xml:space="preserve">2,394,637 </w:t>
            </w:r>
          </w:p>
        </w:tc>
      </w:tr>
      <w:tr w:rsidR="009D26EB" w14:paraId="3F273FFC" w14:textId="77777777" w:rsidTr="0051429E">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5145677" w14:textId="77777777" w:rsidR="009D26EB" w:rsidRDefault="009D26EB" w:rsidP="009D26EB">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21130</w:t>
            </w:r>
          </w:p>
        </w:tc>
        <w:tc>
          <w:tcPr>
            <w:tcW w:w="5958" w:type="dxa"/>
            <w:tcBorders>
              <w:top w:val="single" w:sz="4" w:space="0" w:color="auto"/>
              <w:left w:val="single" w:sz="4" w:space="0" w:color="auto"/>
              <w:bottom w:val="single" w:sz="4" w:space="0" w:color="auto"/>
              <w:right w:val="single" w:sz="4" w:space="0" w:color="auto"/>
            </w:tcBorders>
            <w:vAlign w:val="center"/>
            <w:hideMark/>
          </w:tcPr>
          <w:p w14:paraId="4845BD1D" w14:textId="77777777" w:rsidR="009D26EB" w:rsidRDefault="009D26EB" w:rsidP="009D26EB">
            <w:pPr>
              <w:spacing w:line="256" w:lineRule="auto"/>
              <w:rPr>
                <w:rFonts w:eastAsia="Times New Roman" w:cs="Arial"/>
                <w:b/>
                <w:bCs/>
                <w:sz w:val="18"/>
                <w:szCs w:val="18"/>
                <w:lang w:val="es-ES" w:eastAsia="en-US"/>
              </w:rPr>
            </w:pPr>
            <w:r>
              <w:rPr>
                <w:rFonts w:eastAsia="Times New Roman" w:cs="Arial"/>
                <w:b/>
                <w:bCs/>
                <w:sz w:val="18"/>
                <w:szCs w:val="18"/>
                <w:lang w:val="es-ES" w:eastAsia="en-US"/>
              </w:rPr>
              <w:t>Instituciones Públicas de Seguridad Social.</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3674EFFB" w14:textId="79E02FC3" w:rsidR="009D26EB" w:rsidRPr="009D26EB" w:rsidRDefault="009D26EB" w:rsidP="009D26EB">
            <w:pPr>
              <w:spacing w:line="256" w:lineRule="auto"/>
              <w:jc w:val="right"/>
              <w:rPr>
                <w:rFonts w:cs="Arial"/>
                <w:b/>
                <w:bCs/>
                <w:sz w:val="18"/>
                <w:szCs w:val="18"/>
                <w:lang w:val="es-ES" w:eastAsia="en-US"/>
              </w:rPr>
            </w:pPr>
            <w:r w:rsidRPr="009D26EB">
              <w:rPr>
                <w:rFonts w:cs="Arial"/>
                <w:b/>
                <w:bCs/>
                <w:color w:val="000000"/>
                <w:sz w:val="18"/>
                <w:szCs w:val="18"/>
              </w:rPr>
              <w:t xml:space="preserve">360,610,448 </w:t>
            </w:r>
          </w:p>
        </w:tc>
      </w:tr>
      <w:tr w:rsidR="009D26EB" w14:paraId="59BF6C26" w14:textId="77777777" w:rsidTr="0051429E">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FCE6B2E" w14:textId="77777777" w:rsidR="009D26EB" w:rsidRDefault="009D26EB" w:rsidP="009D26EB">
            <w:pPr>
              <w:spacing w:line="256" w:lineRule="auto"/>
              <w:jc w:val="center"/>
              <w:rPr>
                <w:rFonts w:eastAsia="Times New Roman" w:cs="Arial"/>
                <w:sz w:val="18"/>
                <w:szCs w:val="18"/>
                <w:lang w:val="es-ES" w:eastAsia="en-US"/>
              </w:rPr>
            </w:pPr>
            <w:r>
              <w:rPr>
                <w:rFonts w:eastAsia="Times New Roman" w:cs="Arial"/>
                <w:sz w:val="18"/>
                <w:szCs w:val="18"/>
                <w:lang w:val="es-ES" w:eastAsia="en-US"/>
              </w:rPr>
              <w:t>21130</w:t>
            </w:r>
          </w:p>
        </w:tc>
        <w:tc>
          <w:tcPr>
            <w:tcW w:w="5958" w:type="dxa"/>
            <w:tcBorders>
              <w:top w:val="single" w:sz="4" w:space="0" w:color="auto"/>
              <w:left w:val="single" w:sz="4" w:space="0" w:color="auto"/>
              <w:bottom w:val="single" w:sz="4" w:space="0" w:color="auto"/>
              <w:right w:val="single" w:sz="4" w:space="0" w:color="auto"/>
            </w:tcBorders>
            <w:vAlign w:val="center"/>
            <w:hideMark/>
          </w:tcPr>
          <w:p w14:paraId="0CF2AC3D" w14:textId="77777777" w:rsidR="009D26EB" w:rsidRDefault="009D26EB" w:rsidP="009D26EB">
            <w:pPr>
              <w:spacing w:line="256" w:lineRule="auto"/>
              <w:rPr>
                <w:rFonts w:eastAsia="Times New Roman" w:cs="Arial"/>
                <w:sz w:val="18"/>
                <w:szCs w:val="18"/>
                <w:lang w:val="es-ES" w:eastAsia="en-US"/>
              </w:rPr>
            </w:pPr>
            <w:r>
              <w:rPr>
                <w:rFonts w:eastAsia="Times New Roman" w:cs="Arial"/>
                <w:sz w:val="18"/>
                <w:szCs w:val="18"/>
                <w:lang w:val="es-ES" w:eastAsia="en-US"/>
              </w:rPr>
              <w:t>Instituciones Públicas de Seguridad Social.</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54C6628C" w14:textId="28954FDE" w:rsidR="009D26EB" w:rsidRPr="009D26EB" w:rsidRDefault="009D26EB" w:rsidP="009D26EB">
            <w:pPr>
              <w:spacing w:line="256" w:lineRule="auto"/>
              <w:jc w:val="right"/>
              <w:rPr>
                <w:rFonts w:cs="Arial"/>
                <w:sz w:val="18"/>
                <w:szCs w:val="18"/>
                <w:lang w:val="es-ES" w:eastAsia="en-US"/>
              </w:rPr>
            </w:pPr>
            <w:r w:rsidRPr="009D26EB">
              <w:rPr>
                <w:rFonts w:cs="Arial"/>
                <w:color w:val="000000"/>
                <w:sz w:val="18"/>
                <w:szCs w:val="18"/>
              </w:rPr>
              <w:t xml:space="preserve">360,610,448 </w:t>
            </w:r>
          </w:p>
        </w:tc>
      </w:tr>
    </w:tbl>
    <w:p w14:paraId="1FA4DF19" w14:textId="77777777" w:rsidR="00BF5974" w:rsidRDefault="00BF5974" w:rsidP="00BF5974">
      <w:pPr>
        <w:rPr>
          <w:rFonts w:cs="Arial"/>
          <w:lang w:val="es-ES"/>
        </w:rPr>
      </w:pPr>
    </w:p>
    <w:p w14:paraId="130F8E23" w14:textId="77777777" w:rsidR="00BF5974" w:rsidRDefault="00BF5974" w:rsidP="00BF5974">
      <w:pPr>
        <w:rPr>
          <w:rFonts w:cs="Arial"/>
          <w:bCs/>
          <w:lang w:val="es-ES"/>
        </w:rPr>
      </w:pPr>
      <w:r>
        <w:rPr>
          <w:rFonts w:cs="Arial"/>
          <w:lang w:val="es-ES"/>
        </w:rPr>
        <w:t xml:space="preserve">En el </w:t>
      </w:r>
      <w:bookmarkStart w:id="32" w:name="_Hlk180921621"/>
      <w:r>
        <w:rPr>
          <w:rFonts w:cs="Arial"/>
          <w:b/>
          <w:lang w:val="es-ES"/>
        </w:rPr>
        <w:t>Anexo 2</w:t>
      </w:r>
      <w:r>
        <w:rPr>
          <w:rFonts w:cs="Arial"/>
          <w:lang w:val="es-ES"/>
        </w:rPr>
        <w:t xml:space="preserve"> se presenta la desagregación de acuerdo con la </w:t>
      </w:r>
      <w:r>
        <w:rPr>
          <w:rFonts w:cs="Arial"/>
          <w:bCs/>
          <w:lang w:val="es-ES"/>
        </w:rPr>
        <w:t>Clasificación Administrativa</w:t>
      </w:r>
      <w:bookmarkEnd w:id="32"/>
      <w:r>
        <w:rPr>
          <w:rFonts w:cs="Arial"/>
          <w:bCs/>
          <w:lang w:val="es-ES"/>
        </w:rPr>
        <w:t>.</w:t>
      </w:r>
    </w:p>
    <w:p w14:paraId="56CC9633" w14:textId="4934505B" w:rsidR="00BF5974" w:rsidRDefault="00BF5974" w:rsidP="00BF5974">
      <w:pPr>
        <w:rPr>
          <w:rFonts w:cs="Arial"/>
          <w:b/>
          <w:lang w:val="es-ES"/>
        </w:rPr>
      </w:pPr>
    </w:p>
    <w:p w14:paraId="76FB8D92" w14:textId="77777777" w:rsidR="00105286" w:rsidRDefault="00105286" w:rsidP="00BF5974">
      <w:pPr>
        <w:rPr>
          <w:rFonts w:cs="Arial"/>
          <w:b/>
          <w:lang w:val="es-ES"/>
        </w:rPr>
      </w:pPr>
    </w:p>
    <w:p w14:paraId="01AB194B" w14:textId="77777777" w:rsidR="00BF5974" w:rsidRDefault="00BF5974" w:rsidP="00BF5974">
      <w:pPr>
        <w:rPr>
          <w:rFonts w:cs="Arial"/>
          <w:lang w:val="es-ES"/>
        </w:rPr>
      </w:pPr>
      <w:r>
        <w:rPr>
          <w:rFonts w:cs="Arial"/>
          <w:b/>
          <w:lang w:val="es-ES"/>
        </w:rPr>
        <w:t>Artículo 17</w:t>
      </w:r>
      <w:r>
        <w:rPr>
          <w:rFonts w:cs="Arial"/>
          <w:lang w:val="es-ES"/>
        </w:rPr>
        <w:t xml:space="preserve">. De acuerdo con la </w:t>
      </w:r>
      <w:r>
        <w:rPr>
          <w:rFonts w:cs="Arial"/>
          <w:bCs/>
          <w:lang w:val="es-ES"/>
        </w:rPr>
        <w:t>Clasificación Funcional del Gasto</w:t>
      </w:r>
      <w:r>
        <w:rPr>
          <w:rFonts w:cs="Arial"/>
          <w:lang w:val="es-ES"/>
        </w:rPr>
        <w:t>, el Presupuesto de Egresos del Estado de Colima para el Ejercicio Fiscal 2025</w:t>
      </w:r>
      <w:r>
        <w:rPr>
          <w:rFonts w:cs="Arial"/>
          <w:color w:val="FF0000"/>
          <w:lang w:val="es-ES"/>
        </w:rPr>
        <w:t xml:space="preserve"> </w:t>
      </w:r>
      <w:r>
        <w:rPr>
          <w:rFonts w:cs="Arial"/>
          <w:lang w:val="es-ES"/>
        </w:rPr>
        <w:t>se distribuye de la siguiente forma:</w:t>
      </w:r>
      <w:bookmarkStart w:id="33" w:name="_Toc522869258"/>
      <w:bookmarkStart w:id="34" w:name="_Toc5267574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1697"/>
      </w:tblGrid>
      <w:tr w:rsidR="00BF5974" w14:paraId="56389EB5" w14:textId="77777777" w:rsidTr="00BF5974">
        <w:trPr>
          <w:trHeight w:val="20"/>
          <w:tblHeader/>
          <w:jc w:val="center"/>
        </w:trPr>
        <w:tc>
          <w:tcPr>
            <w:tcW w:w="8360" w:type="dxa"/>
            <w:gridSpan w:val="2"/>
            <w:tcBorders>
              <w:top w:val="nil"/>
              <w:left w:val="nil"/>
              <w:bottom w:val="single" w:sz="4" w:space="0" w:color="auto"/>
              <w:right w:val="nil"/>
            </w:tcBorders>
            <w:vAlign w:val="center"/>
            <w:hideMark/>
          </w:tcPr>
          <w:bookmarkEnd w:id="33"/>
          <w:bookmarkEnd w:id="34"/>
          <w:p w14:paraId="47B3C27A" w14:textId="77777777" w:rsidR="00BF5974" w:rsidRDefault="00BF5974">
            <w:pPr>
              <w:spacing w:line="256" w:lineRule="auto"/>
              <w:jc w:val="center"/>
              <w:rPr>
                <w:rFonts w:cs="Arial"/>
                <w:b/>
                <w:sz w:val="20"/>
                <w:szCs w:val="20"/>
                <w:lang w:val="es-ES" w:eastAsia="en-US"/>
              </w:rPr>
            </w:pPr>
            <w:r>
              <w:rPr>
                <w:rFonts w:eastAsia="Times New Roman" w:cs="Arial"/>
                <w:b/>
                <w:sz w:val="20"/>
                <w:szCs w:val="20"/>
                <w:lang w:val="es-ES" w:eastAsia="en-US"/>
              </w:rPr>
              <w:lastRenderedPageBreak/>
              <w:t xml:space="preserve">Tabla 6. Clasificación Funcional del Gasto </w:t>
            </w:r>
          </w:p>
        </w:tc>
      </w:tr>
      <w:tr w:rsidR="00BF5974" w14:paraId="5135F74B" w14:textId="77777777" w:rsidTr="00BF5974">
        <w:trPr>
          <w:trHeight w:val="20"/>
          <w:tblHeader/>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552D5E2B" w14:textId="77777777" w:rsidR="00BF5974" w:rsidRDefault="00BF5974">
            <w:pPr>
              <w:spacing w:line="256" w:lineRule="auto"/>
              <w:jc w:val="center"/>
              <w:rPr>
                <w:rFonts w:cs="Arial"/>
                <w:b/>
                <w:sz w:val="20"/>
                <w:szCs w:val="20"/>
                <w:lang w:val="es-ES" w:eastAsia="en-US"/>
              </w:rPr>
            </w:pPr>
            <w:r>
              <w:rPr>
                <w:rFonts w:cs="Arial"/>
                <w:b/>
                <w:sz w:val="20"/>
                <w:szCs w:val="20"/>
                <w:lang w:val="es-ES" w:eastAsia="en-US"/>
              </w:rPr>
              <w:t>Concepto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8827E59" w14:textId="77777777" w:rsidR="00BF5974" w:rsidRDefault="00BF5974">
            <w:pPr>
              <w:spacing w:line="256" w:lineRule="auto"/>
              <w:jc w:val="center"/>
              <w:rPr>
                <w:rFonts w:cs="Arial"/>
                <w:b/>
                <w:sz w:val="20"/>
                <w:szCs w:val="20"/>
                <w:lang w:val="es-ES" w:eastAsia="en-US"/>
              </w:rPr>
            </w:pPr>
            <w:r>
              <w:rPr>
                <w:rFonts w:cs="Arial"/>
                <w:b/>
                <w:sz w:val="20"/>
                <w:szCs w:val="20"/>
                <w:lang w:val="es-ES" w:eastAsia="en-US"/>
              </w:rPr>
              <w:t>Asignación Presupuestal</w:t>
            </w:r>
          </w:p>
        </w:tc>
      </w:tr>
      <w:tr w:rsidR="00C27413" w14:paraId="3C4A1D80"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1E5CE5B8" w14:textId="77777777" w:rsidR="00C27413" w:rsidRDefault="00C27413" w:rsidP="00C27413">
            <w:pPr>
              <w:spacing w:line="256" w:lineRule="auto"/>
              <w:rPr>
                <w:rFonts w:cs="Arial"/>
                <w:b/>
                <w:sz w:val="20"/>
                <w:szCs w:val="20"/>
                <w:lang w:val="es-ES" w:eastAsia="en-US"/>
              </w:rPr>
            </w:pPr>
            <w:r>
              <w:rPr>
                <w:rFonts w:cs="Arial"/>
                <w:b/>
                <w:sz w:val="20"/>
                <w:szCs w:val="20"/>
                <w:lang w:val="es-ES" w:eastAsia="en-US"/>
              </w:rPr>
              <w:t>1. GOBIERNO.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CE585C7" w14:textId="647AA131"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3,247,612,582 </w:t>
            </w:r>
          </w:p>
        </w:tc>
      </w:tr>
      <w:tr w:rsidR="00C27413" w14:paraId="0B757EC1"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025A9B3C" w14:textId="77777777" w:rsidR="00C27413" w:rsidRDefault="00C27413" w:rsidP="00C27413">
            <w:pPr>
              <w:numPr>
                <w:ilvl w:val="1"/>
                <w:numId w:val="2"/>
              </w:numPr>
              <w:tabs>
                <w:tab w:val="left" w:pos="454"/>
              </w:tabs>
              <w:spacing w:line="256" w:lineRule="auto"/>
              <w:ind w:left="0" w:firstLine="0"/>
              <w:rPr>
                <w:rFonts w:cs="Arial"/>
                <w:b/>
                <w:sz w:val="20"/>
                <w:szCs w:val="20"/>
                <w:lang w:val="es-ES" w:eastAsia="en-US"/>
              </w:rPr>
            </w:pPr>
            <w:r>
              <w:rPr>
                <w:rFonts w:cs="Arial"/>
                <w:b/>
                <w:sz w:val="20"/>
                <w:szCs w:val="20"/>
                <w:lang w:val="es-ES" w:eastAsia="en-US"/>
              </w:rPr>
              <w:t>LEGISLACIÓN.</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901F734" w14:textId="7F116249"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169,000,000 </w:t>
            </w:r>
          </w:p>
        </w:tc>
      </w:tr>
      <w:tr w:rsidR="00C27413" w14:paraId="013DE2A3"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358C7C12"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1.1.1 Legislación.</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9807CBA" w14:textId="39F33C16"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125,000,000 </w:t>
            </w:r>
          </w:p>
        </w:tc>
      </w:tr>
      <w:tr w:rsidR="00C27413" w14:paraId="46695932"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3E2C2C61"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1.1.2 Fiscalización.</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FAF62AD" w14:textId="2E69578F"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44,000,000 </w:t>
            </w:r>
          </w:p>
        </w:tc>
      </w:tr>
      <w:tr w:rsidR="00C27413" w14:paraId="31064AC3"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528F9E8B" w14:textId="77777777" w:rsidR="00C27413" w:rsidRDefault="00C27413" w:rsidP="00C27413">
            <w:pPr>
              <w:numPr>
                <w:ilvl w:val="1"/>
                <w:numId w:val="2"/>
              </w:numPr>
              <w:tabs>
                <w:tab w:val="left" w:pos="377"/>
              </w:tabs>
              <w:spacing w:line="256" w:lineRule="auto"/>
              <w:ind w:left="0" w:firstLine="0"/>
              <w:rPr>
                <w:rFonts w:cs="Arial"/>
                <w:b/>
                <w:sz w:val="20"/>
                <w:szCs w:val="20"/>
                <w:lang w:val="es-ES" w:eastAsia="en-US"/>
              </w:rPr>
            </w:pPr>
            <w:r>
              <w:rPr>
                <w:rFonts w:cs="Arial"/>
                <w:b/>
                <w:sz w:val="20"/>
                <w:szCs w:val="20"/>
                <w:lang w:val="es-ES" w:eastAsia="en-US"/>
              </w:rPr>
              <w:t>JUSTICIA.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AC209FE" w14:textId="29F429C2"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1,096,842,419 </w:t>
            </w:r>
          </w:p>
        </w:tc>
      </w:tr>
      <w:tr w:rsidR="00C27413" w14:paraId="120169FE"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596EED7C"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1.2.1 Impartición de Justicia.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F99954D" w14:textId="797DA2D0"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334,622,157 </w:t>
            </w:r>
          </w:p>
        </w:tc>
      </w:tr>
      <w:tr w:rsidR="00C27413" w14:paraId="7AAF2B12"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5B4BDF88"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1.2.2 Procuración de Justicia.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8CB4F55" w14:textId="0BCA56E3"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500,422,055 </w:t>
            </w:r>
          </w:p>
        </w:tc>
      </w:tr>
      <w:tr w:rsidR="00C27413" w14:paraId="4AF02922"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2D143E69"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1.2.3 Reclusión y Readaptación Social.</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CAB1922" w14:textId="36DD19AA"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246,775,200 </w:t>
            </w:r>
          </w:p>
        </w:tc>
      </w:tr>
      <w:tr w:rsidR="00C27413" w14:paraId="61E8938F"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7A66D9E2"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1.2.4 Derechos Humanos.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6C1BFD1" w14:textId="1D785261"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15,023,007 </w:t>
            </w:r>
          </w:p>
        </w:tc>
      </w:tr>
      <w:tr w:rsidR="00C27413" w14:paraId="1DE13268"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3271BE99" w14:textId="77777777" w:rsidR="00C27413" w:rsidRDefault="00C27413" w:rsidP="00C27413">
            <w:pPr>
              <w:numPr>
                <w:ilvl w:val="1"/>
                <w:numId w:val="2"/>
              </w:numPr>
              <w:tabs>
                <w:tab w:val="left" w:pos="407"/>
              </w:tabs>
              <w:spacing w:line="256" w:lineRule="auto"/>
              <w:ind w:left="0" w:firstLine="0"/>
              <w:rPr>
                <w:rFonts w:cs="Arial"/>
                <w:b/>
                <w:sz w:val="20"/>
                <w:szCs w:val="20"/>
                <w:lang w:val="es-ES" w:eastAsia="en-US"/>
              </w:rPr>
            </w:pPr>
            <w:r>
              <w:rPr>
                <w:rFonts w:cs="Arial"/>
                <w:b/>
                <w:sz w:val="20"/>
                <w:szCs w:val="20"/>
                <w:lang w:val="es-ES" w:eastAsia="en-US"/>
              </w:rPr>
              <w:t>COORDINACIÓN DE LA POLÍTICA DE GOBIERNO.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0A9D1C4" w14:textId="2644DD27"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358,952,019 </w:t>
            </w:r>
          </w:p>
        </w:tc>
      </w:tr>
      <w:tr w:rsidR="00C27413" w14:paraId="508C4345"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63579054"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1.3.1 Presidencia / Gubernatura.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148CA79" w14:textId="7AC6ACB1"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95,842,291 </w:t>
            </w:r>
          </w:p>
        </w:tc>
      </w:tr>
      <w:tr w:rsidR="00C27413" w14:paraId="61CF88CE"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2FFD9A90"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1.3.2 Política Interior.</w:t>
            </w:r>
          </w:p>
        </w:tc>
        <w:tc>
          <w:tcPr>
            <w:tcW w:w="1697" w:type="dxa"/>
            <w:tcBorders>
              <w:top w:val="single" w:sz="4" w:space="0" w:color="auto"/>
              <w:left w:val="single" w:sz="4" w:space="0" w:color="auto"/>
              <w:bottom w:val="single" w:sz="4" w:space="0" w:color="auto"/>
              <w:right w:val="single" w:sz="4" w:space="0" w:color="auto"/>
            </w:tcBorders>
            <w:vAlign w:val="center"/>
            <w:hideMark/>
          </w:tcPr>
          <w:p w14:paraId="2F1F60C1" w14:textId="3D41E1A5"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85,598,554 </w:t>
            </w:r>
          </w:p>
        </w:tc>
      </w:tr>
      <w:tr w:rsidR="00C27413" w14:paraId="2E083A7E"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71C0259E"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1.3.3 Preservación y Cuidado del Patrimonio Público.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37015FB" w14:textId="26A4F864"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7F72EAE1"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0CB8B471"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1.3.4 Función Pública.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24EEFD2A" w14:textId="3CFDC28C"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33,786,431 </w:t>
            </w:r>
          </w:p>
        </w:tc>
      </w:tr>
      <w:tr w:rsidR="00C27413" w14:paraId="72EFCADC"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76A9A389"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1.3.5 Asuntos Jurídicos.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4F3AAE4" w14:textId="76D989C1"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36,294,439 </w:t>
            </w:r>
          </w:p>
        </w:tc>
      </w:tr>
      <w:tr w:rsidR="00C27413" w14:paraId="63BA001C"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7446588C"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1.3.6 Organización de Procesos Electorales.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9BFF22A" w14:textId="53D4879A"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107,430,304 </w:t>
            </w:r>
          </w:p>
        </w:tc>
      </w:tr>
      <w:tr w:rsidR="00C27413" w14:paraId="2E97669D"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71A31D9E"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1.3.7 Población.</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9B4225F" w14:textId="42DA3B8F"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34560300"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01484F2F"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1.3.8 Territorio.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E126FC0" w14:textId="2A2D764B"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4233D63A"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62BDEBAB"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1.3.9 Otros.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2B06E2B4" w14:textId="3BB7196F"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09A3C782"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59AE49CF" w14:textId="77777777" w:rsidR="00C27413" w:rsidRDefault="00C27413" w:rsidP="00C27413">
            <w:pPr>
              <w:numPr>
                <w:ilvl w:val="1"/>
                <w:numId w:val="2"/>
              </w:numPr>
              <w:tabs>
                <w:tab w:val="left" w:pos="437"/>
              </w:tabs>
              <w:spacing w:line="256" w:lineRule="auto"/>
              <w:ind w:left="0" w:firstLine="0"/>
              <w:rPr>
                <w:rFonts w:cs="Arial"/>
                <w:b/>
                <w:sz w:val="20"/>
                <w:szCs w:val="20"/>
                <w:lang w:val="es-ES" w:eastAsia="en-US"/>
              </w:rPr>
            </w:pPr>
            <w:r>
              <w:rPr>
                <w:rFonts w:cs="Arial"/>
                <w:b/>
                <w:sz w:val="20"/>
                <w:szCs w:val="20"/>
                <w:lang w:val="es-ES" w:eastAsia="en-US"/>
              </w:rPr>
              <w:t>RELACIONES EXTERIORES.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E5262C5" w14:textId="0DB35B10"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0 </w:t>
            </w:r>
          </w:p>
        </w:tc>
      </w:tr>
      <w:tr w:rsidR="00C27413" w14:paraId="7D69B3A9"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6B297295" w14:textId="77777777" w:rsidR="00C27413" w:rsidRDefault="00C27413" w:rsidP="00C27413">
            <w:pPr>
              <w:spacing w:line="256" w:lineRule="auto"/>
              <w:rPr>
                <w:rFonts w:cs="Arial"/>
                <w:sz w:val="20"/>
                <w:szCs w:val="20"/>
                <w:lang w:val="es-ES" w:eastAsia="en-US"/>
              </w:rPr>
            </w:pPr>
            <w:r>
              <w:rPr>
                <w:rFonts w:cs="Arial"/>
                <w:sz w:val="20"/>
                <w:szCs w:val="20"/>
                <w:lang w:val="es-ES" w:eastAsia="en-US"/>
              </w:rPr>
              <w:t>1.4.1 Relaciones Exteriores.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01DAC5A" w14:textId="3C34C89C"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19D90C7B"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5B1E58B9" w14:textId="77777777" w:rsidR="00C27413" w:rsidRDefault="00C27413" w:rsidP="00C27413">
            <w:pPr>
              <w:numPr>
                <w:ilvl w:val="1"/>
                <w:numId w:val="2"/>
              </w:numPr>
              <w:tabs>
                <w:tab w:val="left" w:pos="407"/>
              </w:tabs>
              <w:spacing w:line="256" w:lineRule="auto"/>
              <w:ind w:left="0" w:firstLine="0"/>
              <w:rPr>
                <w:rFonts w:cs="Arial"/>
                <w:b/>
                <w:sz w:val="20"/>
                <w:szCs w:val="20"/>
                <w:lang w:val="es-ES" w:eastAsia="en-US"/>
              </w:rPr>
            </w:pPr>
            <w:r>
              <w:rPr>
                <w:rFonts w:cs="Arial"/>
                <w:b/>
                <w:sz w:val="20"/>
                <w:szCs w:val="20"/>
                <w:lang w:val="es-ES" w:eastAsia="en-US"/>
              </w:rPr>
              <w:t>ASUNTOS FINANCIEROS Y HACENDARIOS.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63E94A3" w14:textId="4CD08F55"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241,545,465 </w:t>
            </w:r>
          </w:p>
        </w:tc>
      </w:tr>
      <w:tr w:rsidR="00C27413" w14:paraId="6B4156B9"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36C0874D"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1.5.1 Asuntos Financieros.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3136CCB" w14:textId="385BFCEA"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13D67F4B"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44A8F323"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1.5.2 Asuntos Hacendarios.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20847057" w14:textId="462BADC7"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241,545,465 </w:t>
            </w:r>
          </w:p>
        </w:tc>
      </w:tr>
      <w:tr w:rsidR="00C27413" w14:paraId="4454E648"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26DE10E0" w14:textId="77777777" w:rsidR="00C27413" w:rsidRDefault="00C27413" w:rsidP="00C27413">
            <w:pPr>
              <w:numPr>
                <w:ilvl w:val="1"/>
                <w:numId w:val="2"/>
              </w:numPr>
              <w:tabs>
                <w:tab w:val="left" w:pos="417"/>
              </w:tabs>
              <w:spacing w:line="256" w:lineRule="auto"/>
              <w:ind w:left="0" w:firstLine="0"/>
              <w:rPr>
                <w:rFonts w:cs="Arial"/>
                <w:b/>
                <w:sz w:val="20"/>
                <w:szCs w:val="20"/>
                <w:lang w:val="es-ES" w:eastAsia="en-US"/>
              </w:rPr>
            </w:pPr>
            <w:r>
              <w:rPr>
                <w:rFonts w:cs="Arial"/>
                <w:b/>
                <w:sz w:val="20"/>
                <w:szCs w:val="20"/>
                <w:lang w:val="es-ES" w:eastAsia="en-US"/>
              </w:rPr>
              <w:t>SEGURIDAD NACIONAL.</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03A36CB" w14:textId="3B6E6062"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0 </w:t>
            </w:r>
          </w:p>
        </w:tc>
      </w:tr>
      <w:tr w:rsidR="00C27413" w14:paraId="110024D5"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08133E83"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1.6.1 Defensa.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551DFB6" w14:textId="502EEF09"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64E02774"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4D91BF71"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1.6.2 Marina.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B6A3780" w14:textId="75800434"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49D3AFEC"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06567405"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1.6.3 Inteligencia para la Preservación de la Seguridad Nacional.</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DADA65A" w14:textId="499BBD6E"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1E151919"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5910D9C8" w14:textId="77777777" w:rsidR="00C27413" w:rsidRDefault="00C27413" w:rsidP="00C27413">
            <w:pPr>
              <w:numPr>
                <w:ilvl w:val="1"/>
                <w:numId w:val="2"/>
              </w:numPr>
              <w:tabs>
                <w:tab w:val="left" w:pos="397"/>
              </w:tabs>
              <w:spacing w:line="256" w:lineRule="auto"/>
              <w:ind w:left="0" w:firstLine="0"/>
              <w:rPr>
                <w:rFonts w:cs="Arial"/>
                <w:b/>
                <w:sz w:val="20"/>
                <w:szCs w:val="20"/>
                <w:lang w:val="es-ES" w:eastAsia="en-US"/>
              </w:rPr>
            </w:pPr>
            <w:r>
              <w:rPr>
                <w:rFonts w:cs="Arial"/>
                <w:b/>
                <w:sz w:val="20"/>
                <w:szCs w:val="20"/>
                <w:lang w:val="es-ES" w:eastAsia="en-US"/>
              </w:rPr>
              <w:t>ASUNTOS DE ORDEN PÚBLICO Y DE SEGURIDAD INTERIOR.</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67FC0D1" w14:textId="17647A1B"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1,018,900,568 </w:t>
            </w:r>
          </w:p>
        </w:tc>
      </w:tr>
      <w:tr w:rsidR="00C27413" w14:paraId="12AC811B"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2A70A1A2"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1.7.1 Policía.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DF59D9E" w14:textId="7FFE1DDC"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399,816,244 </w:t>
            </w:r>
          </w:p>
        </w:tc>
      </w:tr>
      <w:tr w:rsidR="00C27413" w14:paraId="284B6BE9"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7EE19FF4"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1.7.2 Protección Civil.</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0C247DB" w14:textId="082C9546"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53,343,686 </w:t>
            </w:r>
          </w:p>
        </w:tc>
      </w:tr>
      <w:tr w:rsidR="00C27413" w14:paraId="247C5F48"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70778AD4"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1.7.3 Otros Asuntos de Orden Público y Seguridad.</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515E845" w14:textId="66B200F0"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113,041,441 </w:t>
            </w:r>
          </w:p>
        </w:tc>
      </w:tr>
      <w:tr w:rsidR="00C27413" w14:paraId="6A55B2C8"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52601A2F"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1.7.4 Sistema Nacional de Seguridad Pública.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BD94C6C" w14:textId="4ACD7A75"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452,699,197 </w:t>
            </w:r>
          </w:p>
        </w:tc>
      </w:tr>
      <w:tr w:rsidR="00C27413" w14:paraId="2106A214"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74B8A3E8" w14:textId="77777777" w:rsidR="00C27413" w:rsidRDefault="00C27413" w:rsidP="00C27413">
            <w:pPr>
              <w:numPr>
                <w:ilvl w:val="1"/>
                <w:numId w:val="2"/>
              </w:numPr>
              <w:tabs>
                <w:tab w:val="left" w:pos="427"/>
              </w:tabs>
              <w:spacing w:line="256" w:lineRule="auto"/>
              <w:ind w:left="0" w:firstLine="0"/>
              <w:rPr>
                <w:rFonts w:cs="Arial"/>
                <w:b/>
                <w:sz w:val="20"/>
                <w:szCs w:val="20"/>
                <w:lang w:val="es-ES" w:eastAsia="en-US"/>
              </w:rPr>
            </w:pPr>
            <w:r>
              <w:rPr>
                <w:rFonts w:cs="Arial"/>
                <w:b/>
                <w:sz w:val="20"/>
                <w:szCs w:val="20"/>
                <w:lang w:val="es-ES" w:eastAsia="en-US"/>
              </w:rPr>
              <w:t>OTROS SERVICIOS GENERALES.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A74E1C8" w14:textId="6EE7E52D"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362,372,111 </w:t>
            </w:r>
          </w:p>
        </w:tc>
      </w:tr>
      <w:tr w:rsidR="00C27413" w14:paraId="0703F35F"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1684ACBD"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1.8.1 Servicios Registrales, Administrativos y Patrimoniales.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AE38F78" w14:textId="02CB2438"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46,635,950 </w:t>
            </w:r>
          </w:p>
        </w:tc>
      </w:tr>
      <w:tr w:rsidR="00C27413" w14:paraId="372361F4"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3D9C31E5"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1.8.2 Servicios Estadísticos.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2C32E261" w14:textId="17FA23FF"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0128E398"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6371A8C0"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1.8.3 Servicios de Comunicación y Medios.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A63C929" w14:textId="27C2249F"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43F6D2C9"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18AFEC74"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1.8.4 Acceso a la Información Pública Gubernamental.</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00ED464" w14:textId="50410CF6"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22,760,557 </w:t>
            </w:r>
          </w:p>
        </w:tc>
      </w:tr>
      <w:tr w:rsidR="00C27413" w14:paraId="5503CAAE"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6F015207"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1.8.5 Otros.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20B4D95F" w14:textId="5D954363"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292,975,604 </w:t>
            </w:r>
          </w:p>
        </w:tc>
      </w:tr>
      <w:tr w:rsidR="00C27413" w14:paraId="24548BF4"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0D8365C2" w14:textId="77777777" w:rsidR="00C27413" w:rsidRDefault="00C27413" w:rsidP="00C27413">
            <w:pPr>
              <w:numPr>
                <w:ilvl w:val="0"/>
                <w:numId w:val="2"/>
              </w:numPr>
              <w:spacing w:line="256" w:lineRule="auto"/>
              <w:ind w:left="0"/>
              <w:rPr>
                <w:rFonts w:cs="Arial"/>
                <w:b/>
                <w:sz w:val="20"/>
                <w:szCs w:val="20"/>
                <w:lang w:val="es-ES" w:eastAsia="en-US"/>
              </w:rPr>
            </w:pPr>
            <w:r>
              <w:rPr>
                <w:rFonts w:cs="Arial"/>
                <w:b/>
                <w:sz w:val="20"/>
                <w:szCs w:val="20"/>
                <w:lang w:val="es-ES" w:eastAsia="en-US"/>
              </w:rPr>
              <w:lastRenderedPageBreak/>
              <w:t>2. DESARROLLO SOCIAL.</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4E37036" w14:textId="39BA600F"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14,856,710,754 </w:t>
            </w:r>
          </w:p>
        </w:tc>
      </w:tr>
      <w:tr w:rsidR="00C27413" w14:paraId="06D8E0B2"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5A89DC4A" w14:textId="77777777" w:rsidR="00C27413" w:rsidRDefault="00C27413" w:rsidP="00C27413">
            <w:pPr>
              <w:spacing w:line="256" w:lineRule="auto"/>
              <w:rPr>
                <w:rFonts w:cs="Arial"/>
                <w:b/>
                <w:sz w:val="20"/>
                <w:szCs w:val="20"/>
                <w:lang w:val="es-ES" w:eastAsia="en-US"/>
              </w:rPr>
            </w:pPr>
            <w:r>
              <w:rPr>
                <w:rFonts w:cs="Arial"/>
                <w:b/>
                <w:sz w:val="20"/>
                <w:szCs w:val="20"/>
                <w:lang w:val="es-ES" w:eastAsia="en-US"/>
              </w:rPr>
              <w:t>2.1.  PROTECCIÓN AMBIENTAL.</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5D4FC1D" w14:textId="3B178B31"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103,225,069 </w:t>
            </w:r>
          </w:p>
        </w:tc>
      </w:tr>
      <w:tr w:rsidR="00C27413" w14:paraId="0B11DA3D"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4930BF64"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2.1.1 Ordenación de Desechos.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E2B380A" w14:textId="6B5566D6"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21,730,883 </w:t>
            </w:r>
          </w:p>
        </w:tc>
      </w:tr>
      <w:tr w:rsidR="00C27413" w14:paraId="43581329"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46EDFA5A"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2.1.2 Administración del Agua.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2AA1E45" w14:textId="1521334E"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18,003,814 </w:t>
            </w:r>
          </w:p>
        </w:tc>
      </w:tr>
      <w:tr w:rsidR="00C27413" w14:paraId="151B43FF"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24E3DA6C"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2.1.3 Ordenación de Aguas Residuales, Drenaje y Alcantarillado.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43F227F" w14:textId="3A29CB73"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5,034,000 </w:t>
            </w:r>
          </w:p>
        </w:tc>
      </w:tr>
      <w:tr w:rsidR="00C27413" w14:paraId="0E843D2F"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520C49A7"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2.1.4 Reducción de la Contaminación.</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C727877" w14:textId="644D40AF"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2EC55431"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022BE049"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2.1.5 Protección de la Diversidad Biológica y del Paisaje.</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8480A70" w14:textId="516BF41F"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1C94810D"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633B9CB0"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2.1.6 Otros de Protección Ambiental.</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0F6F152" w14:textId="395160E9"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58,456,372 </w:t>
            </w:r>
          </w:p>
        </w:tc>
      </w:tr>
      <w:tr w:rsidR="00C27413" w14:paraId="0333C224"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08279449" w14:textId="77777777" w:rsidR="00C27413" w:rsidRDefault="00C27413" w:rsidP="00C27413">
            <w:pPr>
              <w:spacing w:line="256" w:lineRule="auto"/>
              <w:rPr>
                <w:rFonts w:cs="Arial"/>
                <w:b/>
                <w:sz w:val="20"/>
                <w:szCs w:val="20"/>
                <w:lang w:val="es-ES" w:eastAsia="en-US"/>
              </w:rPr>
            </w:pPr>
            <w:r>
              <w:rPr>
                <w:rFonts w:cs="Arial"/>
                <w:b/>
                <w:sz w:val="20"/>
                <w:szCs w:val="20"/>
                <w:lang w:val="es-ES" w:eastAsia="en-US"/>
              </w:rPr>
              <w:t>2.2.  VIVIENDA Y SERVICIOS A LA COMUNIDAD.</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1707B36" w14:textId="4575F051"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38,247,512 </w:t>
            </w:r>
          </w:p>
        </w:tc>
      </w:tr>
      <w:tr w:rsidR="00C27413" w14:paraId="27E24EF2"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73AB9027"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2.2.1 Urbanización.</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7C62767" w14:textId="54181729"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37,242,512 </w:t>
            </w:r>
          </w:p>
        </w:tc>
      </w:tr>
      <w:tr w:rsidR="00C27413" w14:paraId="085F0BEA"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2FFB5A0E"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2.2.2 Desarrollo Comunitario.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8BA9125" w14:textId="3FD5A2DC"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1F5235C6"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4158D0D2"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2.2.3 Abastecimiento de Agua.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74FE6B4" w14:textId="7D5367B3"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1,005,000 </w:t>
            </w:r>
          </w:p>
        </w:tc>
      </w:tr>
      <w:tr w:rsidR="00C27413" w14:paraId="3D7A8426"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2FE5B11E"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2.2.4 Alumbrado Público.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9C88A9E" w14:textId="316F6840"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56821D6C"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202C7ADA"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2.2.5 Vivienda.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571B6E3" w14:textId="6FE1D1A7"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61E092BF"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58AF94D8"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2.2.6 Servicios Comunales.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2EE0FCA" w14:textId="1AB62CC2"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79DDD021"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7F6A8578"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2.2.7 Desarrollo Regional.</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48F55DD" w14:textId="7C846CBE"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72C3A0A2"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4D8681D1" w14:textId="77777777" w:rsidR="00C27413" w:rsidRDefault="00C27413" w:rsidP="00C27413">
            <w:pPr>
              <w:spacing w:line="256" w:lineRule="auto"/>
              <w:rPr>
                <w:rFonts w:cs="Arial"/>
                <w:b/>
                <w:sz w:val="20"/>
                <w:szCs w:val="20"/>
                <w:lang w:val="es-ES" w:eastAsia="en-US"/>
              </w:rPr>
            </w:pPr>
            <w:r>
              <w:rPr>
                <w:rFonts w:cs="Arial"/>
                <w:b/>
                <w:sz w:val="20"/>
                <w:szCs w:val="20"/>
                <w:lang w:val="es-ES" w:eastAsia="en-US"/>
              </w:rPr>
              <w:t>2.3.  SALUD.</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C2F0445" w14:textId="3CBD24A6"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2,505,979,102 </w:t>
            </w:r>
          </w:p>
        </w:tc>
      </w:tr>
      <w:tr w:rsidR="00C27413" w14:paraId="7C11B871"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55F65153"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2.3.1 Prestación de Servicios de Salud a la Comunidad.</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59ABB56" w14:textId="3FFCC42F"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503,935,200 </w:t>
            </w:r>
          </w:p>
        </w:tc>
      </w:tr>
      <w:tr w:rsidR="00C27413" w14:paraId="02779157"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4EDDBDF6"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2.3.2 Prestación de Servicios de Salud a la Persona.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2BCD6A66" w14:textId="7C62CF8E"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1,845,138,124 </w:t>
            </w:r>
          </w:p>
        </w:tc>
      </w:tr>
      <w:tr w:rsidR="00C27413" w14:paraId="2347AE28"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400F789E"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2.3.3 Generación de Recursos para la Salud.</w:t>
            </w:r>
          </w:p>
        </w:tc>
        <w:tc>
          <w:tcPr>
            <w:tcW w:w="1697" w:type="dxa"/>
            <w:tcBorders>
              <w:top w:val="single" w:sz="4" w:space="0" w:color="auto"/>
              <w:left w:val="single" w:sz="4" w:space="0" w:color="auto"/>
              <w:bottom w:val="single" w:sz="4" w:space="0" w:color="auto"/>
              <w:right w:val="single" w:sz="4" w:space="0" w:color="auto"/>
            </w:tcBorders>
            <w:vAlign w:val="center"/>
            <w:hideMark/>
          </w:tcPr>
          <w:p w14:paraId="2C932037" w14:textId="192079B0"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3ED1788C"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0FF0F5A6"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2.3.4 Rectoría del Sistema de Salud.</w:t>
            </w:r>
          </w:p>
        </w:tc>
        <w:tc>
          <w:tcPr>
            <w:tcW w:w="1697" w:type="dxa"/>
            <w:tcBorders>
              <w:top w:val="single" w:sz="4" w:space="0" w:color="auto"/>
              <w:left w:val="single" w:sz="4" w:space="0" w:color="auto"/>
              <w:bottom w:val="single" w:sz="4" w:space="0" w:color="auto"/>
              <w:right w:val="single" w:sz="4" w:space="0" w:color="auto"/>
            </w:tcBorders>
            <w:vAlign w:val="center"/>
            <w:hideMark/>
          </w:tcPr>
          <w:p w14:paraId="2A0C8EDD" w14:textId="3F81A15A"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156,905,778 </w:t>
            </w:r>
          </w:p>
        </w:tc>
      </w:tr>
      <w:tr w:rsidR="00C27413" w14:paraId="35D3C7D4"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050A588C"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2.3.5 Protección Social en Salud.</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8F3A37C" w14:textId="0DBEAD90"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710BBCE2"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18A5EC8E" w14:textId="77777777" w:rsidR="00C27413" w:rsidRDefault="00C27413" w:rsidP="00C27413">
            <w:pPr>
              <w:spacing w:line="256" w:lineRule="auto"/>
              <w:ind w:left="567" w:hanging="567"/>
              <w:rPr>
                <w:rFonts w:cs="Arial"/>
                <w:b/>
                <w:sz w:val="20"/>
                <w:szCs w:val="20"/>
                <w:lang w:val="es-ES" w:eastAsia="en-US"/>
              </w:rPr>
            </w:pPr>
            <w:r>
              <w:rPr>
                <w:rFonts w:cs="Arial"/>
                <w:b/>
                <w:sz w:val="20"/>
                <w:szCs w:val="20"/>
                <w:lang w:val="es-ES" w:eastAsia="en-US"/>
              </w:rPr>
              <w:t>2.4. RECREACIÓN, CULTURA Y OTRAS MANIFESTACIONES SOCIALES.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070C393" w14:textId="325822E2"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217,756,560 </w:t>
            </w:r>
          </w:p>
        </w:tc>
      </w:tr>
      <w:tr w:rsidR="00C27413" w14:paraId="42EDB162"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6A5A2C2D"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2.4.1 Deporte y Recreación.</w:t>
            </w:r>
          </w:p>
        </w:tc>
        <w:tc>
          <w:tcPr>
            <w:tcW w:w="1697" w:type="dxa"/>
            <w:tcBorders>
              <w:top w:val="single" w:sz="4" w:space="0" w:color="auto"/>
              <w:left w:val="single" w:sz="4" w:space="0" w:color="auto"/>
              <w:bottom w:val="single" w:sz="4" w:space="0" w:color="auto"/>
              <w:right w:val="single" w:sz="4" w:space="0" w:color="auto"/>
            </w:tcBorders>
            <w:vAlign w:val="center"/>
            <w:hideMark/>
          </w:tcPr>
          <w:p w14:paraId="205DA0C7" w14:textId="5C338F2D"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78,037,815 </w:t>
            </w:r>
          </w:p>
        </w:tc>
      </w:tr>
      <w:tr w:rsidR="00C27413" w14:paraId="2AE6EFE1"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33BAD432"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2.4.2 Cultura.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216B429B" w14:textId="019C6D6C"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108,184,463 </w:t>
            </w:r>
          </w:p>
        </w:tc>
      </w:tr>
      <w:tr w:rsidR="00C27413" w14:paraId="6CA1A07F"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788D4DB9"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2.4.3 Radio, Televisión y Editoriales.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FEB9AE1" w14:textId="505793FB"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31,534,282 </w:t>
            </w:r>
          </w:p>
        </w:tc>
      </w:tr>
      <w:tr w:rsidR="00C27413" w14:paraId="002D5BC3"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0F972485"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2.4.4 Asuntos Religiosos y Otras Manifestaciones Sociales.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460C9E0" w14:textId="64BDADAF"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63AEEBB4"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672602F5" w14:textId="77777777" w:rsidR="00C27413" w:rsidRDefault="00C27413" w:rsidP="00C27413">
            <w:pPr>
              <w:spacing w:line="256" w:lineRule="auto"/>
              <w:rPr>
                <w:rFonts w:cs="Arial"/>
                <w:b/>
                <w:sz w:val="20"/>
                <w:szCs w:val="20"/>
                <w:lang w:val="es-ES" w:eastAsia="en-US"/>
              </w:rPr>
            </w:pPr>
            <w:r>
              <w:rPr>
                <w:rFonts w:cs="Arial"/>
                <w:b/>
                <w:sz w:val="20"/>
                <w:szCs w:val="20"/>
                <w:lang w:val="es-ES" w:eastAsia="en-US"/>
              </w:rPr>
              <w:t>2.5.  EDUCACIÓN.</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84C56E9" w14:textId="7CFF6B0F"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9,209,865,062 </w:t>
            </w:r>
          </w:p>
        </w:tc>
      </w:tr>
      <w:tr w:rsidR="00C27413" w14:paraId="741DEA61"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48954809"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2.5.1 Educación Básica.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21F94D79" w14:textId="3F7C93DD"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5,961,131,470 </w:t>
            </w:r>
          </w:p>
        </w:tc>
      </w:tr>
      <w:tr w:rsidR="00C27413" w14:paraId="0BB9B746"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3AB579C2"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2.5.2 Educación Media Superior.</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F0CDE51" w14:textId="4D948D28"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1,003,686,675 </w:t>
            </w:r>
          </w:p>
        </w:tc>
      </w:tr>
      <w:tr w:rsidR="00C27413" w14:paraId="49FE3211"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6EB8B6D8"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2.5.3 Educación Superior.</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F4B6212" w14:textId="0643753D"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2,220,486,597 </w:t>
            </w:r>
          </w:p>
        </w:tc>
      </w:tr>
      <w:tr w:rsidR="00C27413" w14:paraId="0693A321"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37D394BC"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2.5.4 Posgrado.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AFDD2FA" w14:textId="339B33C9"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21DDAFD1"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68E5E873"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2.5.5 Educación para Adultos.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7137E36" w14:textId="7DB7D3A6"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7,938,289 </w:t>
            </w:r>
          </w:p>
        </w:tc>
      </w:tr>
      <w:tr w:rsidR="00C27413" w14:paraId="17DC4435"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50AEA25E"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2.5.6 Otros Servicios Educativos y Actividades Inherentes.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697C7E3" w14:textId="6CF6FDBC"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16,622,031 </w:t>
            </w:r>
          </w:p>
        </w:tc>
      </w:tr>
      <w:tr w:rsidR="00C27413" w14:paraId="210D72EB"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78315894" w14:textId="77777777" w:rsidR="00C27413" w:rsidRDefault="00C27413" w:rsidP="00C27413">
            <w:pPr>
              <w:spacing w:line="256" w:lineRule="auto"/>
              <w:rPr>
                <w:rFonts w:cs="Arial"/>
                <w:b/>
                <w:sz w:val="20"/>
                <w:szCs w:val="20"/>
                <w:lang w:val="es-ES" w:eastAsia="en-US"/>
              </w:rPr>
            </w:pPr>
            <w:r>
              <w:rPr>
                <w:rFonts w:cs="Arial"/>
                <w:b/>
                <w:sz w:val="20"/>
                <w:szCs w:val="20"/>
                <w:lang w:val="es-ES" w:eastAsia="en-US"/>
              </w:rPr>
              <w:t>2.6.  PROTECCIÓN SOCIAL.</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8200FDE" w14:textId="3CA95FF9"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2,214,834,654 </w:t>
            </w:r>
          </w:p>
        </w:tc>
      </w:tr>
      <w:tr w:rsidR="00C27413" w14:paraId="1981E851"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1BFE6ED9"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2.6.1 Enfermedad e Incapacidad.</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AEF4DA2" w14:textId="7A953AD3"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753A8E6E"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27BA2233"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2.6.2 Edad Avanzada.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2ABECFE7" w14:textId="476C9A6B"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1,624,463,118 </w:t>
            </w:r>
          </w:p>
        </w:tc>
      </w:tr>
      <w:tr w:rsidR="00C27413" w14:paraId="6CF1B4BE"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62771708"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2.6.3 Familia e Hijos.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DBB7E87" w14:textId="637FDA70"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19,112,133 </w:t>
            </w:r>
          </w:p>
        </w:tc>
      </w:tr>
      <w:tr w:rsidR="00C27413" w14:paraId="5B747AAD"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0FAFC39B"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lastRenderedPageBreak/>
              <w:t>2.6.4 Desempleo.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4EFB80B" w14:textId="06D7531A"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6F11D110"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1E932248"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2.6.5 Alimentación y Nutrición.</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D96D90F" w14:textId="2D5A98AC"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5C6C83F7"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198E50FF"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2.6.6 Apoyo Social para la Vivienda.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3C5F59F" w14:textId="17FEB390"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50,152,755 </w:t>
            </w:r>
          </w:p>
        </w:tc>
      </w:tr>
      <w:tr w:rsidR="00C27413" w14:paraId="5904B13C"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4A0F8534"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2.6.7 Indígenas.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075FA00" w14:textId="7D63F4DE"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713,795 </w:t>
            </w:r>
          </w:p>
        </w:tc>
      </w:tr>
      <w:tr w:rsidR="00C27413" w14:paraId="5D301D66"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24101F78"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2.6.8 Otros Grupos Vulnerables.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993FBD0" w14:textId="23202B77"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506,280,283 </w:t>
            </w:r>
          </w:p>
        </w:tc>
      </w:tr>
      <w:tr w:rsidR="00C27413" w14:paraId="616F8B5C"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19E4ACCC"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2.6.9 Otros de Seguridad Social y Asistencia Social.</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4C5C04F" w14:textId="6921FD63"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14,112,570 </w:t>
            </w:r>
          </w:p>
        </w:tc>
      </w:tr>
      <w:tr w:rsidR="00C27413" w14:paraId="1202D0C8"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0F424196" w14:textId="77777777" w:rsidR="00C27413" w:rsidRDefault="00C27413" w:rsidP="00C27413">
            <w:pPr>
              <w:spacing w:line="256" w:lineRule="auto"/>
              <w:rPr>
                <w:rFonts w:cs="Arial"/>
                <w:b/>
                <w:sz w:val="20"/>
                <w:szCs w:val="20"/>
                <w:lang w:val="es-ES" w:eastAsia="en-US"/>
              </w:rPr>
            </w:pPr>
            <w:r>
              <w:rPr>
                <w:rFonts w:cs="Arial"/>
                <w:b/>
                <w:sz w:val="20"/>
                <w:szCs w:val="20"/>
                <w:lang w:val="es-ES" w:eastAsia="en-US"/>
              </w:rPr>
              <w:t>2.7. OTROS ASUNTOS SOCIALES.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BDABFF3" w14:textId="77DD9ACC"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566,802,795 </w:t>
            </w:r>
          </w:p>
        </w:tc>
      </w:tr>
      <w:tr w:rsidR="00C27413" w14:paraId="008889D2"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111033BE" w14:textId="77777777" w:rsidR="00C27413" w:rsidRDefault="00C27413" w:rsidP="00C27413">
            <w:pPr>
              <w:spacing w:line="256" w:lineRule="auto"/>
              <w:rPr>
                <w:rFonts w:cs="Arial"/>
                <w:sz w:val="20"/>
                <w:szCs w:val="20"/>
                <w:lang w:val="es-ES" w:eastAsia="en-US"/>
              </w:rPr>
            </w:pPr>
            <w:r>
              <w:rPr>
                <w:rFonts w:cs="Arial"/>
                <w:sz w:val="20"/>
                <w:szCs w:val="20"/>
                <w:lang w:val="es-ES" w:eastAsia="en-US"/>
              </w:rPr>
              <w:t>2.7.1 Otros Asuntos Sociales.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59DC482" w14:textId="0CFE5D32"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566,802,795 </w:t>
            </w:r>
          </w:p>
        </w:tc>
      </w:tr>
      <w:tr w:rsidR="00C27413" w14:paraId="69EB5E76"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111BE18F" w14:textId="77777777" w:rsidR="00C27413" w:rsidRDefault="00C27413" w:rsidP="00C27413">
            <w:pPr>
              <w:spacing w:line="256" w:lineRule="auto"/>
              <w:rPr>
                <w:rFonts w:cs="Arial"/>
                <w:b/>
                <w:sz w:val="20"/>
                <w:szCs w:val="20"/>
                <w:lang w:val="es-ES" w:eastAsia="en-US"/>
              </w:rPr>
            </w:pPr>
            <w:r>
              <w:rPr>
                <w:rFonts w:cs="Arial"/>
                <w:b/>
                <w:sz w:val="20"/>
                <w:szCs w:val="20"/>
                <w:lang w:val="es-ES" w:eastAsia="en-US"/>
              </w:rPr>
              <w:t>3. DESARROLLO ECONÓMICO.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5A8DB20" w14:textId="529CD1B0"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639,604,350 </w:t>
            </w:r>
          </w:p>
        </w:tc>
      </w:tr>
      <w:tr w:rsidR="00C27413" w14:paraId="2A900886"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0593B275" w14:textId="77777777" w:rsidR="00C27413" w:rsidRDefault="00C27413" w:rsidP="00C27413">
            <w:pPr>
              <w:spacing w:line="256" w:lineRule="auto"/>
              <w:ind w:left="567" w:hanging="567"/>
              <w:rPr>
                <w:rFonts w:cs="Arial"/>
                <w:b/>
                <w:sz w:val="20"/>
                <w:szCs w:val="20"/>
                <w:lang w:val="es-ES" w:eastAsia="en-US"/>
              </w:rPr>
            </w:pPr>
            <w:r>
              <w:rPr>
                <w:rFonts w:cs="Arial"/>
                <w:b/>
                <w:sz w:val="20"/>
                <w:szCs w:val="20"/>
                <w:lang w:val="es-ES" w:eastAsia="en-US"/>
              </w:rPr>
              <w:t>3.1. ASUNTOS ECONÓMICOS, COMERCIALES Y LABORALES EN GENERAL.</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E31E0F6" w14:textId="5F6CB985"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114,082,943 </w:t>
            </w:r>
          </w:p>
        </w:tc>
      </w:tr>
      <w:tr w:rsidR="00C27413" w14:paraId="5360AFF8"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72A3B745"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3.1.1 Asuntos Económicos y Comerciales en General.</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DBAD3EC" w14:textId="0F8EABD0"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56,007,820 </w:t>
            </w:r>
          </w:p>
        </w:tc>
      </w:tr>
      <w:tr w:rsidR="00C27413" w14:paraId="78B28E59"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3F4B8F84"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3.1.2 Asuntos Laborales Generales.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0CD8D4C" w14:textId="1EFC648E"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58,075,123 </w:t>
            </w:r>
          </w:p>
        </w:tc>
      </w:tr>
      <w:tr w:rsidR="00C27413" w14:paraId="3F17347A"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750BE231" w14:textId="77777777" w:rsidR="00C27413" w:rsidRDefault="00C27413" w:rsidP="00C27413">
            <w:pPr>
              <w:spacing w:line="256" w:lineRule="auto"/>
              <w:rPr>
                <w:rFonts w:cs="Arial"/>
                <w:b/>
                <w:sz w:val="20"/>
                <w:szCs w:val="20"/>
                <w:lang w:val="es-ES" w:eastAsia="en-US"/>
              </w:rPr>
            </w:pPr>
            <w:r>
              <w:rPr>
                <w:rFonts w:cs="Arial"/>
                <w:b/>
                <w:sz w:val="20"/>
                <w:szCs w:val="20"/>
                <w:lang w:val="es-ES" w:eastAsia="en-US"/>
              </w:rPr>
              <w:t>3.2. AGROPECUARIA, SILVICULTURA, PESCA Y CAZA.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3F1675D" w14:textId="4A094F11"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106,711,551 </w:t>
            </w:r>
          </w:p>
        </w:tc>
      </w:tr>
      <w:tr w:rsidR="00C27413" w14:paraId="0C05A266"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7844F00D"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3.2.1 Agropecuaria.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7BA2AB9" w14:textId="2BA7B1E7"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76,284,472 </w:t>
            </w:r>
          </w:p>
        </w:tc>
      </w:tr>
      <w:tr w:rsidR="00C27413" w14:paraId="141BFBC4"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4F33D674"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3.2.2 Silvicultura.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2B71136" w14:textId="25A64EFC"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10,643,121 </w:t>
            </w:r>
          </w:p>
        </w:tc>
      </w:tr>
      <w:tr w:rsidR="00C27413" w14:paraId="51EF2E01"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10965C0F"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3.2.3 Acuacultura, Pesca y Caza.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356545B" w14:textId="0649CD6C"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2,503,558 </w:t>
            </w:r>
          </w:p>
        </w:tc>
      </w:tr>
      <w:tr w:rsidR="00C27413" w14:paraId="5DD8F40C"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5FC4BB72"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3.2.4 Agroindustrial.</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957F183" w14:textId="1AEDC447"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53951E98"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671758CF"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3.2.5 Hidroagrícola.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5B6DEFC" w14:textId="56A1C7EC"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17,280,400 </w:t>
            </w:r>
          </w:p>
        </w:tc>
      </w:tr>
      <w:tr w:rsidR="00C27413" w14:paraId="6FF810F9"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1AC39E23"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3.2.6 Apoyo Financiero a la Banca y Seguro Agropecuario.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D96744A" w14:textId="14FCEDD5"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71C98113"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1AB01559" w14:textId="77777777" w:rsidR="00C27413" w:rsidRDefault="00C27413" w:rsidP="00C27413">
            <w:pPr>
              <w:spacing w:line="256" w:lineRule="auto"/>
              <w:rPr>
                <w:rFonts w:cs="Arial"/>
                <w:b/>
                <w:sz w:val="20"/>
                <w:szCs w:val="20"/>
                <w:lang w:val="es-ES" w:eastAsia="en-US"/>
              </w:rPr>
            </w:pPr>
            <w:r>
              <w:rPr>
                <w:rFonts w:cs="Arial"/>
                <w:b/>
                <w:sz w:val="20"/>
                <w:szCs w:val="20"/>
                <w:lang w:val="es-ES" w:eastAsia="en-US"/>
              </w:rPr>
              <w:t>3.3.  COMBUSTIBLES Y ENERGÍA.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02FB898" w14:textId="22B0DADF"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0 </w:t>
            </w:r>
          </w:p>
        </w:tc>
      </w:tr>
      <w:tr w:rsidR="00C27413" w14:paraId="2E828A3E"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5A69986F"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3.3.1 Carbón y Otros Combustibles Minerales Sólidos.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2009AEC5" w14:textId="48411026"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5CC0B86B"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60FE3BB9"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3.3.2 Petróleo y Gas Natural (Hidrocarburos).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44601D3" w14:textId="66D98A0F"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2BEC4864"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686FC69F"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3.3.3 Combustibles Nucleares.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2323B53A" w14:textId="00581EC9"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2F21059F"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22A1E166"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3.3.4 Otros Combustibles.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750BAF4" w14:textId="08276939"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76D17ABD"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20E17C94"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3.3.5 Electricidad.</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5750F1D" w14:textId="6E59408C"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6AFD12F8"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5D5E8F22"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3.3.6 Energía no Eléctrica.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FA5E98A" w14:textId="47D4BF64"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7D0ECDF9"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09CDAB02" w14:textId="77777777" w:rsidR="00C27413" w:rsidRDefault="00C27413" w:rsidP="00C27413">
            <w:pPr>
              <w:spacing w:line="256" w:lineRule="auto"/>
              <w:rPr>
                <w:rFonts w:cs="Arial"/>
                <w:b/>
                <w:sz w:val="20"/>
                <w:szCs w:val="20"/>
                <w:lang w:val="es-ES" w:eastAsia="en-US"/>
              </w:rPr>
            </w:pPr>
            <w:r>
              <w:rPr>
                <w:rFonts w:cs="Arial"/>
                <w:b/>
                <w:sz w:val="20"/>
                <w:szCs w:val="20"/>
                <w:lang w:val="es-ES" w:eastAsia="en-US"/>
              </w:rPr>
              <w:t>3.4.  MINERÍA, MANUFACTURAS Y CONSTRUCCIÓN.</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2262965" w14:textId="0CD605BF"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0 </w:t>
            </w:r>
          </w:p>
        </w:tc>
      </w:tr>
      <w:tr w:rsidR="00C27413" w14:paraId="4DF6FE34"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3C00B1D5"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3.4.1 Extracción de Recursos Minerales Excepto los Combustibles Minerales.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1B31345" w14:textId="6D035C5A"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1318F5E2"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1782FD51"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3.4.2 Manufacturas.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73CD08A" w14:textId="140E479F"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61FDAF34"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3F9D97F9"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3.4.3 Construcción.</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BDC0021" w14:textId="27AC4CD3"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0B3C294A"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5C374717" w14:textId="77777777" w:rsidR="00C27413" w:rsidRDefault="00C27413" w:rsidP="00C27413">
            <w:pPr>
              <w:spacing w:line="256" w:lineRule="auto"/>
              <w:rPr>
                <w:rFonts w:cs="Arial"/>
                <w:b/>
                <w:sz w:val="20"/>
                <w:szCs w:val="20"/>
                <w:lang w:val="es-ES" w:eastAsia="en-US"/>
              </w:rPr>
            </w:pPr>
            <w:r>
              <w:rPr>
                <w:rFonts w:cs="Arial"/>
                <w:b/>
                <w:sz w:val="20"/>
                <w:szCs w:val="20"/>
                <w:lang w:val="es-ES" w:eastAsia="en-US"/>
              </w:rPr>
              <w:t>3.5. TRANSPORTE.</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FAF1818" w14:textId="1DDDA39B"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322,875,390 </w:t>
            </w:r>
          </w:p>
        </w:tc>
      </w:tr>
      <w:tr w:rsidR="00C27413" w14:paraId="1F6574F3"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1E08A3D2"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3.5.1 Transporte por Carretera.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C818202" w14:textId="7D324B27"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322,875,390 </w:t>
            </w:r>
          </w:p>
        </w:tc>
      </w:tr>
      <w:tr w:rsidR="00C27413" w14:paraId="0B319D97"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1244492D"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3.5.2 Transporte por Agua y Puertos.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0B7EDFB" w14:textId="21F05177"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1890706C"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09775072"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3.5.3 Transporte por Ferrocarril.</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155EDCC" w14:textId="003EF7A9"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2978D4DD"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78359362"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3.5.4 Transporte Aéreo.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A6400A0" w14:textId="12404A1D"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7B4B19DB"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1B8AFADA"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3.5.5 Transporte por Oleoductos y Gasoductos y Otros Sistemas de Transporte.</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DC64B7F" w14:textId="792AFE65"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1D274D18"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0B2BD4C8" w14:textId="77777777" w:rsidR="00C27413" w:rsidRDefault="00C27413" w:rsidP="00C27413">
            <w:pPr>
              <w:spacing w:line="256" w:lineRule="auto"/>
              <w:rPr>
                <w:rFonts w:cs="Arial"/>
                <w:sz w:val="20"/>
                <w:szCs w:val="20"/>
                <w:lang w:val="es-ES" w:eastAsia="en-US"/>
              </w:rPr>
            </w:pPr>
            <w:r>
              <w:rPr>
                <w:rFonts w:cs="Arial"/>
                <w:sz w:val="20"/>
                <w:szCs w:val="20"/>
                <w:lang w:val="es-ES" w:eastAsia="en-US"/>
              </w:rPr>
              <w:lastRenderedPageBreak/>
              <w:t>3.5.6 Otros Relacionados con Transporte.</w:t>
            </w:r>
          </w:p>
        </w:tc>
        <w:tc>
          <w:tcPr>
            <w:tcW w:w="1697" w:type="dxa"/>
            <w:tcBorders>
              <w:top w:val="single" w:sz="4" w:space="0" w:color="auto"/>
              <w:left w:val="single" w:sz="4" w:space="0" w:color="auto"/>
              <w:bottom w:val="single" w:sz="4" w:space="0" w:color="auto"/>
              <w:right w:val="single" w:sz="4" w:space="0" w:color="auto"/>
            </w:tcBorders>
            <w:vAlign w:val="center"/>
            <w:hideMark/>
          </w:tcPr>
          <w:p w14:paraId="2B8EB7A0" w14:textId="04E2FDB2"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74C3E95A"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07C54EA4" w14:textId="77777777" w:rsidR="00C27413" w:rsidRDefault="00C27413" w:rsidP="00C27413">
            <w:pPr>
              <w:spacing w:line="256" w:lineRule="auto"/>
              <w:rPr>
                <w:rFonts w:cs="Arial"/>
                <w:b/>
                <w:sz w:val="20"/>
                <w:szCs w:val="20"/>
                <w:lang w:val="es-ES" w:eastAsia="en-US"/>
              </w:rPr>
            </w:pPr>
            <w:r>
              <w:rPr>
                <w:rFonts w:cs="Arial"/>
                <w:b/>
                <w:sz w:val="20"/>
                <w:szCs w:val="20"/>
                <w:lang w:val="es-ES" w:eastAsia="en-US"/>
              </w:rPr>
              <w:t>3.6.  COMUNICACIONES.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766908B" w14:textId="0048543D"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0 </w:t>
            </w:r>
          </w:p>
        </w:tc>
      </w:tr>
      <w:tr w:rsidR="00C27413" w14:paraId="4A246A3F"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1ADC1F21" w14:textId="77777777" w:rsidR="00C27413" w:rsidRDefault="00C27413" w:rsidP="00C27413">
            <w:pPr>
              <w:spacing w:line="256" w:lineRule="auto"/>
              <w:rPr>
                <w:rFonts w:cs="Arial"/>
                <w:sz w:val="20"/>
                <w:szCs w:val="20"/>
                <w:lang w:val="es-ES" w:eastAsia="en-US"/>
              </w:rPr>
            </w:pPr>
            <w:r>
              <w:rPr>
                <w:rFonts w:cs="Arial"/>
                <w:sz w:val="20"/>
                <w:szCs w:val="20"/>
                <w:lang w:val="es-ES" w:eastAsia="en-US"/>
              </w:rPr>
              <w:t>3.6.1 Comunicaciones.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9A2EB2A" w14:textId="7CFC1CB3"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6ADA4222"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720CD15E" w14:textId="77777777" w:rsidR="00C27413" w:rsidRDefault="00C27413" w:rsidP="00C27413">
            <w:pPr>
              <w:spacing w:line="256" w:lineRule="auto"/>
              <w:rPr>
                <w:rFonts w:cs="Arial"/>
                <w:b/>
                <w:sz w:val="20"/>
                <w:szCs w:val="20"/>
                <w:lang w:val="es-ES" w:eastAsia="en-US"/>
              </w:rPr>
            </w:pPr>
            <w:r>
              <w:rPr>
                <w:rFonts w:cs="Arial"/>
                <w:b/>
                <w:sz w:val="20"/>
                <w:szCs w:val="20"/>
                <w:lang w:val="es-ES" w:eastAsia="en-US"/>
              </w:rPr>
              <w:t>3.7.  TURISMO.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0C90539" w14:textId="06BCE05C"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52,661,166 </w:t>
            </w:r>
          </w:p>
        </w:tc>
      </w:tr>
      <w:tr w:rsidR="00C27413" w14:paraId="31079329"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5227F7E1" w14:textId="77777777" w:rsidR="00C27413" w:rsidRDefault="00C27413" w:rsidP="00C27413">
            <w:pPr>
              <w:spacing w:line="256" w:lineRule="auto"/>
              <w:rPr>
                <w:rFonts w:cs="Arial"/>
                <w:sz w:val="20"/>
                <w:szCs w:val="20"/>
                <w:lang w:val="es-ES" w:eastAsia="en-US"/>
              </w:rPr>
            </w:pPr>
            <w:r>
              <w:rPr>
                <w:rFonts w:cs="Arial"/>
                <w:sz w:val="20"/>
                <w:szCs w:val="20"/>
                <w:lang w:val="es-ES" w:eastAsia="en-US"/>
              </w:rPr>
              <w:t>3.7.1 Turismo.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25D515F" w14:textId="3D7AB9E2"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52,661,166 </w:t>
            </w:r>
          </w:p>
        </w:tc>
      </w:tr>
      <w:tr w:rsidR="00C27413" w14:paraId="5D053724"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0AA56A15" w14:textId="77777777" w:rsidR="00C27413" w:rsidRDefault="00C27413" w:rsidP="00C27413">
            <w:pPr>
              <w:spacing w:line="256" w:lineRule="auto"/>
              <w:rPr>
                <w:rFonts w:cs="Arial"/>
                <w:sz w:val="20"/>
                <w:szCs w:val="20"/>
                <w:lang w:val="es-ES" w:eastAsia="en-US"/>
              </w:rPr>
            </w:pPr>
            <w:r>
              <w:rPr>
                <w:rFonts w:cs="Arial"/>
                <w:sz w:val="20"/>
                <w:szCs w:val="20"/>
                <w:lang w:val="es-ES" w:eastAsia="en-US"/>
              </w:rPr>
              <w:t>3.7.2 Hoteles y Restaurantes.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6E36779" w14:textId="506EF4CB"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78245C9F"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2C214409" w14:textId="77777777" w:rsidR="00C27413" w:rsidRDefault="00C27413" w:rsidP="00C27413">
            <w:pPr>
              <w:spacing w:line="256" w:lineRule="auto"/>
              <w:rPr>
                <w:rFonts w:cs="Arial"/>
                <w:b/>
                <w:sz w:val="20"/>
                <w:szCs w:val="20"/>
                <w:lang w:val="es-ES" w:eastAsia="en-US"/>
              </w:rPr>
            </w:pPr>
            <w:r>
              <w:rPr>
                <w:rFonts w:cs="Arial"/>
                <w:b/>
                <w:sz w:val="20"/>
                <w:szCs w:val="20"/>
                <w:lang w:val="es-ES" w:eastAsia="en-US"/>
              </w:rPr>
              <w:t>3.8.  CIENCIA, TECNOLOGÍA E INNOVACIÓN.</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33BCC96" w14:textId="02FEF54E"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7,280,218 </w:t>
            </w:r>
          </w:p>
        </w:tc>
      </w:tr>
      <w:tr w:rsidR="00C27413" w14:paraId="55514FCD"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26024091"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3.8.1 Investigación Científica.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F73B771" w14:textId="743BF50A"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2F1F7F4B"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2B6F5EF0"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3.8.2 Desarrollo Tecnológico.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A99F381" w14:textId="69391C4C"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7,280,218 </w:t>
            </w:r>
          </w:p>
        </w:tc>
      </w:tr>
      <w:tr w:rsidR="00C27413" w14:paraId="6F434211"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66633B82"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3.8.3 Servicios Científicos y Tecnológicos.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7EECD36" w14:textId="3CF51378"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766EBA77"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024A81E3"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3.8.4 Innovación.</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F6590BE" w14:textId="7F81B597"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695B07FB"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10F4584D" w14:textId="77777777" w:rsidR="00C27413" w:rsidRDefault="00C27413" w:rsidP="00C27413">
            <w:pPr>
              <w:spacing w:line="256" w:lineRule="auto"/>
              <w:rPr>
                <w:rFonts w:cs="Arial"/>
                <w:b/>
                <w:sz w:val="20"/>
                <w:szCs w:val="20"/>
                <w:lang w:val="es-ES" w:eastAsia="en-US"/>
              </w:rPr>
            </w:pPr>
            <w:r>
              <w:rPr>
                <w:rFonts w:cs="Arial"/>
                <w:b/>
                <w:sz w:val="20"/>
                <w:szCs w:val="20"/>
                <w:lang w:val="es-ES" w:eastAsia="en-US"/>
              </w:rPr>
              <w:t>3.9.  OTRAS INDUSTRIAS Y OTROS ASUNTOS ECONÓMICOS.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8EC3933" w14:textId="2AF4500F"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35,993,082 </w:t>
            </w:r>
          </w:p>
        </w:tc>
      </w:tr>
      <w:tr w:rsidR="00C27413" w14:paraId="6DF74708"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644E19B3"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3.9.1 Comercio, Distribución, Almacenamiento y Depósito.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233CC8FD" w14:textId="724D1A2B"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475ED2FF"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426CF5CB"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3.9.2 Otras Industrias.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91E3832" w14:textId="6508A409"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5590C250"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1BD14BA4"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3.9.3 Otros Asuntos Económicos.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74FA599" w14:textId="1DD315E3"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35,993,082 </w:t>
            </w:r>
          </w:p>
        </w:tc>
      </w:tr>
      <w:tr w:rsidR="00C27413" w14:paraId="56729079"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2D7B47D6" w14:textId="77777777" w:rsidR="00C27413" w:rsidRDefault="00C27413" w:rsidP="00C27413">
            <w:pPr>
              <w:spacing w:line="256" w:lineRule="auto"/>
              <w:rPr>
                <w:rFonts w:cs="Arial"/>
                <w:b/>
                <w:sz w:val="20"/>
                <w:szCs w:val="20"/>
                <w:lang w:val="es-ES" w:eastAsia="en-US"/>
              </w:rPr>
            </w:pPr>
            <w:r>
              <w:rPr>
                <w:rFonts w:cs="Arial"/>
                <w:b/>
                <w:sz w:val="20"/>
                <w:szCs w:val="20"/>
                <w:lang w:val="es-ES" w:eastAsia="en-US"/>
              </w:rPr>
              <w:t>4. OTRAS NO CLASIFICADAS EN FUNCIONES ANTERIORES.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D7FAF3C" w14:textId="58087648"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4,260,202,593 </w:t>
            </w:r>
          </w:p>
        </w:tc>
      </w:tr>
      <w:tr w:rsidR="00C27413" w14:paraId="739BDF2E"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041D5F95" w14:textId="77777777" w:rsidR="00C27413" w:rsidRDefault="00C27413" w:rsidP="00C27413">
            <w:pPr>
              <w:spacing w:line="256" w:lineRule="auto"/>
              <w:ind w:left="567" w:hanging="567"/>
              <w:rPr>
                <w:rFonts w:cs="Arial"/>
                <w:b/>
                <w:sz w:val="20"/>
                <w:szCs w:val="20"/>
                <w:lang w:val="es-ES" w:eastAsia="en-US"/>
              </w:rPr>
            </w:pPr>
            <w:r>
              <w:rPr>
                <w:rFonts w:cs="Arial"/>
                <w:b/>
                <w:sz w:val="20"/>
                <w:szCs w:val="20"/>
                <w:lang w:val="es-ES" w:eastAsia="en-US"/>
              </w:rPr>
              <w:t>4.1. TRANSACCIONES DE LA DEUDA PÚBLICA / COSTO FINANCIERO DE LA DEUDA.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5E880A3" w14:textId="5C424ADE"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768,425,052 </w:t>
            </w:r>
          </w:p>
        </w:tc>
      </w:tr>
      <w:tr w:rsidR="00C27413" w14:paraId="188B39EE"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3DCDCC31"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4.1.1 Deuda Pública Interna.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B1F3D9C" w14:textId="6D8084DC"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768,425,052 </w:t>
            </w:r>
          </w:p>
        </w:tc>
      </w:tr>
      <w:tr w:rsidR="00C27413" w14:paraId="392BA4A0"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303A120A"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4.1.2 Deuda Pública Externa.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ED2D469" w14:textId="2289350D"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135C9A51"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5A5757DA" w14:textId="77777777" w:rsidR="00C27413" w:rsidRDefault="00C27413" w:rsidP="00C27413">
            <w:pPr>
              <w:spacing w:line="256" w:lineRule="auto"/>
              <w:ind w:left="567" w:hanging="567"/>
              <w:rPr>
                <w:rFonts w:cs="Arial"/>
                <w:b/>
                <w:sz w:val="20"/>
                <w:szCs w:val="20"/>
                <w:lang w:val="es-ES" w:eastAsia="en-US"/>
              </w:rPr>
            </w:pPr>
            <w:r>
              <w:rPr>
                <w:rFonts w:cs="Arial"/>
                <w:b/>
                <w:sz w:val="20"/>
                <w:szCs w:val="20"/>
                <w:lang w:val="es-ES" w:eastAsia="en-US"/>
              </w:rPr>
              <w:t>4.2.  TRANSFERENCIAS, PARTICIPACIONES Y APORTACIONES ENTRE DIFERENTES NIVELES Y ÓRDENES DE GOBIERNO.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3D23C35" w14:textId="11D21699"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3,334,416,398 </w:t>
            </w:r>
          </w:p>
        </w:tc>
      </w:tr>
      <w:tr w:rsidR="00C27413" w14:paraId="43A067CA"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6298DFD4"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4.2.1 Transferencias entre Diferentes Niveles y Órdenes de Gobierno.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DCFB005" w14:textId="44204839"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1695904F"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7BBA7E28"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4.2.2 Participaciones entre Diferentes Niveles y Órdenes de Gobierno.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C86B333" w14:textId="29DAE18D"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2,169,346,883 </w:t>
            </w:r>
          </w:p>
        </w:tc>
      </w:tr>
      <w:tr w:rsidR="00C27413" w14:paraId="4D4A040B"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02CDE5F1"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4.2.3 Aportaciones entre Diferentes Niveles y Órdenes de Gobierno.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2FFB0DB7" w14:textId="50F54548"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1,165,069,515 </w:t>
            </w:r>
          </w:p>
        </w:tc>
      </w:tr>
      <w:tr w:rsidR="00C27413" w14:paraId="7EE60168"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2B89ED51" w14:textId="77777777" w:rsidR="00C27413" w:rsidRDefault="00C27413" w:rsidP="00C27413">
            <w:pPr>
              <w:spacing w:line="256" w:lineRule="auto"/>
              <w:rPr>
                <w:rFonts w:cs="Arial"/>
                <w:b/>
                <w:sz w:val="20"/>
                <w:szCs w:val="20"/>
                <w:lang w:val="es-ES" w:eastAsia="en-US"/>
              </w:rPr>
            </w:pPr>
            <w:r>
              <w:rPr>
                <w:rFonts w:cs="Arial"/>
                <w:b/>
                <w:sz w:val="20"/>
                <w:szCs w:val="20"/>
                <w:lang w:val="es-ES" w:eastAsia="en-US"/>
              </w:rPr>
              <w:t>4.3.  SANEAMIENTO DEL SISTEMA FINANCIERO.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56215AA" w14:textId="1861FF91"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0 </w:t>
            </w:r>
          </w:p>
        </w:tc>
      </w:tr>
      <w:tr w:rsidR="00C27413" w14:paraId="71D9FD21"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58D0ED23"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4.3.1 Saneamiento del Sistema Financiero.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2264961" w14:textId="511462BD"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24014CD7"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52D0D499"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4.3.2 Apoyos IPAB.</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078C3EE" w14:textId="683A4DB5"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7976B4F8"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60EDA39A"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4.3.3 Banca de Desarrollo.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7AA4070" w14:textId="40156B27"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4A8564B2"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5A097558" w14:textId="77777777" w:rsidR="00C27413" w:rsidRDefault="00C27413" w:rsidP="00C27413">
            <w:pPr>
              <w:spacing w:line="256" w:lineRule="auto"/>
              <w:ind w:left="567" w:hanging="567"/>
              <w:rPr>
                <w:rFonts w:cs="Arial"/>
                <w:sz w:val="20"/>
                <w:szCs w:val="20"/>
                <w:lang w:val="es-ES" w:eastAsia="en-US"/>
              </w:rPr>
            </w:pPr>
            <w:r>
              <w:rPr>
                <w:rFonts w:cs="Arial"/>
                <w:sz w:val="20"/>
                <w:szCs w:val="20"/>
                <w:lang w:val="es-ES" w:eastAsia="en-US"/>
              </w:rPr>
              <w:t>4.3.4 Apoyo a los Programas de Reestructura en Unidades de Inversión (UDIS).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7E7967F" w14:textId="2B4ABFF6"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0 </w:t>
            </w:r>
          </w:p>
        </w:tc>
      </w:tr>
      <w:tr w:rsidR="00C27413" w14:paraId="20992842"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7A74E357" w14:textId="77777777" w:rsidR="00C27413" w:rsidRDefault="00C27413" w:rsidP="00C27413">
            <w:pPr>
              <w:spacing w:line="256" w:lineRule="auto"/>
              <w:ind w:left="567" w:hanging="567"/>
              <w:rPr>
                <w:rFonts w:cs="Arial"/>
                <w:b/>
                <w:sz w:val="20"/>
                <w:szCs w:val="20"/>
                <w:lang w:val="es-ES" w:eastAsia="en-US"/>
              </w:rPr>
            </w:pPr>
            <w:r>
              <w:rPr>
                <w:rFonts w:cs="Arial"/>
                <w:b/>
                <w:sz w:val="20"/>
                <w:szCs w:val="20"/>
                <w:lang w:val="es-ES" w:eastAsia="en-US"/>
              </w:rPr>
              <w:t>4.4.  ADEUDOS DE EJERCICIOS FISCALES ANTERIORES.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1428946" w14:textId="0B65D067"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157,361,143 </w:t>
            </w:r>
          </w:p>
        </w:tc>
      </w:tr>
      <w:tr w:rsidR="00C27413" w14:paraId="1E183B49"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2EAA401F" w14:textId="77777777" w:rsidR="00C27413" w:rsidRDefault="00C27413" w:rsidP="00C27413">
            <w:pPr>
              <w:spacing w:line="256" w:lineRule="auto"/>
              <w:rPr>
                <w:rFonts w:cs="Arial"/>
                <w:sz w:val="20"/>
                <w:szCs w:val="20"/>
                <w:lang w:val="es-ES" w:eastAsia="en-US"/>
              </w:rPr>
            </w:pPr>
            <w:r>
              <w:rPr>
                <w:rFonts w:cs="Arial"/>
                <w:sz w:val="20"/>
                <w:szCs w:val="20"/>
                <w:lang w:val="es-ES" w:eastAsia="en-US"/>
              </w:rPr>
              <w:t>4.4.1 Adeudos de Ejercicios Fiscales Anteriores.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46ABE6D" w14:textId="7046FD9A" w:rsidR="00C27413" w:rsidRDefault="00C27413" w:rsidP="00C27413">
            <w:pPr>
              <w:spacing w:line="256" w:lineRule="auto"/>
              <w:jc w:val="right"/>
              <w:rPr>
                <w:rFonts w:cs="Arial"/>
                <w:sz w:val="18"/>
                <w:szCs w:val="18"/>
                <w:lang w:val="es-ES" w:eastAsia="en-US"/>
              </w:rPr>
            </w:pPr>
            <w:r>
              <w:rPr>
                <w:rFonts w:cs="Arial"/>
                <w:color w:val="000000"/>
                <w:sz w:val="20"/>
                <w:szCs w:val="20"/>
              </w:rPr>
              <w:t xml:space="preserve">157,361,143 </w:t>
            </w:r>
          </w:p>
        </w:tc>
      </w:tr>
      <w:tr w:rsidR="00C27413" w14:paraId="22F6369B" w14:textId="77777777" w:rsidTr="00BF5974">
        <w:trPr>
          <w:trHeight w:val="20"/>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14:paraId="22A71146"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Total</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E4E7548" w14:textId="21B79A14" w:rsidR="00C27413" w:rsidRDefault="00C27413" w:rsidP="00C27413">
            <w:pPr>
              <w:spacing w:line="256" w:lineRule="auto"/>
              <w:jc w:val="right"/>
              <w:rPr>
                <w:rFonts w:cs="Arial"/>
                <w:b/>
                <w:bCs/>
                <w:sz w:val="18"/>
                <w:szCs w:val="18"/>
                <w:lang w:val="es-ES" w:eastAsia="en-US"/>
              </w:rPr>
            </w:pPr>
            <w:r>
              <w:rPr>
                <w:rFonts w:cs="Arial"/>
                <w:b/>
                <w:bCs/>
                <w:color w:val="000000"/>
                <w:sz w:val="20"/>
                <w:szCs w:val="20"/>
              </w:rPr>
              <w:t xml:space="preserve">23,004,130,279 </w:t>
            </w:r>
          </w:p>
        </w:tc>
      </w:tr>
    </w:tbl>
    <w:p w14:paraId="5A999E11" w14:textId="77777777" w:rsidR="00BF5974" w:rsidRDefault="00BF5974" w:rsidP="00BF5974">
      <w:pPr>
        <w:rPr>
          <w:rFonts w:cs="Arial"/>
          <w:b/>
          <w:lang w:val="es-ES"/>
        </w:rPr>
      </w:pPr>
    </w:p>
    <w:p w14:paraId="5251D023" w14:textId="77777777" w:rsidR="00BF5974" w:rsidRDefault="00BF5974" w:rsidP="00BF5974">
      <w:pPr>
        <w:rPr>
          <w:rFonts w:cs="Arial"/>
          <w:lang w:val="es-ES"/>
        </w:rPr>
      </w:pPr>
      <w:r>
        <w:rPr>
          <w:rFonts w:cs="Arial"/>
          <w:b/>
          <w:lang w:val="es-ES"/>
        </w:rPr>
        <w:t>Artículo 18</w:t>
      </w:r>
      <w:r>
        <w:rPr>
          <w:rFonts w:cs="Arial"/>
          <w:lang w:val="es-ES"/>
        </w:rPr>
        <w:t xml:space="preserve">. La </w:t>
      </w:r>
      <w:r>
        <w:rPr>
          <w:rFonts w:cs="Arial"/>
          <w:bCs/>
          <w:lang w:val="es-ES"/>
        </w:rPr>
        <w:t>Clasificación Programática</w:t>
      </w:r>
      <w:r>
        <w:rPr>
          <w:rFonts w:cs="Arial"/>
          <w:lang w:val="es-ES"/>
        </w:rPr>
        <w:t xml:space="preserve"> de acuerdo con la Tipología General de los Programas Presupuestarios conforme al Presupuesto de Egresos del Estado de Colima para el Ejercicio Fiscal 2025 presenta la siguiente tabla:</w:t>
      </w:r>
    </w:p>
    <w:tbl>
      <w:tblPr>
        <w:tblW w:w="8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3"/>
        <w:gridCol w:w="621"/>
        <w:gridCol w:w="1746"/>
      </w:tblGrid>
      <w:tr w:rsidR="00BF5974" w14:paraId="65DA92D4" w14:textId="77777777" w:rsidTr="00C27413">
        <w:trPr>
          <w:trHeight w:val="227"/>
          <w:tblHeader/>
          <w:jc w:val="center"/>
        </w:trPr>
        <w:tc>
          <w:tcPr>
            <w:tcW w:w="8240" w:type="dxa"/>
            <w:gridSpan w:val="3"/>
            <w:tcBorders>
              <w:top w:val="nil"/>
              <w:left w:val="nil"/>
              <w:bottom w:val="single" w:sz="4" w:space="0" w:color="auto"/>
              <w:right w:val="nil"/>
            </w:tcBorders>
            <w:noWrap/>
            <w:vAlign w:val="center"/>
            <w:hideMark/>
          </w:tcPr>
          <w:p w14:paraId="57C97000" w14:textId="77777777" w:rsidR="00BF5974" w:rsidRDefault="00BF5974">
            <w:pPr>
              <w:spacing w:line="256" w:lineRule="auto"/>
              <w:jc w:val="center"/>
              <w:rPr>
                <w:rFonts w:cs="Arial"/>
                <w:b/>
                <w:bCs/>
                <w:sz w:val="20"/>
                <w:szCs w:val="20"/>
                <w:lang w:val="es-ES" w:eastAsia="en-US"/>
              </w:rPr>
            </w:pPr>
            <w:bookmarkStart w:id="35" w:name="_Toc526757443"/>
            <w:bookmarkStart w:id="36" w:name="_Toc522869259"/>
            <w:r>
              <w:rPr>
                <w:rFonts w:eastAsia="Times New Roman" w:cs="Arial"/>
                <w:b/>
                <w:sz w:val="20"/>
                <w:szCs w:val="20"/>
                <w:lang w:val="es-ES" w:eastAsia="en-US"/>
              </w:rPr>
              <w:lastRenderedPageBreak/>
              <w:t xml:space="preserve">Tabla 7. Clasificación Programática </w:t>
            </w:r>
            <w:r>
              <w:rPr>
                <w:rFonts w:eastAsia="Times New Roman" w:cs="Arial"/>
                <w:b/>
                <w:sz w:val="20"/>
                <w:szCs w:val="20"/>
                <w:lang w:val="es-ES" w:eastAsia="en-US"/>
              </w:rPr>
              <w:br/>
              <w:t>(Tipología General)</w:t>
            </w:r>
            <w:bookmarkEnd w:id="35"/>
            <w:bookmarkEnd w:id="36"/>
          </w:p>
        </w:tc>
      </w:tr>
      <w:tr w:rsidR="00BF5974" w14:paraId="1EF94C82" w14:textId="77777777" w:rsidTr="00C27413">
        <w:trPr>
          <w:trHeight w:val="227"/>
          <w:tblHeader/>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0D3FBF43" w14:textId="77777777" w:rsidR="00BF5974" w:rsidRDefault="00BF5974">
            <w:pPr>
              <w:spacing w:line="256" w:lineRule="auto"/>
              <w:jc w:val="center"/>
              <w:rPr>
                <w:rFonts w:cs="Arial"/>
                <w:b/>
                <w:bCs/>
                <w:sz w:val="20"/>
                <w:szCs w:val="20"/>
                <w:lang w:val="es-ES" w:eastAsia="en-US"/>
              </w:rPr>
            </w:pPr>
            <w:r>
              <w:rPr>
                <w:rFonts w:cs="Arial"/>
                <w:b/>
                <w:bCs/>
                <w:sz w:val="20"/>
                <w:szCs w:val="20"/>
                <w:lang w:val="es-ES" w:eastAsia="en-US"/>
              </w:rPr>
              <w:t>Programas Presupuestarios</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6199248F" w14:textId="77777777" w:rsidR="00BF5974" w:rsidRDefault="00BF5974">
            <w:pPr>
              <w:spacing w:line="256" w:lineRule="auto"/>
              <w:ind w:left="-145" w:right="-151"/>
              <w:jc w:val="center"/>
              <w:rPr>
                <w:rFonts w:cs="Arial"/>
                <w:b/>
                <w:sz w:val="20"/>
                <w:szCs w:val="20"/>
                <w:lang w:val="es-ES" w:eastAsia="en-US"/>
              </w:rPr>
            </w:pPr>
            <w:r>
              <w:rPr>
                <w:rFonts w:cs="Arial"/>
                <w:b/>
                <w:sz w:val="20"/>
                <w:szCs w:val="20"/>
                <w:lang w:val="es-ES" w:eastAsia="en-US"/>
              </w:rPr>
              <w:t>Clave</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B1C7D22" w14:textId="77777777" w:rsidR="00BF5974" w:rsidRDefault="00BF5974">
            <w:pPr>
              <w:spacing w:line="256" w:lineRule="auto"/>
              <w:jc w:val="center"/>
              <w:rPr>
                <w:rFonts w:cs="Arial"/>
                <w:b/>
                <w:bCs/>
                <w:sz w:val="20"/>
                <w:szCs w:val="20"/>
                <w:lang w:val="es-ES" w:eastAsia="en-US"/>
              </w:rPr>
            </w:pPr>
            <w:r>
              <w:rPr>
                <w:rFonts w:cs="Arial"/>
                <w:b/>
                <w:bCs/>
                <w:sz w:val="20"/>
                <w:szCs w:val="20"/>
                <w:lang w:val="es-ES" w:eastAsia="en-US"/>
              </w:rPr>
              <w:t>Asignación Presupuestal</w:t>
            </w:r>
          </w:p>
        </w:tc>
      </w:tr>
      <w:tr w:rsidR="00BF5974" w14:paraId="41139461"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5CF8D1D2" w14:textId="77777777" w:rsidR="00BF5974" w:rsidRDefault="00BF5974">
            <w:pPr>
              <w:spacing w:line="256" w:lineRule="auto"/>
              <w:rPr>
                <w:rFonts w:cs="Arial"/>
                <w:b/>
                <w:bCs/>
                <w:sz w:val="20"/>
                <w:szCs w:val="20"/>
                <w:lang w:val="es-ES" w:eastAsia="en-US"/>
              </w:rPr>
            </w:pPr>
            <w:r>
              <w:rPr>
                <w:rFonts w:cs="Arial"/>
                <w:b/>
                <w:bCs/>
                <w:sz w:val="20"/>
                <w:szCs w:val="20"/>
                <w:lang w:val="es-ES" w:eastAsia="en-US"/>
              </w:rPr>
              <w:t>Subsidios: Sector Social y Privado o Entidades Federativas y Municipios.</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509640C7" w14:textId="77777777" w:rsidR="00BF5974" w:rsidRDefault="00BF5974">
            <w:pPr>
              <w:rPr>
                <w:rFonts w:cs="Arial"/>
                <w:b/>
                <w:bCs/>
                <w:sz w:val="20"/>
                <w:szCs w:val="20"/>
                <w:lang w:val="es-ES" w:eastAsia="en-US"/>
              </w:rPr>
            </w:pPr>
          </w:p>
        </w:tc>
        <w:tc>
          <w:tcPr>
            <w:tcW w:w="1746" w:type="dxa"/>
            <w:tcBorders>
              <w:top w:val="single" w:sz="4" w:space="0" w:color="auto"/>
              <w:left w:val="single" w:sz="4" w:space="0" w:color="auto"/>
              <w:bottom w:val="single" w:sz="4" w:space="0" w:color="auto"/>
              <w:right w:val="single" w:sz="4" w:space="0" w:color="auto"/>
            </w:tcBorders>
            <w:noWrap/>
            <w:vAlign w:val="center"/>
          </w:tcPr>
          <w:p w14:paraId="2F3FE3D1" w14:textId="77777777" w:rsidR="00BF5974" w:rsidRDefault="00BF5974">
            <w:pPr>
              <w:spacing w:line="256" w:lineRule="auto"/>
              <w:jc w:val="right"/>
              <w:rPr>
                <w:rFonts w:cs="Arial"/>
                <w:b/>
                <w:sz w:val="20"/>
                <w:szCs w:val="20"/>
                <w:lang w:val="es-ES" w:eastAsia="en-US"/>
              </w:rPr>
            </w:pPr>
          </w:p>
        </w:tc>
      </w:tr>
      <w:tr w:rsidR="00C27413" w14:paraId="49B785DE"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273023B5" w14:textId="77777777" w:rsidR="00C27413" w:rsidRDefault="00C27413" w:rsidP="00C27413">
            <w:pPr>
              <w:spacing w:line="256" w:lineRule="auto"/>
              <w:ind w:left="252"/>
              <w:rPr>
                <w:rFonts w:cs="Arial"/>
                <w:sz w:val="20"/>
                <w:szCs w:val="20"/>
                <w:lang w:val="es-ES" w:eastAsia="en-US"/>
              </w:rPr>
            </w:pPr>
            <w:r>
              <w:rPr>
                <w:rFonts w:cs="Arial"/>
                <w:sz w:val="20"/>
                <w:szCs w:val="20"/>
                <w:lang w:val="es-ES" w:eastAsia="en-US"/>
              </w:rPr>
              <w:t>Sujetos a Reglas de Operación.</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7CD6A1C1"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S</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108627F" w14:textId="578793C0" w:rsidR="00C27413" w:rsidRDefault="00C27413" w:rsidP="00C27413">
            <w:pPr>
              <w:spacing w:line="256" w:lineRule="auto"/>
              <w:jc w:val="right"/>
              <w:rPr>
                <w:rFonts w:cs="Arial"/>
                <w:sz w:val="20"/>
                <w:szCs w:val="20"/>
                <w:lang w:val="es-ES" w:eastAsia="en-US"/>
              </w:rPr>
            </w:pPr>
            <w:r>
              <w:rPr>
                <w:rFonts w:cs="Arial"/>
                <w:color w:val="000000"/>
                <w:sz w:val="20"/>
                <w:szCs w:val="20"/>
              </w:rPr>
              <w:t xml:space="preserve">25,476,342 </w:t>
            </w:r>
          </w:p>
        </w:tc>
      </w:tr>
      <w:tr w:rsidR="00C27413" w14:paraId="79312881"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2097666C" w14:textId="77777777" w:rsidR="00C27413" w:rsidRDefault="00C27413" w:rsidP="00C27413">
            <w:pPr>
              <w:spacing w:line="256" w:lineRule="auto"/>
              <w:ind w:left="252"/>
              <w:rPr>
                <w:rFonts w:cs="Arial"/>
                <w:sz w:val="20"/>
                <w:szCs w:val="20"/>
                <w:lang w:val="es-ES" w:eastAsia="en-US"/>
              </w:rPr>
            </w:pPr>
            <w:r>
              <w:rPr>
                <w:rFonts w:cs="Arial"/>
                <w:sz w:val="20"/>
                <w:szCs w:val="20"/>
                <w:lang w:val="es-ES" w:eastAsia="en-US"/>
              </w:rPr>
              <w:t>Otros Subsidios.</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6B410FBA"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U</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A055240" w14:textId="260C1290" w:rsidR="00C27413" w:rsidRDefault="00C27413" w:rsidP="00C27413">
            <w:pPr>
              <w:spacing w:line="256" w:lineRule="auto"/>
              <w:jc w:val="right"/>
              <w:rPr>
                <w:rFonts w:cs="Arial"/>
                <w:sz w:val="20"/>
                <w:szCs w:val="20"/>
                <w:lang w:val="es-ES" w:eastAsia="en-US"/>
              </w:rPr>
            </w:pPr>
            <w:r>
              <w:rPr>
                <w:rFonts w:cs="Arial"/>
                <w:color w:val="000000"/>
                <w:sz w:val="20"/>
                <w:szCs w:val="20"/>
              </w:rPr>
              <w:t xml:space="preserve">464,133,898 </w:t>
            </w:r>
          </w:p>
        </w:tc>
      </w:tr>
      <w:tr w:rsidR="00C27413" w14:paraId="676ADD9D"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6DEBD319" w14:textId="77777777" w:rsidR="00C27413" w:rsidRDefault="00C27413" w:rsidP="00C27413">
            <w:pPr>
              <w:spacing w:line="256" w:lineRule="auto"/>
              <w:rPr>
                <w:rFonts w:cs="Arial"/>
                <w:b/>
                <w:bCs/>
                <w:sz w:val="20"/>
                <w:szCs w:val="20"/>
                <w:lang w:val="es-ES" w:eastAsia="en-US"/>
              </w:rPr>
            </w:pPr>
            <w:r>
              <w:rPr>
                <w:rFonts w:cs="Arial"/>
                <w:b/>
                <w:bCs/>
                <w:sz w:val="20"/>
                <w:szCs w:val="20"/>
                <w:lang w:val="es-ES" w:eastAsia="en-US"/>
              </w:rPr>
              <w:t>Desempeño de las Funciones.</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0B0E5834" w14:textId="77777777" w:rsidR="00C27413" w:rsidRDefault="00C27413" w:rsidP="00C27413">
            <w:pPr>
              <w:rPr>
                <w:rFonts w:cs="Arial"/>
                <w:b/>
                <w:bCs/>
                <w:sz w:val="20"/>
                <w:szCs w:val="20"/>
                <w:lang w:val="es-ES" w:eastAsia="en-US"/>
              </w:rPr>
            </w:pPr>
          </w:p>
        </w:tc>
        <w:tc>
          <w:tcPr>
            <w:tcW w:w="1746" w:type="dxa"/>
            <w:tcBorders>
              <w:top w:val="single" w:sz="4" w:space="0" w:color="auto"/>
              <w:left w:val="single" w:sz="4" w:space="0" w:color="auto"/>
              <w:bottom w:val="single" w:sz="4" w:space="0" w:color="auto"/>
              <w:right w:val="single" w:sz="4" w:space="0" w:color="auto"/>
            </w:tcBorders>
            <w:noWrap/>
            <w:vAlign w:val="center"/>
          </w:tcPr>
          <w:p w14:paraId="405A6894" w14:textId="3830E0A0" w:rsidR="00C27413" w:rsidRDefault="00C27413" w:rsidP="00C27413">
            <w:pPr>
              <w:spacing w:line="256" w:lineRule="auto"/>
              <w:jc w:val="right"/>
              <w:rPr>
                <w:rFonts w:cs="Arial"/>
                <w:sz w:val="20"/>
                <w:szCs w:val="20"/>
                <w:lang w:val="es-ES" w:eastAsia="en-US"/>
              </w:rPr>
            </w:pPr>
            <w:r>
              <w:rPr>
                <w:rFonts w:cs="Arial"/>
                <w:color w:val="000000"/>
                <w:sz w:val="20"/>
                <w:szCs w:val="20"/>
              </w:rPr>
              <w:t> </w:t>
            </w:r>
          </w:p>
        </w:tc>
      </w:tr>
      <w:tr w:rsidR="00C27413" w14:paraId="286C7B3F"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09C4C6CD" w14:textId="77777777" w:rsidR="00C27413" w:rsidRDefault="00C27413" w:rsidP="00C27413">
            <w:pPr>
              <w:spacing w:line="256" w:lineRule="auto"/>
              <w:ind w:left="252"/>
              <w:rPr>
                <w:rFonts w:cs="Arial"/>
                <w:sz w:val="20"/>
                <w:szCs w:val="20"/>
                <w:lang w:val="es-ES" w:eastAsia="en-US"/>
              </w:rPr>
            </w:pPr>
            <w:r>
              <w:rPr>
                <w:rFonts w:cs="Arial"/>
                <w:sz w:val="20"/>
                <w:szCs w:val="20"/>
                <w:lang w:val="es-ES" w:eastAsia="en-US"/>
              </w:rPr>
              <w:t>Prestación de Servicios Públicos.</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5D0B5620"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E</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6F3F78C" w14:textId="41374CD4" w:rsidR="00C27413" w:rsidRDefault="00C27413" w:rsidP="00C27413">
            <w:pPr>
              <w:spacing w:line="256" w:lineRule="auto"/>
              <w:jc w:val="right"/>
              <w:rPr>
                <w:rFonts w:cs="Arial"/>
                <w:sz w:val="20"/>
                <w:szCs w:val="20"/>
                <w:lang w:val="es-ES" w:eastAsia="en-US"/>
              </w:rPr>
            </w:pPr>
            <w:r>
              <w:rPr>
                <w:rFonts w:cs="Arial"/>
                <w:color w:val="000000"/>
                <w:sz w:val="20"/>
                <w:szCs w:val="20"/>
              </w:rPr>
              <w:t xml:space="preserve">14,102,474,047 </w:t>
            </w:r>
          </w:p>
        </w:tc>
      </w:tr>
      <w:tr w:rsidR="00C27413" w14:paraId="5520F919"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64C0DB01" w14:textId="77777777" w:rsidR="00C27413" w:rsidRDefault="00C27413" w:rsidP="00C27413">
            <w:pPr>
              <w:spacing w:line="256" w:lineRule="auto"/>
              <w:ind w:left="252"/>
              <w:rPr>
                <w:rFonts w:cs="Arial"/>
                <w:sz w:val="20"/>
                <w:szCs w:val="20"/>
                <w:lang w:val="es-ES" w:eastAsia="en-US"/>
              </w:rPr>
            </w:pPr>
            <w:r>
              <w:rPr>
                <w:rFonts w:cs="Arial"/>
                <w:sz w:val="20"/>
                <w:szCs w:val="20"/>
                <w:lang w:val="es-ES" w:eastAsia="en-US"/>
              </w:rPr>
              <w:t>Provisión de Bienes Públicos.</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559E9B44"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B</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0B75ABE" w14:textId="533E6DAC" w:rsidR="00C27413" w:rsidRDefault="00C27413" w:rsidP="00C27413">
            <w:pPr>
              <w:spacing w:line="256" w:lineRule="auto"/>
              <w:jc w:val="right"/>
              <w:rPr>
                <w:rFonts w:cs="Arial"/>
                <w:sz w:val="20"/>
                <w:szCs w:val="20"/>
                <w:lang w:val="es-ES" w:eastAsia="en-US"/>
              </w:rPr>
            </w:pPr>
            <w:r>
              <w:rPr>
                <w:rFonts w:cs="Arial"/>
                <w:color w:val="000000"/>
                <w:sz w:val="20"/>
                <w:szCs w:val="20"/>
              </w:rPr>
              <w:t xml:space="preserve">0 </w:t>
            </w:r>
          </w:p>
        </w:tc>
      </w:tr>
      <w:tr w:rsidR="00C27413" w14:paraId="1ABA1D32"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6D011842" w14:textId="77777777" w:rsidR="00C27413" w:rsidRDefault="00C27413" w:rsidP="00C27413">
            <w:pPr>
              <w:spacing w:line="256" w:lineRule="auto"/>
              <w:ind w:left="252"/>
              <w:rPr>
                <w:rFonts w:cs="Arial"/>
                <w:sz w:val="20"/>
                <w:szCs w:val="20"/>
                <w:lang w:val="es-ES" w:eastAsia="en-US"/>
              </w:rPr>
            </w:pPr>
            <w:r>
              <w:rPr>
                <w:rFonts w:cs="Arial"/>
                <w:sz w:val="20"/>
                <w:szCs w:val="20"/>
                <w:lang w:val="es-ES" w:eastAsia="en-US"/>
              </w:rPr>
              <w:t>Planeación, Seguimiento y Evaluación de Políticas Públicas.</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5E0C968F"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P</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3F8CC16" w14:textId="7B0A4F04" w:rsidR="00C27413" w:rsidRDefault="00C27413" w:rsidP="00C27413">
            <w:pPr>
              <w:spacing w:line="256" w:lineRule="auto"/>
              <w:jc w:val="right"/>
              <w:rPr>
                <w:rFonts w:cs="Arial"/>
                <w:sz w:val="20"/>
                <w:szCs w:val="20"/>
                <w:lang w:val="es-ES" w:eastAsia="en-US"/>
              </w:rPr>
            </w:pPr>
            <w:r>
              <w:rPr>
                <w:rFonts w:cs="Arial"/>
                <w:color w:val="000000"/>
                <w:sz w:val="20"/>
                <w:szCs w:val="20"/>
              </w:rPr>
              <w:t xml:space="preserve">1,037,053,292 </w:t>
            </w:r>
          </w:p>
        </w:tc>
      </w:tr>
      <w:tr w:rsidR="00C27413" w14:paraId="56C55D3A"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70FEB94A" w14:textId="77777777" w:rsidR="00C27413" w:rsidRDefault="00C27413" w:rsidP="00C27413">
            <w:pPr>
              <w:spacing w:line="256" w:lineRule="auto"/>
              <w:ind w:left="252"/>
              <w:rPr>
                <w:rFonts w:cs="Arial"/>
                <w:sz w:val="20"/>
                <w:szCs w:val="20"/>
                <w:lang w:val="es-ES" w:eastAsia="en-US"/>
              </w:rPr>
            </w:pPr>
            <w:r>
              <w:rPr>
                <w:rFonts w:cs="Arial"/>
                <w:sz w:val="20"/>
                <w:szCs w:val="20"/>
                <w:lang w:val="es-ES" w:eastAsia="en-US"/>
              </w:rPr>
              <w:t>Promoción y Fomento.</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77173993"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F</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108B99B" w14:textId="1AEA29C8" w:rsidR="00C27413" w:rsidRDefault="00C27413" w:rsidP="00C27413">
            <w:pPr>
              <w:spacing w:line="256" w:lineRule="auto"/>
              <w:jc w:val="right"/>
              <w:rPr>
                <w:rFonts w:cs="Arial"/>
                <w:sz w:val="20"/>
                <w:szCs w:val="20"/>
                <w:lang w:val="es-ES" w:eastAsia="en-US"/>
              </w:rPr>
            </w:pPr>
            <w:r>
              <w:rPr>
                <w:rFonts w:cs="Arial"/>
                <w:color w:val="000000"/>
                <w:sz w:val="20"/>
                <w:szCs w:val="20"/>
              </w:rPr>
              <w:t xml:space="preserve">177,179,206 </w:t>
            </w:r>
          </w:p>
        </w:tc>
      </w:tr>
      <w:tr w:rsidR="00C27413" w14:paraId="0FF7A77C"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6C9665D1" w14:textId="77777777" w:rsidR="00C27413" w:rsidRDefault="00C27413" w:rsidP="00C27413">
            <w:pPr>
              <w:spacing w:line="256" w:lineRule="auto"/>
              <w:ind w:left="252"/>
              <w:rPr>
                <w:rFonts w:cs="Arial"/>
                <w:sz w:val="20"/>
                <w:szCs w:val="20"/>
                <w:lang w:val="es-ES" w:eastAsia="en-US"/>
              </w:rPr>
            </w:pPr>
            <w:r>
              <w:rPr>
                <w:rFonts w:cs="Arial"/>
                <w:sz w:val="20"/>
                <w:szCs w:val="20"/>
                <w:lang w:val="es-ES" w:eastAsia="en-US"/>
              </w:rPr>
              <w:t>Regulación y Supervisión.</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60CCE468"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G</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F634FC3" w14:textId="6BDA0D40" w:rsidR="00C27413" w:rsidRDefault="00C27413" w:rsidP="00C27413">
            <w:pPr>
              <w:spacing w:line="256" w:lineRule="auto"/>
              <w:jc w:val="right"/>
              <w:rPr>
                <w:rFonts w:cs="Arial"/>
                <w:sz w:val="20"/>
                <w:szCs w:val="20"/>
                <w:lang w:val="es-ES" w:eastAsia="en-US"/>
              </w:rPr>
            </w:pPr>
            <w:r>
              <w:rPr>
                <w:rFonts w:cs="Arial"/>
                <w:color w:val="000000"/>
                <w:sz w:val="20"/>
                <w:szCs w:val="20"/>
              </w:rPr>
              <w:t xml:space="preserve">169,754,208 </w:t>
            </w:r>
          </w:p>
        </w:tc>
      </w:tr>
      <w:tr w:rsidR="00C27413" w14:paraId="47B2AA0C"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2AE10A01" w14:textId="77777777" w:rsidR="00C27413" w:rsidRDefault="00C27413" w:rsidP="00C27413">
            <w:pPr>
              <w:spacing w:line="256" w:lineRule="auto"/>
              <w:ind w:left="252"/>
              <w:rPr>
                <w:rFonts w:cs="Arial"/>
                <w:sz w:val="20"/>
                <w:szCs w:val="20"/>
                <w:lang w:val="es-ES" w:eastAsia="en-US"/>
              </w:rPr>
            </w:pPr>
            <w:r>
              <w:rPr>
                <w:rFonts w:cs="Arial"/>
                <w:sz w:val="20"/>
                <w:szCs w:val="20"/>
                <w:lang w:val="es-ES" w:eastAsia="en-US"/>
              </w:rPr>
              <w:t>Funciones de las Fuerzas Armadas (Únicamente Gobierno Federal).</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1649868E"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A</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DBBC649" w14:textId="2576D2C2" w:rsidR="00C27413" w:rsidRDefault="00C27413" w:rsidP="00C27413">
            <w:pPr>
              <w:spacing w:line="256" w:lineRule="auto"/>
              <w:jc w:val="right"/>
              <w:rPr>
                <w:rFonts w:cs="Arial"/>
                <w:sz w:val="20"/>
                <w:szCs w:val="20"/>
                <w:lang w:val="es-ES" w:eastAsia="en-US"/>
              </w:rPr>
            </w:pPr>
            <w:r>
              <w:rPr>
                <w:rFonts w:cs="Arial"/>
                <w:color w:val="000000"/>
                <w:sz w:val="20"/>
                <w:szCs w:val="20"/>
              </w:rPr>
              <w:t xml:space="preserve">0 </w:t>
            </w:r>
          </w:p>
        </w:tc>
      </w:tr>
      <w:tr w:rsidR="00C27413" w14:paraId="78E92653"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2C326BCC" w14:textId="77777777" w:rsidR="00C27413" w:rsidRDefault="00C27413" w:rsidP="00C27413">
            <w:pPr>
              <w:spacing w:line="256" w:lineRule="auto"/>
              <w:ind w:left="252"/>
              <w:rPr>
                <w:rFonts w:cs="Arial"/>
                <w:sz w:val="20"/>
                <w:szCs w:val="20"/>
                <w:lang w:val="es-ES" w:eastAsia="en-US"/>
              </w:rPr>
            </w:pPr>
            <w:r>
              <w:rPr>
                <w:rFonts w:cs="Arial"/>
                <w:sz w:val="20"/>
                <w:szCs w:val="20"/>
                <w:lang w:val="es-ES" w:eastAsia="en-US"/>
              </w:rPr>
              <w:t>Específicos.</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255E37FE"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R</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A96DEAC" w14:textId="0396B444" w:rsidR="00C27413" w:rsidRDefault="00C27413" w:rsidP="00C27413">
            <w:pPr>
              <w:spacing w:line="256" w:lineRule="auto"/>
              <w:jc w:val="right"/>
              <w:rPr>
                <w:rFonts w:cs="Arial"/>
                <w:sz w:val="20"/>
                <w:szCs w:val="20"/>
                <w:lang w:val="es-ES" w:eastAsia="en-US"/>
              </w:rPr>
            </w:pPr>
            <w:r>
              <w:rPr>
                <w:rFonts w:cs="Arial"/>
                <w:color w:val="000000"/>
                <w:sz w:val="20"/>
                <w:szCs w:val="20"/>
              </w:rPr>
              <w:t xml:space="preserve">134,680,842 </w:t>
            </w:r>
          </w:p>
        </w:tc>
      </w:tr>
      <w:tr w:rsidR="00C27413" w14:paraId="4DF14CCA"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2370470C" w14:textId="77777777" w:rsidR="00C27413" w:rsidRDefault="00C27413" w:rsidP="00C27413">
            <w:pPr>
              <w:spacing w:line="256" w:lineRule="auto"/>
              <w:ind w:left="252"/>
              <w:rPr>
                <w:rFonts w:cs="Arial"/>
                <w:sz w:val="20"/>
                <w:szCs w:val="20"/>
                <w:lang w:val="es-ES" w:eastAsia="en-US"/>
              </w:rPr>
            </w:pPr>
            <w:r>
              <w:rPr>
                <w:rFonts w:cs="Arial"/>
                <w:sz w:val="20"/>
                <w:szCs w:val="20"/>
                <w:lang w:val="es-ES" w:eastAsia="en-US"/>
              </w:rPr>
              <w:t>Proyectos de Inversión.</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25626BCE"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K</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BCE8C83" w14:textId="3831C15C" w:rsidR="00C27413" w:rsidRDefault="00C27413" w:rsidP="00C27413">
            <w:pPr>
              <w:spacing w:line="256" w:lineRule="auto"/>
              <w:jc w:val="right"/>
              <w:rPr>
                <w:rFonts w:cs="Arial"/>
                <w:sz w:val="20"/>
                <w:szCs w:val="20"/>
                <w:lang w:val="es-ES" w:eastAsia="en-US"/>
              </w:rPr>
            </w:pPr>
            <w:r>
              <w:rPr>
                <w:rFonts w:cs="Arial"/>
                <w:color w:val="000000"/>
                <w:sz w:val="20"/>
                <w:szCs w:val="20"/>
              </w:rPr>
              <w:t xml:space="preserve">451,198,208 </w:t>
            </w:r>
          </w:p>
        </w:tc>
      </w:tr>
      <w:tr w:rsidR="00C27413" w14:paraId="24127B42"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3D1BBAFF" w14:textId="77777777" w:rsidR="00C27413" w:rsidRDefault="00C27413" w:rsidP="00C27413">
            <w:pPr>
              <w:spacing w:line="256" w:lineRule="auto"/>
              <w:rPr>
                <w:rFonts w:cs="Arial"/>
                <w:b/>
                <w:bCs/>
                <w:sz w:val="20"/>
                <w:szCs w:val="20"/>
                <w:lang w:val="es-ES" w:eastAsia="en-US"/>
              </w:rPr>
            </w:pPr>
            <w:r>
              <w:rPr>
                <w:rFonts w:cs="Arial"/>
                <w:b/>
                <w:bCs/>
                <w:sz w:val="20"/>
                <w:szCs w:val="20"/>
                <w:lang w:val="es-ES" w:eastAsia="en-US"/>
              </w:rPr>
              <w:t>Administrativos y de Apoyo.</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6BE1ABC4" w14:textId="77777777" w:rsidR="00C27413" w:rsidRDefault="00C27413" w:rsidP="00C27413">
            <w:pPr>
              <w:rPr>
                <w:rFonts w:cs="Arial"/>
                <w:b/>
                <w:bCs/>
                <w:sz w:val="20"/>
                <w:szCs w:val="20"/>
                <w:lang w:val="es-ES" w:eastAsia="en-US"/>
              </w:rPr>
            </w:pPr>
          </w:p>
        </w:tc>
        <w:tc>
          <w:tcPr>
            <w:tcW w:w="1746" w:type="dxa"/>
            <w:tcBorders>
              <w:top w:val="single" w:sz="4" w:space="0" w:color="auto"/>
              <w:left w:val="single" w:sz="4" w:space="0" w:color="auto"/>
              <w:bottom w:val="single" w:sz="4" w:space="0" w:color="auto"/>
              <w:right w:val="single" w:sz="4" w:space="0" w:color="auto"/>
            </w:tcBorders>
            <w:noWrap/>
            <w:vAlign w:val="center"/>
          </w:tcPr>
          <w:p w14:paraId="4B8763F5" w14:textId="67D3AB81" w:rsidR="00C27413" w:rsidRDefault="00C27413" w:rsidP="00C27413">
            <w:pPr>
              <w:spacing w:line="256" w:lineRule="auto"/>
              <w:jc w:val="right"/>
              <w:rPr>
                <w:rFonts w:cs="Arial"/>
                <w:sz w:val="20"/>
                <w:szCs w:val="20"/>
                <w:lang w:val="es-ES" w:eastAsia="en-US"/>
              </w:rPr>
            </w:pPr>
            <w:r>
              <w:rPr>
                <w:rFonts w:cs="Arial"/>
                <w:color w:val="000000"/>
                <w:sz w:val="20"/>
                <w:szCs w:val="20"/>
              </w:rPr>
              <w:t> </w:t>
            </w:r>
          </w:p>
        </w:tc>
      </w:tr>
      <w:tr w:rsidR="00C27413" w14:paraId="5592A7EC"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740F50DD" w14:textId="77777777" w:rsidR="00C27413" w:rsidRDefault="00C27413" w:rsidP="00C27413">
            <w:pPr>
              <w:spacing w:line="256" w:lineRule="auto"/>
              <w:ind w:left="252"/>
              <w:rPr>
                <w:rFonts w:cs="Arial"/>
                <w:sz w:val="20"/>
                <w:szCs w:val="20"/>
                <w:lang w:val="es-ES" w:eastAsia="en-US"/>
              </w:rPr>
            </w:pPr>
            <w:r>
              <w:rPr>
                <w:rFonts w:cs="Arial"/>
                <w:sz w:val="20"/>
                <w:szCs w:val="20"/>
                <w:lang w:val="es-ES" w:eastAsia="en-US"/>
              </w:rPr>
              <w:t>Apoyo al Proceso Presupuestario y para Mejorar la Eficiencia Institucional.</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0A9E2FD7"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M</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19E00D4" w14:textId="1ED464C5" w:rsidR="00C27413" w:rsidRDefault="00C27413" w:rsidP="00C27413">
            <w:pPr>
              <w:spacing w:line="256" w:lineRule="auto"/>
              <w:jc w:val="right"/>
              <w:rPr>
                <w:rFonts w:cs="Arial"/>
                <w:sz w:val="20"/>
                <w:szCs w:val="20"/>
                <w:lang w:val="es-ES" w:eastAsia="en-US"/>
              </w:rPr>
            </w:pPr>
            <w:r>
              <w:rPr>
                <w:rFonts w:cs="Arial"/>
                <w:color w:val="000000"/>
                <w:sz w:val="20"/>
                <w:szCs w:val="20"/>
              </w:rPr>
              <w:t xml:space="preserve">425,950,547 </w:t>
            </w:r>
          </w:p>
        </w:tc>
      </w:tr>
      <w:tr w:rsidR="00C27413" w14:paraId="6DDDA7E1"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7640D994" w14:textId="77777777" w:rsidR="00C27413" w:rsidRDefault="00C27413" w:rsidP="00C27413">
            <w:pPr>
              <w:spacing w:line="256" w:lineRule="auto"/>
              <w:ind w:left="252"/>
              <w:rPr>
                <w:rFonts w:cs="Arial"/>
                <w:sz w:val="20"/>
                <w:szCs w:val="20"/>
                <w:lang w:val="es-ES" w:eastAsia="en-US"/>
              </w:rPr>
            </w:pPr>
            <w:r>
              <w:rPr>
                <w:rFonts w:cs="Arial"/>
                <w:sz w:val="20"/>
                <w:szCs w:val="20"/>
                <w:lang w:val="es-ES" w:eastAsia="en-US"/>
              </w:rPr>
              <w:t>Apoyo a la Función Pública y al Mejoramiento de la Gestión.</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30E80298"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O</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FB85690" w14:textId="5C66312F" w:rsidR="00C27413" w:rsidRDefault="00C27413" w:rsidP="00C27413">
            <w:pPr>
              <w:spacing w:line="256" w:lineRule="auto"/>
              <w:jc w:val="right"/>
              <w:rPr>
                <w:rFonts w:cs="Arial"/>
                <w:sz w:val="20"/>
                <w:szCs w:val="20"/>
                <w:lang w:val="es-ES" w:eastAsia="en-US"/>
              </w:rPr>
            </w:pPr>
            <w:r>
              <w:rPr>
                <w:rFonts w:cs="Arial"/>
                <w:color w:val="000000"/>
                <w:sz w:val="20"/>
                <w:szCs w:val="20"/>
              </w:rPr>
              <w:t xml:space="preserve">73,614,931 </w:t>
            </w:r>
          </w:p>
        </w:tc>
      </w:tr>
      <w:tr w:rsidR="00C27413" w14:paraId="376AE144"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6B7E4D36" w14:textId="77777777" w:rsidR="00C27413" w:rsidRDefault="00C27413" w:rsidP="00C27413">
            <w:pPr>
              <w:spacing w:line="256" w:lineRule="auto"/>
              <w:ind w:left="252"/>
              <w:rPr>
                <w:rFonts w:cs="Arial"/>
                <w:sz w:val="20"/>
                <w:szCs w:val="20"/>
                <w:lang w:val="es-ES" w:eastAsia="en-US"/>
              </w:rPr>
            </w:pPr>
            <w:r>
              <w:rPr>
                <w:rFonts w:cs="Arial"/>
                <w:sz w:val="20"/>
                <w:szCs w:val="20"/>
                <w:lang w:val="es-ES" w:eastAsia="en-US"/>
              </w:rPr>
              <w:t>Operaciones Ajenas.</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6764EECD"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W</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62A14C0" w14:textId="75125400" w:rsidR="00C27413" w:rsidRDefault="00C27413" w:rsidP="00C27413">
            <w:pPr>
              <w:spacing w:line="256" w:lineRule="auto"/>
              <w:jc w:val="right"/>
              <w:rPr>
                <w:rFonts w:cs="Arial"/>
                <w:sz w:val="20"/>
                <w:szCs w:val="20"/>
                <w:lang w:val="es-ES" w:eastAsia="en-US"/>
              </w:rPr>
            </w:pPr>
            <w:r>
              <w:rPr>
                <w:rFonts w:cs="Arial"/>
                <w:color w:val="000000"/>
                <w:sz w:val="20"/>
                <w:szCs w:val="20"/>
              </w:rPr>
              <w:t xml:space="preserve">0 </w:t>
            </w:r>
          </w:p>
        </w:tc>
      </w:tr>
      <w:tr w:rsidR="00C27413" w14:paraId="790FC988"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1A50CD8A" w14:textId="77777777" w:rsidR="00C27413" w:rsidRDefault="00C27413" w:rsidP="00C27413">
            <w:pPr>
              <w:spacing w:line="256" w:lineRule="auto"/>
              <w:rPr>
                <w:rFonts w:cs="Arial"/>
                <w:b/>
                <w:bCs/>
                <w:sz w:val="20"/>
                <w:szCs w:val="20"/>
                <w:lang w:val="es-ES" w:eastAsia="en-US"/>
              </w:rPr>
            </w:pPr>
            <w:r>
              <w:rPr>
                <w:rFonts w:cs="Arial"/>
                <w:b/>
                <w:bCs/>
                <w:sz w:val="20"/>
                <w:szCs w:val="20"/>
                <w:lang w:val="es-ES" w:eastAsia="en-US"/>
              </w:rPr>
              <w:t>Compromisos.</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28E9E6D3" w14:textId="77777777" w:rsidR="00C27413" w:rsidRDefault="00C27413" w:rsidP="00C27413">
            <w:pPr>
              <w:rPr>
                <w:rFonts w:cs="Arial"/>
                <w:b/>
                <w:bCs/>
                <w:sz w:val="20"/>
                <w:szCs w:val="20"/>
                <w:lang w:val="es-ES" w:eastAsia="en-US"/>
              </w:rPr>
            </w:pPr>
          </w:p>
        </w:tc>
        <w:tc>
          <w:tcPr>
            <w:tcW w:w="1746" w:type="dxa"/>
            <w:tcBorders>
              <w:top w:val="single" w:sz="4" w:space="0" w:color="auto"/>
              <w:left w:val="single" w:sz="4" w:space="0" w:color="auto"/>
              <w:bottom w:val="single" w:sz="4" w:space="0" w:color="auto"/>
              <w:right w:val="single" w:sz="4" w:space="0" w:color="auto"/>
            </w:tcBorders>
            <w:noWrap/>
            <w:vAlign w:val="center"/>
          </w:tcPr>
          <w:p w14:paraId="3048EF44" w14:textId="5B2D8433" w:rsidR="00C27413" w:rsidRDefault="00C27413" w:rsidP="00C27413">
            <w:pPr>
              <w:spacing w:line="256" w:lineRule="auto"/>
              <w:jc w:val="right"/>
              <w:rPr>
                <w:rFonts w:cs="Arial"/>
                <w:sz w:val="20"/>
                <w:szCs w:val="20"/>
                <w:lang w:val="es-ES" w:eastAsia="en-US"/>
              </w:rPr>
            </w:pPr>
            <w:r>
              <w:rPr>
                <w:rFonts w:cs="Arial"/>
                <w:color w:val="000000"/>
                <w:sz w:val="20"/>
                <w:szCs w:val="20"/>
              </w:rPr>
              <w:t> </w:t>
            </w:r>
          </w:p>
        </w:tc>
      </w:tr>
      <w:tr w:rsidR="00C27413" w14:paraId="5BD3C46B"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6DB371B2" w14:textId="77777777" w:rsidR="00C27413" w:rsidRDefault="00C27413" w:rsidP="00C27413">
            <w:pPr>
              <w:spacing w:line="256" w:lineRule="auto"/>
              <w:ind w:left="252"/>
              <w:rPr>
                <w:rFonts w:cs="Arial"/>
                <w:sz w:val="20"/>
                <w:szCs w:val="20"/>
                <w:lang w:val="es-ES" w:eastAsia="en-US"/>
              </w:rPr>
            </w:pPr>
            <w:r>
              <w:rPr>
                <w:rFonts w:cs="Arial"/>
                <w:sz w:val="20"/>
                <w:szCs w:val="20"/>
                <w:lang w:val="es-ES" w:eastAsia="en-US"/>
              </w:rPr>
              <w:t>Obligaciones de Cumplimiento de Resolución Jurisdiccional.</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181DAD48"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58D611F" w14:textId="2DFA9D93" w:rsidR="00C27413" w:rsidRDefault="00C27413" w:rsidP="00C27413">
            <w:pPr>
              <w:spacing w:line="256" w:lineRule="auto"/>
              <w:jc w:val="right"/>
              <w:rPr>
                <w:rFonts w:cs="Arial"/>
                <w:sz w:val="20"/>
                <w:szCs w:val="20"/>
                <w:lang w:val="es-ES" w:eastAsia="en-US"/>
              </w:rPr>
            </w:pPr>
            <w:r>
              <w:rPr>
                <w:rFonts w:cs="Arial"/>
                <w:color w:val="000000"/>
                <w:sz w:val="20"/>
                <w:szCs w:val="20"/>
              </w:rPr>
              <w:t xml:space="preserve">0 </w:t>
            </w:r>
          </w:p>
        </w:tc>
      </w:tr>
      <w:tr w:rsidR="00C27413" w14:paraId="28DCB7F6"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662314C3" w14:textId="77777777" w:rsidR="00C27413" w:rsidRDefault="00C27413" w:rsidP="00C27413">
            <w:pPr>
              <w:spacing w:line="256" w:lineRule="auto"/>
              <w:ind w:left="252"/>
              <w:rPr>
                <w:rFonts w:cs="Arial"/>
                <w:sz w:val="20"/>
                <w:szCs w:val="20"/>
                <w:lang w:val="es-ES" w:eastAsia="en-US"/>
              </w:rPr>
            </w:pPr>
            <w:r>
              <w:rPr>
                <w:rFonts w:cs="Arial"/>
                <w:sz w:val="20"/>
                <w:szCs w:val="20"/>
                <w:lang w:val="es-ES" w:eastAsia="en-US"/>
              </w:rPr>
              <w:t>Desastres Naturales.</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6AE05926"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N</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BC8FE9E" w14:textId="64803918" w:rsidR="00C27413" w:rsidRDefault="00C27413" w:rsidP="00C27413">
            <w:pPr>
              <w:spacing w:line="256" w:lineRule="auto"/>
              <w:jc w:val="right"/>
              <w:rPr>
                <w:rFonts w:cs="Arial"/>
                <w:sz w:val="20"/>
                <w:szCs w:val="20"/>
                <w:lang w:val="es-ES" w:eastAsia="en-US"/>
              </w:rPr>
            </w:pPr>
            <w:r>
              <w:rPr>
                <w:rFonts w:cs="Arial"/>
                <w:color w:val="000000"/>
                <w:sz w:val="20"/>
                <w:szCs w:val="20"/>
              </w:rPr>
              <w:t xml:space="preserve">65,210,284 </w:t>
            </w:r>
          </w:p>
        </w:tc>
      </w:tr>
      <w:tr w:rsidR="00C27413" w14:paraId="76DC7BB3"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368A1390" w14:textId="77777777" w:rsidR="00C27413" w:rsidRDefault="00C27413" w:rsidP="00C27413">
            <w:pPr>
              <w:spacing w:line="256" w:lineRule="auto"/>
              <w:rPr>
                <w:rFonts w:cs="Arial"/>
                <w:b/>
                <w:bCs/>
                <w:sz w:val="20"/>
                <w:szCs w:val="20"/>
                <w:lang w:val="es-ES" w:eastAsia="en-US"/>
              </w:rPr>
            </w:pPr>
            <w:r>
              <w:rPr>
                <w:rFonts w:cs="Arial"/>
                <w:b/>
                <w:bCs/>
                <w:sz w:val="20"/>
                <w:szCs w:val="20"/>
                <w:lang w:val="es-ES" w:eastAsia="en-US"/>
              </w:rPr>
              <w:t>Obligaciones.</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6A1D41D1" w14:textId="77777777" w:rsidR="00C27413" w:rsidRDefault="00C27413" w:rsidP="00C27413">
            <w:pPr>
              <w:rPr>
                <w:rFonts w:cs="Arial"/>
                <w:b/>
                <w:bCs/>
                <w:sz w:val="20"/>
                <w:szCs w:val="20"/>
                <w:lang w:val="es-ES" w:eastAsia="en-US"/>
              </w:rPr>
            </w:pPr>
          </w:p>
        </w:tc>
        <w:tc>
          <w:tcPr>
            <w:tcW w:w="1746" w:type="dxa"/>
            <w:tcBorders>
              <w:top w:val="single" w:sz="4" w:space="0" w:color="auto"/>
              <w:left w:val="single" w:sz="4" w:space="0" w:color="auto"/>
              <w:bottom w:val="single" w:sz="4" w:space="0" w:color="auto"/>
              <w:right w:val="single" w:sz="4" w:space="0" w:color="auto"/>
            </w:tcBorders>
            <w:noWrap/>
            <w:vAlign w:val="center"/>
          </w:tcPr>
          <w:p w14:paraId="7F72EC34" w14:textId="261B344D" w:rsidR="00C27413" w:rsidRDefault="00C27413" w:rsidP="00C27413">
            <w:pPr>
              <w:spacing w:line="256" w:lineRule="auto"/>
              <w:jc w:val="right"/>
              <w:rPr>
                <w:rFonts w:cs="Arial"/>
                <w:sz w:val="20"/>
                <w:szCs w:val="20"/>
                <w:lang w:val="es-ES" w:eastAsia="en-US"/>
              </w:rPr>
            </w:pPr>
            <w:r>
              <w:rPr>
                <w:rFonts w:cs="Arial"/>
                <w:color w:val="000000"/>
                <w:sz w:val="20"/>
                <w:szCs w:val="20"/>
              </w:rPr>
              <w:t> </w:t>
            </w:r>
          </w:p>
        </w:tc>
      </w:tr>
      <w:tr w:rsidR="00C27413" w14:paraId="15CC1B4D"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03828921" w14:textId="77777777" w:rsidR="00C27413" w:rsidRDefault="00C27413" w:rsidP="00C27413">
            <w:pPr>
              <w:spacing w:line="256" w:lineRule="auto"/>
              <w:ind w:left="252"/>
              <w:rPr>
                <w:rFonts w:cs="Arial"/>
                <w:sz w:val="20"/>
                <w:szCs w:val="20"/>
                <w:lang w:val="es-ES" w:eastAsia="en-US"/>
              </w:rPr>
            </w:pPr>
            <w:r>
              <w:rPr>
                <w:rFonts w:cs="Arial"/>
                <w:sz w:val="20"/>
                <w:szCs w:val="20"/>
                <w:lang w:val="es-ES" w:eastAsia="en-US"/>
              </w:rPr>
              <w:t>Pensiones y Jubilaciones.</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41D35748"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J</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3C84A02" w14:textId="5A40F8DC" w:rsidR="00C27413" w:rsidRDefault="00C27413" w:rsidP="00C27413">
            <w:pPr>
              <w:spacing w:line="256" w:lineRule="auto"/>
              <w:jc w:val="right"/>
              <w:rPr>
                <w:rFonts w:cs="Arial"/>
                <w:sz w:val="20"/>
                <w:szCs w:val="20"/>
                <w:lang w:val="es-ES" w:eastAsia="en-US"/>
              </w:rPr>
            </w:pPr>
            <w:r>
              <w:rPr>
                <w:rFonts w:cs="Arial"/>
                <w:color w:val="000000"/>
                <w:sz w:val="20"/>
                <w:szCs w:val="20"/>
              </w:rPr>
              <w:t xml:space="preserve">1,256,591,433 </w:t>
            </w:r>
          </w:p>
        </w:tc>
      </w:tr>
      <w:tr w:rsidR="00C27413" w14:paraId="6F0BF679"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52401404" w14:textId="77777777" w:rsidR="00C27413" w:rsidRDefault="00C27413" w:rsidP="00C27413">
            <w:pPr>
              <w:spacing w:line="256" w:lineRule="auto"/>
              <w:ind w:left="252"/>
              <w:rPr>
                <w:rFonts w:cs="Arial"/>
                <w:sz w:val="20"/>
                <w:szCs w:val="20"/>
                <w:lang w:val="es-ES" w:eastAsia="en-US"/>
              </w:rPr>
            </w:pPr>
            <w:r>
              <w:rPr>
                <w:rFonts w:cs="Arial"/>
                <w:sz w:val="20"/>
                <w:szCs w:val="20"/>
                <w:lang w:val="es-ES" w:eastAsia="en-US"/>
              </w:rPr>
              <w:t>Aportaciones a la Seguridad Social.</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7F4CBC62"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T</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DE40120" w14:textId="2623162A" w:rsidR="00C27413" w:rsidRDefault="00C27413" w:rsidP="00C27413">
            <w:pPr>
              <w:spacing w:line="256" w:lineRule="auto"/>
              <w:jc w:val="right"/>
              <w:rPr>
                <w:rFonts w:cs="Arial"/>
                <w:sz w:val="20"/>
                <w:szCs w:val="20"/>
                <w:lang w:val="es-ES" w:eastAsia="en-US"/>
              </w:rPr>
            </w:pPr>
            <w:r>
              <w:rPr>
                <w:rFonts w:cs="Arial"/>
                <w:color w:val="000000"/>
                <w:sz w:val="20"/>
                <w:szCs w:val="20"/>
              </w:rPr>
              <w:t xml:space="preserve">360,610,448 </w:t>
            </w:r>
          </w:p>
        </w:tc>
      </w:tr>
      <w:tr w:rsidR="00C27413" w14:paraId="08866B99"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38FB7598" w14:textId="77777777" w:rsidR="00C27413" w:rsidRDefault="00C27413" w:rsidP="00C27413">
            <w:pPr>
              <w:spacing w:line="256" w:lineRule="auto"/>
              <w:ind w:left="252"/>
              <w:rPr>
                <w:rFonts w:cs="Arial"/>
                <w:sz w:val="20"/>
                <w:szCs w:val="20"/>
                <w:lang w:val="es-ES" w:eastAsia="en-US"/>
              </w:rPr>
            </w:pPr>
            <w:r>
              <w:rPr>
                <w:rFonts w:cs="Arial"/>
                <w:sz w:val="20"/>
                <w:szCs w:val="20"/>
                <w:lang w:val="es-ES" w:eastAsia="en-US"/>
              </w:rPr>
              <w:t>Aportaciones a Fondos de Estabilización.</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21DB28F4"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Y</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FBEDF38" w14:textId="0AEB8C28" w:rsidR="00C27413" w:rsidRDefault="00C27413" w:rsidP="00C27413">
            <w:pPr>
              <w:spacing w:line="256" w:lineRule="auto"/>
              <w:jc w:val="right"/>
              <w:rPr>
                <w:rFonts w:cs="Arial"/>
                <w:sz w:val="20"/>
                <w:szCs w:val="20"/>
                <w:lang w:val="es-ES" w:eastAsia="en-US"/>
              </w:rPr>
            </w:pPr>
            <w:r>
              <w:rPr>
                <w:rFonts w:cs="Arial"/>
                <w:color w:val="000000"/>
                <w:sz w:val="20"/>
                <w:szCs w:val="20"/>
              </w:rPr>
              <w:t xml:space="preserve">0 </w:t>
            </w:r>
          </w:p>
        </w:tc>
      </w:tr>
      <w:tr w:rsidR="00C27413" w14:paraId="6A71EA20"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27DA70A0" w14:textId="77777777" w:rsidR="00C27413" w:rsidRDefault="00C27413" w:rsidP="00C27413">
            <w:pPr>
              <w:spacing w:line="256" w:lineRule="auto"/>
              <w:ind w:left="252"/>
              <w:rPr>
                <w:rFonts w:cs="Arial"/>
                <w:sz w:val="20"/>
                <w:szCs w:val="20"/>
                <w:lang w:val="es-ES" w:eastAsia="en-US"/>
              </w:rPr>
            </w:pPr>
            <w:r>
              <w:rPr>
                <w:rFonts w:cs="Arial"/>
                <w:sz w:val="20"/>
                <w:szCs w:val="20"/>
                <w:lang w:val="es-ES" w:eastAsia="en-US"/>
              </w:rPr>
              <w:t>Aportaciones a Fondos de Inversión y Reestructura de Pensiones.</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021F6BC4"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Z</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A75F62E" w14:textId="227FCC32" w:rsidR="00C27413" w:rsidRDefault="00C27413" w:rsidP="00C27413">
            <w:pPr>
              <w:spacing w:line="256" w:lineRule="auto"/>
              <w:jc w:val="right"/>
              <w:rPr>
                <w:rFonts w:cs="Arial"/>
                <w:color w:val="000000"/>
                <w:sz w:val="20"/>
                <w:szCs w:val="20"/>
                <w:lang w:val="es-ES" w:eastAsia="en-US"/>
              </w:rPr>
            </w:pPr>
            <w:r>
              <w:rPr>
                <w:rFonts w:cs="Arial"/>
                <w:color w:val="000000"/>
                <w:sz w:val="20"/>
                <w:szCs w:val="20"/>
              </w:rPr>
              <w:t xml:space="preserve">0 </w:t>
            </w:r>
          </w:p>
        </w:tc>
      </w:tr>
      <w:tr w:rsidR="00C27413" w14:paraId="0F0465FF"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2F2FACED" w14:textId="77777777" w:rsidR="00C27413" w:rsidRDefault="00C27413" w:rsidP="00C27413">
            <w:pPr>
              <w:spacing w:line="256" w:lineRule="auto"/>
              <w:rPr>
                <w:rFonts w:cs="Arial"/>
                <w:b/>
                <w:bCs/>
                <w:sz w:val="20"/>
                <w:szCs w:val="20"/>
                <w:lang w:val="es-ES" w:eastAsia="en-US"/>
              </w:rPr>
            </w:pPr>
            <w:r>
              <w:rPr>
                <w:rFonts w:cs="Arial"/>
                <w:b/>
                <w:bCs/>
                <w:sz w:val="20"/>
                <w:szCs w:val="20"/>
                <w:lang w:val="es-ES" w:eastAsia="en-US"/>
              </w:rPr>
              <w:t>Programas de Gasto Federalizado (Gobierno Federal).</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5309CC73" w14:textId="77777777" w:rsidR="00C27413" w:rsidRDefault="00C27413" w:rsidP="00C27413">
            <w:pPr>
              <w:rPr>
                <w:rFonts w:cs="Arial"/>
                <w:b/>
                <w:bCs/>
                <w:sz w:val="20"/>
                <w:szCs w:val="20"/>
                <w:lang w:val="es-ES" w:eastAsia="en-US"/>
              </w:rPr>
            </w:pPr>
          </w:p>
        </w:tc>
        <w:tc>
          <w:tcPr>
            <w:tcW w:w="1746" w:type="dxa"/>
            <w:tcBorders>
              <w:top w:val="single" w:sz="4" w:space="0" w:color="auto"/>
              <w:left w:val="single" w:sz="4" w:space="0" w:color="auto"/>
              <w:bottom w:val="single" w:sz="4" w:space="0" w:color="auto"/>
              <w:right w:val="single" w:sz="4" w:space="0" w:color="auto"/>
            </w:tcBorders>
            <w:noWrap/>
            <w:vAlign w:val="center"/>
          </w:tcPr>
          <w:p w14:paraId="39F53524" w14:textId="1BC96A91" w:rsidR="00C27413" w:rsidRDefault="00C27413" w:rsidP="00C27413">
            <w:pPr>
              <w:spacing w:line="256" w:lineRule="auto"/>
              <w:jc w:val="right"/>
              <w:rPr>
                <w:rFonts w:cs="Arial"/>
                <w:sz w:val="20"/>
                <w:szCs w:val="20"/>
                <w:lang w:val="es-ES" w:eastAsia="en-US"/>
              </w:rPr>
            </w:pPr>
            <w:r>
              <w:rPr>
                <w:rFonts w:cs="Arial"/>
                <w:color w:val="000000"/>
                <w:sz w:val="20"/>
                <w:szCs w:val="20"/>
              </w:rPr>
              <w:t> </w:t>
            </w:r>
          </w:p>
        </w:tc>
      </w:tr>
      <w:tr w:rsidR="00C27413" w14:paraId="37F53508"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36C998CA" w14:textId="77777777" w:rsidR="00C27413" w:rsidRDefault="00C27413" w:rsidP="00C27413">
            <w:pPr>
              <w:spacing w:line="256" w:lineRule="auto"/>
              <w:rPr>
                <w:rFonts w:cs="Arial"/>
                <w:b/>
                <w:bCs/>
                <w:sz w:val="20"/>
                <w:szCs w:val="20"/>
                <w:lang w:val="es-ES" w:eastAsia="en-US"/>
              </w:rPr>
            </w:pPr>
            <w:r>
              <w:rPr>
                <w:rFonts w:cs="Arial"/>
                <w:b/>
                <w:bCs/>
                <w:sz w:val="20"/>
                <w:szCs w:val="20"/>
                <w:lang w:val="es-ES" w:eastAsia="en-US"/>
              </w:rPr>
              <w:t>Gasto Federalizado.</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6EF75D37"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I</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2BFED09" w14:textId="2CBC4070" w:rsidR="00C27413" w:rsidRDefault="00C27413" w:rsidP="00C27413">
            <w:pPr>
              <w:spacing w:line="256" w:lineRule="auto"/>
              <w:jc w:val="right"/>
              <w:rPr>
                <w:rFonts w:cs="Arial"/>
                <w:sz w:val="20"/>
                <w:szCs w:val="20"/>
                <w:lang w:val="es-ES" w:eastAsia="en-US"/>
              </w:rPr>
            </w:pPr>
            <w:r>
              <w:rPr>
                <w:rFonts w:cs="Arial"/>
                <w:color w:val="000000"/>
                <w:sz w:val="20"/>
                <w:szCs w:val="20"/>
              </w:rPr>
              <w:t xml:space="preserve">1,165,069,515 </w:t>
            </w:r>
          </w:p>
        </w:tc>
      </w:tr>
      <w:tr w:rsidR="00C27413" w14:paraId="393397E8"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550047AD" w14:textId="77777777" w:rsidR="00C27413" w:rsidRDefault="00C27413" w:rsidP="00C27413">
            <w:pPr>
              <w:spacing w:line="256" w:lineRule="auto"/>
              <w:rPr>
                <w:rFonts w:cs="Arial"/>
                <w:b/>
                <w:bCs/>
                <w:sz w:val="20"/>
                <w:szCs w:val="20"/>
                <w:lang w:val="es-ES" w:eastAsia="en-US"/>
              </w:rPr>
            </w:pPr>
            <w:r>
              <w:rPr>
                <w:rFonts w:cs="Arial"/>
                <w:b/>
                <w:bCs/>
                <w:sz w:val="20"/>
                <w:szCs w:val="20"/>
                <w:lang w:val="es-ES" w:eastAsia="en-US"/>
              </w:rPr>
              <w:t>Participaciones a Entidades Federativas y Municipios.</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06CA948A"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C</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4B119B2" w14:textId="32EE6A06" w:rsidR="00C27413" w:rsidRDefault="00C27413" w:rsidP="00C27413">
            <w:pPr>
              <w:spacing w:line="256" w:lineRule="auto"/>
              <w:jc w:val="right"/>
              <w:rPr>
                <w:rFonts w:cs="Arial"/>
                <w:sz w:val="20"/>
                <w:szCs w:val="20"/>
                <w:lang w:val="es-ES" w:eastAsia="en-US"/>
              </w:rPr>
            </w:pPr>
            <w:r>
              <w:rPr>
                <w:rFonts w:cs="Arial"/>
                <w:color w:val="000000"/>
                <w:sz w:val="20"/>
                <w:szCs w:val="20"/>
              </w:rPr>
              <w:t xml:space="preserve">2,169,346,883 </w:t>
            </w:r>
          </w:p>
        </w:tc>
      </w:tr>
      <w:tr w:rsidR="00C27413" w14:paraId="217EC84E"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0B577BBF" w14:textId="77777777" w:rsidR="00C27413" w:rsidRDefault="00C27413" w:rsidP="00C27413">
            <w:pPr>
              <w:spacing w:line="256" w:lineRule="auto"/>
              <w:rPr>
                <w:rFonts w:cs="Arial"/>
                <w:b/>
                <w:bCs/>
                <w:sz w:val="20"/>
                <w:szCs w:val="20"/>
                <w:lang w:val="es-ES" w:eastAsia="en-US"/>
              </w:rPr>
            </w:pPr>
            <w:r>
              <w:rPr>
                <w:rFonts w:cs="Arial"/>
                <w:b/>
                <w:bCs/>
                <w:sz w:val="20"/>
                <w:szCs w:val="20"/>
                <w:lang w:val="es-ES" w:eastAsia="en-US"/>
              </w:rPr>
              <w:t>Costo financiero, Deuda o Apoyos a Deudores y Ahorradores de la Banca.</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36330768"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D</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EB00363" w14:textId="0D0E98E3" w:rsidR="00C27413" w:rsidRDefault="00C27413" w:rsidP="00C27413">
            <w:pPr>
              <w:spacing w:line="256" w:lineRule="auto"/>
              <w:jc w:val="right"/>
              <w:rPr>
                <w:rFonts w:cs="Arial"/>
                <w:sz w:val="20"/>
                <w:szCs w:val="20"/>
                <w:lang w:val="es-ES" w:eastAsia="en-US"/>
              </w:rPr>
            </w:pPr>
            <w:r>
              <w:rPr>
                <w:rFonts w:cs="Arial"/>
                <w:color w:val="000000"/>
                <w:sz w:val="20"/>
                <w:szCs w:val="20"/>
              </w:rPr>
              <w:t xml:space="preserve">768,425,052 </w:t>
            </w:r>
          </w:p>
        </w:tc>
      </w:tr>
      <w:tr w:rsidR="00C27413" w14:paraId="10225243"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17D71BED" w14:textId="77777777" w:rsidR="00C27413" w:rsidRDefault="00C27413" w:rsidP="00C27413">
            <w:pPr>
              <w:spacing w:line="256" w:lineRule="auto"/>
              <w:rPr>
                <w:rFonts w:cs="Arial"/>
                <w:b/>
                <w:sz w:val="20"/>
                <w:szCs w:val="20"/>
                <w:lang w:val="es-ES" w:eastAsia="en-US"/>
              </w:rPr>
            </w:pPr>
            <w:r>
              <w:rPr>
                <w:rFonts w:cs="Arial"/>
                <w:b/>
                <w:sz w:val="20"/>
                <w:szCs w:val="20"/>
                <w:lang w:val="es-ES" w:eastAsia="en-US"/>
              </w:rPr>
              <w:t>Adeudos de Ejercicios Fiscales Anteriores.</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3257006E" w14:textId="77777777" w:rsidR="00C27413" w:rsidRDefault="00C27413" w:rsidP="00C27413">
            <w:pPr>
              <w:spacing w:line="256" w:lineRule="auto"/>
              <w:jc w:val="center"/>
              <w:rPr>
                <w:rFonts w:cs="Arial"/>
                <w:b/>
                <w:sz w:val="20"/>
                <w:szCs w:val="20"/>
                <w:lang w:val="es-ES" w:eastAsia="en-US"/>
              </w:rPr>
            </w:pPr>
            <w:r>
              <w:rPr>
                <w:rFonts w:cs="Arial"/>
                <w:b/>
                <w:sz w:val="20"/>
                <w:szCs w:val="20"/>
                <w:lang w:val="es-ES" w:eastAsia="en-US"/>
              </w:rPr>
              <w:t>H</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EB851AE" w14:textId="57405665" w:rsidR="00C27413" w:rsidRDefault="00C27413" w:rsidP="00C27413">
            <w:pPr>
              <w:spacing w:line="256" w:lineRule="auto"/>
              <w:jc w:val="right"/>
              <w:rPr>
                <w:rFonts w:cs="Arial"/>
                <w:sz w:val="20"/>
                <w:szCs w:val="20"/>
                <w:lang w:val="es-ES" w:eastAsia="en-US"/>
              </w:rPr>
            </w:pPr>
            <w:r>
              <w:rPr>
                <w:rFonts w:cs="Arial"/>
                <w:color w:val="000000"/>
                <w:sz w:val="20"/>
                <w:szCs w:val="20"/>
              </w:rPr>
              <w:t xml:space="preserve">157,361,143 </w:t>
            </w:r>
          </w:p>
        </w:tc>
      </w:tr>
      <w:tr w:rsidR="00C27413" w14:paraId="6D638FEF" w14:textId="77777777" w:rsidTr="00C27413">
        <w:trPr>
          <w:trHeight w:val="227"/>
          <w:jc w:val="center"/>
        </w:trPr>
        <w:tc>
          <w:tcPr>
            <w:tcW w:w="5873" w:type="dxa"/>
            <w:tcBorders>
              <w:top w:val="single" w:sz="4" w:space="0" w:color="auto"/>
              <w:left w:val="single" w:sz="4" w:space="0" w:color="auto"/>
              <w:bottom w:val="single" w:sz="4" w:space="0" w:color="auto"/>
              <w:right w:val="single" w:sz="4" w:space="0" w:color="auto"/>
            </w:tcBorders>
            <w:noWrap/>
            <w:vAlign w:val="center"/>
            <w:hideMark/>
          </w:tcPr>
          <w:p w14:paraId="0FBA83D9" w14:textId="77777777" w:rsidR="00C27413" w:rsidRDefault="00C27413" w:rsidP="00C27413">
            <w:pPr>
              <w:spacing w:line="256" w:lineRule="auto"/>
              <w:jc w:val="center"/>
              <w:rPr>
                <w:rFonts w:cs="Arial"/>
                <w:b/>
                <w:bCs/>
                <w:sz w:val="20"/>
                <w:szCs w:val="20"/>
                <w:lang w:val="es-ES" w:eastAsia="en-US"/>
              </w:rPr>
            </w:pPr>
            <w:r>
              <w:rPr>
                <w:rFonts w:cs="Arial"/>
                <w:b/>
                <w:bCs/>
                <w:sz w:val="20"/>
                <w:szCs w:val="20"/>
                <w:lang w:val="es-ES" w:eastAsia="en-US"/>
              </w:rPr>
              <w:t>Total</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0160D575" w14:textId="77777777" w:rsidR="00C27413" w:rsidRDefault="00C27413" w:rsidP="00C27413">
            <w:pPr>
              <w:rPr>
                <w:rFonts w:cs="Arial"/>
                <w:b/>
                <w:bCs/>
                <w:sz w:val="20"/>
                <w:szCs w:val="20"/>
                <w:lang w:val="es-ES" w:eastAsia="en-US"/>
              </w:rPr>
            </w:pP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AE990C3" w14:textId="4AFF53AD" w:rsidR="00C27413" w:rsidRDefault="00C27413" w:rsidP="00C27413">
            <w:pPr>
              <w:spacing w:line="256" w:lineRule="auto"/>
              <w:jc w:val="right"/>
              <w:rPr>
                <w:rFonts w:cs="Arial"/>
                <w:b/>
                <w:bCs/>
                <w:color w:val="000000"/>
                <w:sz w:val="20"/>
                <w:szCs w:val="20"/>
                <w:lang w:val="es-ES" w:eastAsia="en-US"/>
              </w:rPr>
            </w:pPr>
            <w:r>
              <w:rPr>
                <w:rFonts w:cs="Arial"/>
                <w:b/>
                <w:bCs/>
                <w:color w:val="000000"/>
                <w:sz w:val="20"/>
                <w:szCs w:val="20"/>
              </w:rPr>
              <w:t xml:space="preserve">23,004,130,279 </w:t>
            </w:r>
          </w:p>
        </w:tc>
      </w:tr>
    </w:tbl>
    <w:p w14:paraId="1F95BC63" w14:textId="77777777" w:rsidR="00BF5974" w:rsidRDefault="00BF5974" w:rsidP="00BF5974">
      <w:pPr>
        <w:rPr>
          <w:rFonts w:cs="Arial"/>
          <w:b/>
          <w:lang w:val="es-ES"/>
        </w:rPr>
      </w:pPr>
    </w:p>
    <w:p w14:paraId="4E68DF7B" w14:textId="2B730410" w:rsidR="00BF5974" w:rsidRDefault="00BF5974" w:rsidP="00BF5974">
      <w:pPr>
        <w:rPr>
          <w:rFonts w:cs="Arial"/>
          <w:b/>
          <w:lang w:val="es-ES"/>
        </w:rPr>
      </w:pPr>
    </w:p>
    <w:p w14:paraId="766FB48C" w14:textId="77777777" w:rsidR="00105286" w:rsidRDefault="00105286" w:rsidP="00BF5974">
      <w:pPr>
        <w:rPr>
          <w:rFonts w:cs="Arial"/>
          <w:b/>
          <w:lang w:val="es-ES"/>
        </w:rPr>
      </w:pPr>
    </w:p>
    <w:p w14:paraId="28525065" w14:textId="77777777" w:rsidR="00BF5974" w:rsidRDefault="00BF5974" w:rsidP="00BF5974">
      <w:pPr>
        <w:jc w:val="center"/>
        <w:rPr>
          <w:rFonts w:eastAsia="Times New Roman" w:cs="Arial"/>
          <w:b/>
          <w:lang w:val="es-ES"/>
        </w:rPr>
      </w:pPr>
      <w:bookmarkStart w:id="37" w:name="_Toc526757444"/>
      <w:bookmarkStart w:id="38" w:name="_Toc22021882"/>
      <w:bookmarkStart w:id="39" w:name="_Toc22983155"/>
      <w:r>
        <w:rPr>
          <w:rFonts w:eastAsia="Times New Roman" w:cs="Arial"/>
          <w:b/>
          <w:lang w:val="es-ES"/>
        </w:rPr>
        <w:lastRenderedPageBreak/>
        <w:t>CAPÍTULO II</w:t>
      </w:r>
      <w:bookmarkEnd w:id="37"/>
      <w:bookmarkEnd w:id="38"/>
      <w:bookmarkEnd w:id="39"/>
      <w:r>
        <w:rPr>
          <w:rFonts w:eastAsia="Times New Roman" w:cs="Arial"/>
          <w:b/>
          <w:lang w:val="es-ES"/>
        </w:rPr>
        <w:t>I</w:t>
      </w:r>
    </w:p>
    <w:p w14:paraId="78E2FCF1" w14:textId="77777777" w:rsidR="00BF5974" w:rsidRDefault="00BF5974" w:rsidP="00BF5974">
      <w:pPr>
        <w:keepNext/>
        <w:keepLines/>
        <w:jc w:val="center"/>
        <w:outlineLvl w:val="0"/>
        <w:rPr>
          <w:rFonts w:eastAsia="Times New Roman" w:cs="Arial"/>
          <w:b/>
          <w:szCs w:val="32"/>
          <w:lang w:val="es-ES"/>
        </w:rPr>
      </w:pPr>
      <w:bookmarkStart w:id="40" w:name="_Toc526757445"/>
      <w:bookmarkStart w:id="41" w:name="_Toc22021883"/>
      <w:bookmarkStart w:id="42" w:name="_Toc22983156"/>
      <w:r>
        <w:rPr>
          <w:rFonts w:eastAsia="Times New Roman" w:cs="Arial"/>
          <w:b/>
          <w:szCs w:val="32"/>
          <w:lang w:val="es-ES"/>
        </w:rPr>
        <w:t>DE LOS ÓRGANOS AUTONOMOS Y PODERES DEL ESTADO</w:t>
      </w:r>
      <w:bookmarkEnd w:id="40"/>
      <w:bookmarkEnd w:id="41"/>
      <w:bookmarkEnd w:id="42"/>
    </w:p>
    <w:p w14:paraId="370EA9FB" w14:textId="77777777" w:rsidR="00BF5974" w:rsidRDefault="00BF5974" w:rsidP="00BF5974">
      <w:pPr>
        <w:rPr>
          <w:rFonts w:eastAsia="Times New Roman" w:cs="Arial"/>
          <w:lang w:val="es-ES"/>
        </w:rPr>
      </w:pPr>
    </w:p>
    <w:p w14:paraId="489BC28C" w14:textId="77777777" w:rsidR="00BF5974" w:rsidRDefault="00BF5974" w:rsidP="00BF5974">
      <w:pPr>
        <w:rPr>
          <w:rFonts w:cs="Arial"/>
          <w:lang w:val="es-ES"/>
        </w:rPr>
      </w:pPr>
      <w:r>
        <w:rPr>
          <w:rFonts w:cs="Arial"/>
          <w:b/>
          <w:lang w:val="es-ES"/>
        </w:rPr>
        <w:t>Artículo 19</w:t>
      </w:r>
      <w:r>
        <w:rPr>
          <w:rFonts w:cs="Arial"/>
          <w:lang w:val="es-ES"/>
        </w:rPr>
        <w:t>. Las asignaciones previstas para los Órganos Autónomos Estatales para el Ejercicio Fiscal 2025, se distribuyen de la siguiente manera:</w:t>
      </w:r>
    </w:p>
    <w:p w14:paraId="1A834FD3" w14:textId="77777777" w:rsidR="00BF5974" w:rsidRDefault="00BF5974" w:rsidP="00BF5974">
      <w:pPr>
        <w:keepNext/>
        <w:keepLines/>
        <w:outlineLvl w:val="2"/>
        <w:rPr>
          <w:rFonts w:eastAsia="Calibri" w:cs="Arial"/>
          <w:b/>
          <w:szCs w:val="24"/>
          <w:lang w:val="es-ES" w:eastAsia="en-US"/>
        </w:rPr>
      </w:pPr>
    </w:p>
    <w:p w14:paraId="3A9A18C3" w14:textId="77777777" w:rsidR="00BF5974" w:rsidRDefault="00BF5974" w:rsidP="00BF5974">
      <w:pPr>
        <w:jc w:val="center"/>
        <w:rPr>
          <w:rFonts w:eastAsia="Times New Roman" w:cs="Arial"/>
          <w:b/>
          <w:sz w:val="20"/>
          <w:lang w:val="es-ES"/>
        </w:rPr>
      </w:pPr>
      <w:bookmarkStart w:id="43" w:name="_MON_1383569606"/>
      <w:bookmarkStart w:id="44" w:name="_MON_1381441842"/>
      <w:bookmarkStart w:id="45" w:name="_MON_1381441854"/>
      <w:bookmarkStart w:id="46" w:name="_MON_1381441860"/>
      <w:bookmarkStart w:id="47" w:name="_MON_1381441868"/>
      <w:bookmarkStart w:id="48" w:name="_MON_1381441887"/>
      <w:bookmarkStart w:id="49" w:name="_Toc522869234"/>
      <w:bookmarkStart w:id="50" w:name="_Toc22983157"/>
      <w:bookmarkStart w:id="51" w:name="_Toc22021884"/>
      <w:bookmarkStart w:id="52" w:name="_Toc526757446"/>
      <w:bookmarkEnd w:id="43"/>
      <w:bookmarkEnd w:id="44"/>
      <w:bookmarkEnd w:id="45"/>
      <w:bookmarkEnd w:id="46"/>
      <w:bookmarkEnd w:id="47"/>
      <w:bookmarkEnd w:id="48"/>
      <w:r>
        <w:rPr>
          <w:rFonts w:eastAsia="Times New Roman" w:cs="Arial"/>
          <w:b/>
          <w:sz w:val="20"/>
          <w:lang w:val="es-ES"/>
        </w:rPr>
        <w:t>Tabla 8. Órganos Autónomos</w:t>
      </w:r>
      <w:bookmarkEnd w:id="49"/>
      <w:r>
        <w:rPr>
          <w:rFonts w:eastAsia="Times New Roman" w:cs="Arial"/>
          <w:b/>
          <w:sz w:val="20"/>
          <w:lang w:val="es-ES"/>
        </w:rPr>
        <w:t xml:space="preserve"> del Estado</w:t>
      </w:r>
      <w:bookmarkEnd w:id="50"/>
      <w:bookmarkEnd w:id="51"/>
      <w:bookmarkEnd w:id="52"/>
    </w:p>
    <w:tbl>
      <w:tblPr>
        <w:tblW w:w="85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5805"/>
        <w:gridCol w:w="1560"/>
      </w:tblGrid>
      <w:tr w:rsidR="00BF5974" w14:paraId="055F3052" w14:textId="77777777" w:rsidTr="00BF5974">
        <w:trPr>
          <w:trHeight w:val="20"/>
          <w:tblHeader/>
          <w:jc w:val="right"/>
        </w:trPr>
        <w:tc>
          <w:tcPr>
            <w:tcW w:w="1139" w:type="dxa"/>
            <w:tcBorders>
              <w:top w:val="single" w:sz="4" w:space="0" w:color="auto"/>
              <w:left w:val="single" w:sz="4" w:space="0" w:color="auto"/>
              <w:bottom w:val="single" w:sz="4" w:space="0" w:color="auto"/>
              <w:right w:val="single" w:sz="4" w:space="0" w:color="auto"/>
            </w:tcBorders>
            <w:vAlign w:val="center"/>
            <w:hideMark/>
          </w:tcPr>
          <w:p w14:paraId="44B4B2C7" w14:textId="77777777" w:rsidR="00BF5974" w:rsidRDefault="00BF5974">
            <w:pPr>
              <w:spacing w:line="256" w:lineRule="auto"/>
              <w:jc w:val="center"/>
              <w:rPr>
                <w:rFonts w:cs="Arial"/>
                <w:b/>
                <w:bCs/>
                <w:sz w:val="16"/>
                <w:szCs w:val="16"/>
                <w:lang w:val="es-ES" w:eastAsia="en-US"/>
              </w:rPr>
            </w:pPr>
            <w:r>
              <w:rPr>
                <w:rFonts w:cs="Arial"/>
                <w:b/>
                <w:bCs/>
                <w:sz w:val="16"/>
                <w:szCs w:val="16"/>
                <w:lang w:val="es-ES" w:eastAsia="en-US"/>
              </w:rPr>
              <w:t>Clave</w:t>
            </w:r>
          </w:p>
        </w:tc>
        <w:tc>
          <w:tcPr>
            <w:tcW w:w="5802" w:type="dxa"/>
            <w:tcBorders>
              <w:top w:val="single" w:sz="4" w:space="0" w:color="auto"/>
              <w:left w:val="single" w:sz="4" w:space="0" w:color="auto"/>
              <w:bottom w:val="single" w:sz="4" w:space="0" w:color="auto"/>
              <w:right w:val="single" w:sz="4" w:space="0" w:color="auto"/>
            </w:tcBorders>
            <w:vAlign w:val="center"/>
            <w:hideMark/>
          </w:tcPr>
          <w:p w14:paraId="633B5023" w14:textId="77777777" w:rsidR="00BF5974" w:rsidRDefault="00BF5974">
            <w:pPr>
              <w:spacing w:line="256" w:lineRule="auto"/>
              <w:jc w:val="center"/>
              <w:rPr>
                <w:rFonts w:cs="Arial"/>
                <w:b/>
                <w:bCs/>
                <w:sz w:val="20"/>
                <w:lang w:val="es-ES" w:eastAsia="en-US"/>
              </w:rPr>
            </w:pPr>
            <w:r>
              <w:rPr>
                <w:rFonts w:cs="Arial"/>
                <w:b/>
                <w:bCs/>
                <w:sz w:val="20"/>
                <w:lang w:val="es-ES" w:eastAsia="en-US"/>
              </w:rPr>
              <w:t>Nombre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7E325E" w14:textId="77777777" w:rsidR="00BF5974" w:rsidRDefault="00BF5974">
            <w:pPr>
              <w:spacing w:line="256" w:lineRule="auto"/>
              <w:jc w:val="center"/>
              <w:rPr>
                <w:rFonts w:cs="Arial"/>
                <w:b/>
                <w:bCs/>
                <w:sz w:val="20"/>
                <w:lang w:val="es-ES" w:eastAsia="en-US"/>
              </w:rPr>
            </w:pPr>
            <w:r>
              <w:rPr>
                <w:rFonts w:cs="Arial"/>
                <w:b/>
                <w:bCs/>
                <w:sz w:val="20"/>
                <w:lang w:val="es-ES" w:eastAsia="en-US"/>
              </w:rPr>
              <w:t>Asignación Presupuestal</w:t>
            </w:r>
          </w:p>
        </w:tc>
      </w:tr>
      <w:tr w:rsidR="00BF5974" w14:paraId="7714557C" w14:textId="77777777" w:rsidTr="00BF5974">
        <w:trPr>
          <w:trHeight w:val="20"/>
          <w:jc w:val="right"/>
        </w:trPr>
        <w:tc>
          <w:tcPr>
            <w:tcW w:w="1139" w:type="dxa"/>
            <w:tcBorders>
              <w:top w:val="single" w:sz="4" w:space="0" w:color="auto"/>
              <w:left w:val="single" w:sz="4" w:space="0" w:color="auto"/>
              <w:bottom w:val="single" w:sz="4" w:space="0" w:color="auto"/>
              <w:right w:val="single" w:sz="4" w:space="0" w:color="auto"/>
            </w:tcBorders>
            <w:vAlign w:val="center"/>
            <w:hideMark/>
          </w:tcPr>
          <w:p w14:paraId="2FCD6A1E" w14:textId="77777777" w:rsidR="00BF5974" w:rsidRDefault="00BF5974">
            <w:pPr>
              <w:spacing w:line="256" w:lineRule="auto"/>
              <w:jc w:val="center"/>
              <w:rPr>
                <w:rFonts w:cs="Arial"/>
                <w:sz w:val="18"/>
                <w:szCs w:val="18"/>
                <w:lang w:val="es-ES" w:eastAsia="en-US"/>
              </w:rPr>
            </w:pPr>
            <w:r>
              <w:rPr>
                <w:sz w:val="18"/>
                <w:szCs w:val="18"/>
                <w:lang w:val="es-ES" w:eastAsia="en-US"/>
              </w:rPr>
              <w:t>040104001</w:t>
            </w:r>
          </w:p>
        </w:tc>
        <w:tc>
          <w:tcPr>
            <w:tcW w:w="5802" w:type="dxa"/>
            <w:tcBorders>
              <w:top w:val="single" w:sz="4" w:space="0" w:color="auto"/>
              <w:left w:val="single" w:sz="4" w:space="0" w:color="auto"/>
              <w:bottom w:val="single" w:sz="4" w:space="0" w:color="auto"/>
              <w:right w:val="single" w:sz="4" w:space="0" w:color="auto"/>
            </w:tcBorders>
            <w:vAlign w:val="center"/>
            <w:hideMark/>
          </w:tcPr>
          <w:p w14:paraId="766CE0CE" w14:textId="77777777" w:rsidR="00BF5974" w:rsidRDefault="00BF5974">
            <w:pPr>
              <w:spacing w:line="256" w:lineRule="auto"/>
              <w:rPr>
                <w:rFonts w:cs="Arial"/>
                <w:sz w:val="20"/>
                <w:lang w:val="es-ES" w:eastAsia="en-US"/>
              </w:rPr>
            </w:pPr>
            <w:r>
              <w:rPr>
                <w:rFonts w:cs="Arial"/>
                <w:sz w:val="20"/>
                <w:lang w:val="es-ES" w:eastAsia="en-US"/>
              </w:rPr>
              <w:t>Comisión de Derechos Humanos del Estado de Colima.</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9F92BDB"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15,023,007</w:t>
            </w:r>
          </w:p>
        </w:tc>
      </w:tr>
      <w:tr w:rsidR="00BF5974" w14:paraId="431D6C5D" w14:textId="77777777" w:rsidTr="00BF5974">
        <w:trPr>
          <w:trHeight w:val="20"/>
          <w:jc w:val="right"/>
        </w:trPr>
        <w:tc>
          <w:tcPr>
            <w:tcW w:w="1139" w:type="dxa"/>
            <w:tcBorders>
              <w:top w:val="single" w:sz="4" w:space="0" w:color="auto"/>
              <w:left w:val="single" w:sz="4" w:space="0" w:color="auto"/>
              <w:bottom w:val="single" w:sz="4" w:space="0" w:color="auto"/>
              <w:right w:val="single" w:sz="4" w:space="0" w:color="auto"/>
            </w:tcBorders>
            <w:vAlign w:val="center"/>
            <w:hideMark/>
          </w:tcPr>
          <w:p w14:paraId="62206996" w14:textId="77777777" w:rsidR="00BF5974" w:rsidRDefault="00BF5974">
            <w:pPr>
              <w:spacing w:line="256" w:lineRule="auto"/>
              <w:jc w:val="center"/>
              <w:rPr>
                <w:rFonts w:cs="Arial"/>
                <w:sz w:val="18"/>
                <w:szCs w:val="18"/>
                <w:lang w:val="es-ES" w:eastAsia="en-US"/>
              </w:rPr>
            </w:pPr>
            <w:r>
              <w:rPr>
                <w:sz w:val="18"/>
                <w:szCs w:val="18"/>
                <w:lang w:val="es-ES" w:eastAsia="en-US"/>
              </w:rPr>
              <w:t>040104002</w:t>
            </w:r>
          </w:p>
        </w:tc>
        <w:tc>
          <w:tcPr>
            <w:tcW w:w="5802" w:type="dxa"/>
            <w:tcBorders>
              <w:top w:val="single" w:sz="4" w:space="0" w:color="auto"/>
              <w:left w:val="single" w:sz="4" w:space="0" w:color="auto"/>
              <w:bottom w:val="single" w:sz="4" w:space="0" w:color="auto"/>
              <w:right w:val="single" w:sz="4" w:space="0" w:color="auto"/>
            </w:tcBorders>
            <w:vAlign w:val="center"/>
            <w:hideMark/>
          </w:tcPr>
          <w:p w14:paraId="107F7CEE" w14:textId="77777777" w:rsidR="00BF5974" w:rsidRDefault="00BF5974">
            <w:pPr>
              <w:spacing w:line="256" w:lineRule="auto"/>
              <w:rPr>
                <w:rFonts w:cs="Arial"/>
                <w:sz w:val="20"/>
                <w:lang w:val="es-ES" w:eastAsia="en-US"/>
              </w:rPr>
            </w:pPr>
            <w:r>
              <w:rPr>
                <w:rFonts w:cs="Arial"/>
                <w:sz w:val="20"/>
                <w:lang w:val="es-ES" w:eastAsia="en-US"/>
              </w:rPr>
              <w:t>Fiscalía General del Estado de Colima.</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5E87D59"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500,422,055</w:t>
            </w:r>
          </w:p>
        </w:tc>
      </w:tr>
      <w:tr w:rsidR="00BF5974" w14:paraId="33E7F91C" w14:textId="77777777" w:rsidTr="00BF5974">
        <w:trPr>
          <w:trHeight w:val="20"/>
          <w:jc w:val="right"/>
        </w:trPr>
        <w:tc>
          <w:tcPr>
            <w:tcW w:w="1139" w:type="dxa"/>
            <w:tcBorders>
              <w:top w:val="single" w:sz="4" w:space="0" w:color="auto"/>
              <w:left w:val="single" w:sz="4" w:space="0" w:color="auto"/>
              <w:bottom w:val="single" w:sz="4" w:space="0" w:color="auto"/>
              <w:right w:val="single" w:sz="4" w:space="0" w:color="auto"/>
            </w:tcBorders>
            <w:vAlign w:val="center"/>
            <w:hideMark/>
          </w:tcPr>
          <w:p w14:paraId="5AD30BFE" w14:textId="77777777" w:rsidR="00BF5974" w:rsidRDefault="00BF5974">
            <w:pPr>
              <w:spacing w:line="256" w:lineRule="auto"/>
              <w:jc w:val="center"/>
              <w:rPr>
                <w:rFonts w:cs="Arial"/>
                <w:sz w:val="18"/>
                <w:szCs w:val="18"/>
                <w:highlight w:val="yellow"/>
                <w:lang w:val="es-ES" w:eastAsia="en-US"/>
              </w:rPr>
            </w:pPr>
            <w:r>
              <w:rPr>
                <w:sz w:val="18"/>
                <w:szCs w:val="18"/>
                <w:lang w:val="es-ES" w:eastAsia="en-US"/>
              </w:rPr>
              <w:t>040104003</w:t>
            </w:r>
          </w:p>
        </w:tc>
        <w:tc>
          <w:tcPr>
            <w:tcW w:w="5802" w:type="dxa"/>
            <w:tcBorders>
              <w:top w:val="single" w:sz="4" w:space="0" w:color="auto"/>
              <w:left w:val="single" w:sz="4" w:space="0" w:color="auto"/>
              <w:bottom w:val="single" w:sz="4" w:space="0" w:color="auto"/>
              <w:right w:val="single" w:sz="4" w:space="0" w:color="auto"/>
            </w:tcBorders>
            <w:vAlign w:val="center"/>
            <w:hideMark/>
          </w:tcPr>
          <w:p w14:paraId="6D7FF1CD" w14:textId="77777777" w:rsidR="00BF5974" w:rsidRDefault="00BF5974">
            <w:pPr>
              <w:spacing w:line="256" w:lineRule="auto"/>
              <w:rPr>
                <w:rFonts w:cs="Arial"/>
                <w:sz w:val="20"/>
                <w:lang w:val="es-ES" w:eastAsia="en-US"/>
              </w:rPr>
            </w:pPr>
            <w:r>
              <w:rPr>
                <w:rFonts w:cs="Arial"/>
                <w:sz w:val="20"/>
                <w:lang w:val="es-ES" w:eastAsia="en-US"/>
              </w:rPr>
              <w:t>Instituto Electoral del Estado.</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06C4034" w14:textId="77777777" w:rsidR="00BF5974" w:rsidRDefault="00BF5974">
            <w:pPr>
              <w:spacing w:line="256" w:lineRule="auto"/>
              <w:jc w:val="right"/>
              <w:rPr>
                <w:rFonts w:cs="Arial"/>
                <w:color w:val="FF0000"/>
                <w:sz w:val="20"/>
                <w:szCs w:val="20"/>
                <w:lang w:val="es-ES" w:eastAsia="en-US"/>
              </w:rPr>
            </w:pPr>
            <w:r>
              <w:rPr>
                <w:rFonts w:cs="Arial"/>
                <w:color w:val="000000"/>
                <w:sz w:val="20"/>
                <w:szCs w:val="20"/>
                <w:lang w:val="es-ES" w:eastAsia="en-US"/>
              </w:rPr>
              <w:t>107,430,304</w:t>
            </w:r>
          </w:p>
        </w:tc>
      </w:tr>
      <w:tr w:rsidR="00BF5974" w14:paraId="55721CBB" w14:textId="77777777" w:rsidTr="00BF5974">
        <w:trPr>
          <w:trHeight w:val="20"/>
          <w:jc w:val="right"/>
        </w:trPr>
        <w:tc>
          <w:tcPr>
            <w:tcW w:w="1139" w:type="dxa"/>
            <w:tcBorders>
              <w:top w:val="single" w:sz="4" w:space="0" w:color="auto"/>
              <w:left w:val="single" w:sz="4" w:space="0" w:color="auto"/>
              <w:bottom w:val="single" w:sz="4" w:space="0" w:color="auto"/>
              <w:right w:val="single" w:sz="4" w:space="0" w:color="auto"/>
            </w:tcBorders>
            <w:vAlign w:val="center"/>
            <w:hideMark/>
          </w:tcPr>
          <w:p w14:paraId="654C886D" w14:textId="77777777" w:rsidR="00BF5974" w:rsidRDefault="00BF5974">
            <w:pPr>
              <w:spacing w:line="256" w:lineRule="auto"/>
              <w:jc w:val="center"/>
              <w:rPr>
                <w:rFonts w:cs="Arial"/>
                <w:sz w:val="18"/>
                <w:szCs w:val="18"/>
                <w:lang w:val="es-ES" w:eastAsia="en-US"/>
              </w:rPr>
            </w:pPr>
            <w:r>
              <w:rPr>
                <w:sz w:val="18"/>
                <w:szCs w:val="18"/>
                <w:lang w:val="es-ES" w:eastAsia="en-US"/>
              </w:rPr>
              <w:t>040104004</w:t>
            </w:r>
          </w:p>
        </w:tc>
        <w:tc>
          <w:tcPr>
            <w:tcW w:w="5802" w:type="dxa"/>
            <w:tcBorders>
              <w:top w:val="single" w:sz="4" w:space="0" w:color="auto"/>
              <w:left w:val="single" w:sz="4" w:space="0" w:color="auto"/>
              <w:bottom w:val="single" w:sz="4" w:space="0" w:color="auto"/>
              <w:right w:val="single" w:sz="4" w:space="0" w:color="auto"/>
            </w:tcBorders>
            <w:vAlign w:val="center"/>
            <w:hideMark/>
          </w:tcPr>
          <w:p w14:paraId="441AB4F5" w14:textId="77777777" w:rsidR="00BF5974" w:rsidRDefault="00BF5974">
            <w:pPr>
              <w:spacing w:line="256" w:lineRule="auto"/>
              <w:rPr>
                <w:rFonts w:cs="Arial"/>
                <w:sz w:val="20"/>
                <w:lang w:val="es-ES" w:eastAsia="en-US"/>
              </w:rPr>
            </w:pPr>
            <w:r>
              <w:rPr>
                <w:rFonts w:cs="Arial"/>
                <w:sz w:val="20"/>
                <w:lang w:val="es-ES" w:eastAsia="en-US"/>
              </w:rPr>
              <w:t>Instituto de Transparencia, Acceso a la Información Pública y Protección de Datos del Estado de Colima.</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F9D0268"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22,760,557</w:t>
            </w:r>
          </w:p>
        </w:tc>
      </w:tr>
      <w:tr w:rsidR="00BF5974" w14:paraId="48968F0A" w14:textId="77777777" w:rsidTr="00BF5974">
        <w:trPr>
          <w:trHeight w:val="20"/>
          <w:jc w:val="right"/>
        </w:trPr>
        <w:tc>
          <w:tcPr>
            <w:tcW w:w="1139" w:type="dxa"/>
            <w:tcBorders>
              <w:top w:val="single" w:sz="4" w:space="0" w:color="auto"/>
              <w:left w:val="single" w:sz="4" w:space="0" w:color="auto"/>
              <w:bottom w:val="single" w:sz="4" w:space="0" w:color="auto"/>
              <w:right w:val="single" w:sz="4" w:space="0" w:color="auto"/>
            </w:tcBorders>
            <w:vAlign w:val="center"/>
            <w:hideMark/>
          </w:tcPr>
          <w:p w14:paraId="15C520AE" w14:textId="77777777" w:rsidR="00BF5974" w:rsidRDefault="00BF5974">
            <w:pPr>
              <w:spacing w:line="256" w:lineRule="auto"/>
              <w:jc w:val="center"/>
              <w:rPr>
                <w:rFonts w:cs="Arial"/>
                <w:sz w:val="18"/>
                <w:szCs w:val="18"/>
                <w:lang w:val="es-ES" w:eastAsia="en-US"/>
              </w:rPr>
            </w:pPr>
            <w:r>
              <w:rPr>
                <w:sz w:val="18"/>
                <w:szCs w:val="18"/>
                <w:lang w:val="es-ES" w:eastAsia="en-US"/>
              </w:rPr>
              <w:t>040104005</w:t>
            </w:r>
          </w:p>
        </w:tc>
        <w:tc>
          <w:tcPr>
            <w:tcW w:w="5802" w:type="dxa"/>
            <w:tcBorders>
              <w:top w:val="single" w:sz="4" w:space="0" w:color="auto"/>
              <w:left w:val="single" w:sz="4" w:space="0" w:color="auto"/>
              <w:bottom w:val="single" w:sz="4" w:space="0" w:color="auto"/>
              <w:right w:val="single" w:sz="4" w:space="0" w:color="auto"/>
            </w:tcBorders>
            <w:noWrap/>
            <w:vAlign w:val="center"/>
            <w:hideMark/>
          </w:tcPr>
          <w:p w14:paraId="46837885" w14:textId="77777777" w:rsidR="00BF5974" w:rsidRDefault="00BF5974">
            <w:pPr>
              <w:spacing w:line="256" w:lineRule="auto"/>
              <w:rPr>
                <w:rFonts w:cs="Arial"/>
                <w:sz w:val="20"/>
                <w:lang w:val="es-ES" w:eastAsia="en-US"/>
              </w:rPr>
            </w:pPr>
            <w:r>
              <w:rPr>
                <w:rFonts w:cs="Arial"/>
                <w:sz w:val="20"/>
                <w:lang w:val="es-ES" w:eastAsia="en-US"/>
              </w:rPr>
              <w:t>Órgano Superior de Auditoría y Fiscalización Gubernamental del Estado.</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CB360D5"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44,000,000</w:t>
            </w:r>
          </w:p>
        </w:tc>
      </w:tr>
      <w:tr w:rsidR="00BF5974" w14:paraId="58D1B431" w14:textId="77777777" w:rsidTr="00BF5974">
        <w:trPr>
          <w:trHeight w:val="20"/>
          <w:jc w:val="right"/>
        </w:trPr>
        <w:tc>
          <w:tcPr>
            <w:tcW w:w="1139" w:type="dxa"/>
            <w:tcBorders>
              <w:top w:val="single" w:sz="4" w:space="0" w:color="auto"/>
              <w:left w:val="single" w:sz="4" w:space="0" w:color="auto"/>
              <w:bottom w:val="single" w:sz="4" w:space="0" w:color="auto"/>
              <w:right w:val="single" w:sz="4" w:space="0" w:color="auto"/>
            </w:tcBorders>
            <w:vAlign w:val="center"/>
            <w:hideMark/>
          </w:tcPr>
          <w:p w14:paraId="52FA4D4C" w14:textId="77777777" w:rsidR="00BF5974" w:rsidRDefault="00BF5974">
            <w:pPr>
              <w:spacing w:line="256" w:lineRule="auto"/>
              <w:jc w:val="center"/>
              <w:rPr>
                <w:rFonts w:cs="Arial"/>
                <w:sz w:val="18"/>
                <w:szCs w:val="18"/>
                <w:highlight w:val="yellow"/>
                <w:lang w:val="es-ES" w:eastAsia="en-US"/>
              </w:rPr>
            </w:pPr>
            <w:r>
              <w:rPr>
                <w:sz w:val="18"/>
                <w:szCs w:val="18"/>
                <w:lang w:val="es-ES" w:eastAsia="en-US"/>
              </w:rPr>
              <w:t>040104006</w:t>
            </w:r>
          </w:p>
        </w:tc>
        <w:tc>
          <w:tcPr>
            <w:tcW w:w="5802" w:type="dxa"/>
            <w:tcBorders>
              <w:top w:val="single" w:sz="4" w:space="0" w:color="auto"/>
              <w:left w:val="single" w:sz="4" w:space="0" w:color="auto"/>
              <w:bottom w:val="single" w:sz="4" w:space="0" w:color="auto"/>
              <w:right w:val="single" w:sz="4" w:space="0" w:color="auto"/>
            </w:tcBorders>
            <w:vAlign w:val="center"/>
            <w:hideMark/>
          </w:tcPr>
          <w:p w14:paraId="67742E34" w14:textId="77777777" w:rsidR="00BF5974" w:rsidRDefault="00BF5974">
            <w:pPr>
              <w:spacing w:line="256" w:lineRule="auto"/>
              <w:rPr>
                <w:rFonts w:cs="Arial"/>
                <w:sz w:val="20"/>
                <w:lang w:val="es-ES" w:eastAsia="en-US"/>
              </w:rPr>
            </w:pPr>
            <w:r>
              <w:rPr>
                <w:rFonts w:cs="Arial"/>
                <w:sz w:val="20"/>
                <w:lang w:val="es-ES" w:eastAsia="en-US"/>
              </w:rPr>
              <w:t>Tribunal Electoral del Estado.</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F1D79AC"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27,250,538</w:t>
            </w:r>
          </w:p>
        </w:tc>
      </w:tr>
      <w:tr w:rsidR="00BF5974" w14:paraId="4090486E" w14:textId="77777777" w:rsidTr="00BF5974">
        <w:trPr>
          <w:trHeight w:val="20"/>
          <w:jc w:val="right"/>
        </w:trPr>
        <w:tc>
          <w:tcPr>
            <w:tcW w:w="1139" w:type="dxa"/>
            <w:tcBorders>
              <w:top w:val="single" w:sz="4" w:space="0" w:color="auto"/>
              <w:left w:val="single" w:sz="4" w:space="0" w:color="auto"/>
              <w:bottom w:val="single" w:sz="4" w:space="0" w:color="auto"/>
              <w:right w:val="single" w:sz="4" w:space="0" w:color="auto"/>
            </w:tcBorders>
            <w:vAlign w:val="center"/>
            <w:hideMark/>
          </w:tcPr>
          <w:p w14:paraId="7FFAAD9D" w14:textId="77777777" w:rsidR="00BF5974" w:rsidRDefault="00BF5974">
            <w:pPr>
              <w:spacing w:line="256" w:lineRule="auto"/>
              <w:jc w:val="center"/>
              <w:rPr>
                <w:rFonts w:cs="Arial"/>
                <w:sz w:val="18"/>
                <w:szCs w:val="18"/>
                <w:lang w:val="es-ES" w:eastAsia="en-US"/>
              </w:rPr>
            </w:pPr>
            <w:r>
              <w:rPr>
                <w:sz w:val="18"/>
                <w:szCs w:val="18"/>
                <w:lang w:val="es-ES" w:eastAsia="en-US"/>
              </w:rPr>
              <w:t>040104007</w:t>
            </w:r>
          </w:p>
        </w:tc>
        <w:tc>
          <w:tcPr>
            <w:tcW w:w="5802" w:type="dxa"/>
            <w:tcBorders>
              <w:top w:val="single" w:sz="4" w:space="0" w:color="auto"/>
              <w:left w:val="single" w:sz="4" w:space="0" w:color="auto"/>
              <w:bottom w:val="single" w:sz="4" w:space="0" w:color="auto"/>
              <w:right w:val="single" w:sz="4" w:space="0" w:color="auto"/>
            </w:tcBorders>
            <w:vAlign w:val="center"/>
            <w:hideMark/>
          </w:tcPr>
          <w:p w14:paraId="4EE35CDD" w14:textId="77777777" w:rsidR="00BF5974" w:rsidRDefault="00BF5974">
            <w:pPr>
              <w:spacing w:line="256" w:lineRule="auto"/>
              <w:rPr>
                <w:rFonts w:cs="Arial"/>
                <w:sz w:val="20"/>
                <w:lang w:val="es-ES" w:eastAsia="en-US"/>
              </w:rPr>
            </w:pPr>
            <w:r>
              <w:rPr>
                <w:rFonts w:cs="Arial"/>
                <w:sz w:val="20"/>
                <w:lang w:val="es-ES" w:eastAsia="en-US"/>
              </w:rPr>
              <w:t>Tribunal de Arbitraje y Escalafón.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36E7BCE"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8,652,800</w:t>
            </w:r>
          </w:p>
        </w:tc>
      </w:tr>
      <w:tr w:rsidR="00BF5974" w14:paraId="2810BD11" w14:textId="77777777" w:rsidTr="00BF5974">
        <w:trPr>
          <w:trHeight w:val="20"/>
          <w:jc w:val="right"/>
        </w:trPr>
        <w:tc>
          <w:tcPr>
            <w:tcW w:w="1139" w:type="dxa"/>
            <w:tcBorders>
              <w:top w:val="single" w:sz="4" w:space="0" w:color="auto"/>
              <w:left w:val="single" w:sz="4" w:space="0" w:color="auto"/>
              <w:bottom w:val="single" w:sz="4" w:space="0" w:color="auto"/>
              <w:right w:val="single" w:sz="4" w:space="0" w:color="auto"/>
            </w:tcBorders>
            <w:vAlign w:val="center"/>
            <w:hideMark/>
          </w:tcPr>
          <w:p w14:paraId="7A377F72" w14:textId="77777777" w:rsidR="00BF5974" w:rsidRDefault="00BF5974">
            <w:pPr>
              <w:spacing w:line="256" w:lineRule="auto"/>
              <w:jc w:val="center"/>
              <w:rPr>
                <w:rFonts w:cs="Arial"/>
                <w:sz w:val="18"/>
                <w:szCs w:val="18"/>
                <w:lang w:val="es-ES" w:eastAsia="en-US"/>
              </w:rPr>
            </w:pPr>
            <w:r>
              <w:rPr>
                <w:sz w:val="18"/>
                <w:szCs w:val="18"/>
                <w:lang w:val="es-ES" w:eastAsia="en-US"/>
              </w:rPr>
              <w:t>040104008</w:t>
            </w:r>
          </w:p>
        </w:tc>
        <w:tc>
          <w:tcPr>
            <w:tcW w:w="5802" w:type="dxa"/>
            <w:tcBorders>
              <w:top w:val="single" w:sz="4" w:space="0" w:color="auto"/>
              <w:left w:val="single" w:sz="4" w:space="0" w:color="auto"/>
              <w:bottom w:val="single" w:sz="4" w:space="0" w:color="auto"/>
              <w:right w:val="single" w:sz="4" w:space="0" w:color="auto"/>
            </w:tcBorders>
            <w:vAlign w:val="center"/>
            <w:hideMark/>
          </w:tcPr>
          <w:p w14:paraId="3E21304D" w14:textId="77777777" w:rsidR="00BF5974" w:rsidRDefault="00BF5974">
            <w:pPr>
              <w:spacing w:line="256" w:lineRule="auto"/>
              <w:rPr>
                <w:rFonts w:cs="Arial"/>
                <w:sz w:val="20"/>
                <w:lang w:val="es-ES" w:eastAsia="en-US"/>
              </w:rPr>
            </w:pPr>
            <w:r>
              <w:rPr>
                <w:rFonts w:cs="Arial"/>
                <w:sz w:val="20"/>
                <w:lang w:val="es-ES" w:eastAsia="en-US"/>
              </w:rPr>
              <w:t>Tribunal de Justicia Administrativa del Estado de Colima.</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A46C56E"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27,237,219</w:t>
            </w:r>
          </w:p>
        </w:tc>
      </w:tr>
      <w:tr w:rsidR="00BF5974" w14:paraId="2F289E88" w14:textId="77777777" w:rsidTr="00BF5974">
        <w:trPr>
          <w:trHeight w:val="20"/>
          <w:jc w:val="right"/>
        </w:trPr>
        <w:tc>
          <w:tcPr>
            <w:tcW w:w="1139" w:type="dxa"/>
            <w:tcBorders>
              <w:top w:val="single" w:sz="4" w:space="0" w:color="auto"/>
              <w:left w:val="single" w:sz="4" w:space="0" w:color="auto"/>
              <w:bottom w:val="single" w:sz="4" w:space="0" w:color="auto"/>
              <w:right w:val="single" w:sz="4" w:space="0" w:color="auto"/>
            </w:tcBorders>
            <w:noWrap/>
            <w:vAlign w:val="center"/>
          </w:tcPr>
          <w:p w14:paraId="2532002E" w14:textId="77777777" w:rsidR="00BF5974" w:rsidRDefault="00BF5974">
            <w:pPr>
              <w:spacing w:line="256" w:lineRule="auto"/>
              <w:jc w:val="center"/>
              <w:rPr>
                <w:rFonts w:cs="Arial"/>
                <w:b/>
                <w:bCs/>
                <w:sz w:val="16"/>
                <w:szCs w:val="16"/>
                <w:lang w:val="es-ES" w:eastAsia="en-US"/>
              </w:rPr>
            </w:pPr>
          </w:p>
        </w:tc>
        <w:tc>
          <w:tcPr>
            <w:tcW w:w="5802" w:type="dxa"/>
            <w:tcBorders>
              <w:top w:val="single" w:sz="4" w:space="0" w:color="auto"/>
              <w:left w:val="single" w:sz="4" w:space="0" w:color="auto"/>
              <w:bottom w:val="single" w:sz="4" w:space="0" w:color="auto"/>
              <w:right w:val="single" w:sz="4" w:space="0" w:color="auto"/>
            </w:tcBorders>
            <w:vAlign w:val="center"/>
            <w:hideMark/>
          </w:tcPr>
          <w:p w14:paraId="0A3DB7BC" w14:textId="77777777" w:rsidR="00BF5974" w:rsidRDefault="00BF5974">
            <w:pPr>
              <w:spacing w:line="256" w:lineRule="auto"/>
              <w:jc w:val="center"/>
              <w:rPr>
                <w:rFonts w:cs="Arial"/>
                <w:b/>
                <w:bCs/>
                <w:sz w:val="20"/>
                <w:lang w:val="es-ES" w:eastAsia="en-US"/>
              </w:rPr>
            </w:pPr>
            <w:r>
              <w:rPr>
                <w:rFonts w:cs="Arial"/>
                <w:b/>
                <w:bCs/>
                <w:sz w:val="20"/>
                <w:lang w:val="es-ES" w:eastAsia="en-US"/>
              </w:rPr>
              <w:t>Total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BE64A9" w14:textId="77777777" w:rsidR="00BF5974" w:rsidRDefault="00BF5974">
            <w:pPr>
              <w:spacing w:line="256" w:lineRule="auto"/>
              <w:jc w:val="right"/>
              <w:rPr>
                <w:rFonts w:cs="Arial"/>
                <w:b/>
                <w:bCs/>
                <w:sz w:val="20"/>
                <w:szCs w:val="20"/>
                <w:lang w:val="es-ES" w:eastAsia="en-US"/>
              </w:rPr>
            </w:pPr>
            <w:r>
              <w:rPr>
                <w:rFonts w:cs="Arial"/>
                <w:b/>
                <w:bCs/>
                <w:color w:val="000000"/>
                <w:sz w:val="20"/>
                <w:szCs w:val="20"/>
                <w:lang w:val="es-ES" w:eastAsia="en-US"/>
              </w:rPr>
              <w:t>752,776,480</w:t>
            </w:r>
          </w:p>
        </w:tc>
      </w:tr>
    </w:tbl>
    <w:p w14:paraId="44569A0D" w14:textId="7E0AC844" w:rsidR="00BF5974" w:rsidRDefault="00BF5974" w:rsidP="00BF5974">
      <w:pPr>
        <w:jc w:val="left"/>
        <w:rPr>
          <w:rFonts w:eastAsia="Calibri" w:cs="Arial"/>
          <w:lang w:val="es-ES" w:eastAsia="en-US"/>
        </w:rPr>
      </w:pPr>
    </w:p>
    <w:p w14:paraId="7EB1E318" w14:textId="77777777" w:rsidR="00105286" w:rsidRDefault="00105286" w:rsidP="00BF5974">
      <w:pPr>
        <w:jc w:val="left"/>
        <w:rPr>
          <w:rFonts w:eastAsia="Calibri" w:cs="Arial"/>
          <w:lang w:val="es-ES" w:eastAsia="en-US"/>
        </w:rPr>
      </w:pPr>
    </w:p>
    <w:p w14:paraId="4960CBF9" w14:textId="77777777" w:rsidR="00BF5974" w:rsidRDefault="00BF5974" w:rsidP="00BF5974">
      <w:pPr>
        <w:ind w:left="567" w:hanging="567"/>
        <w:contextualSpacing/>
        <w:rPr>
          <w:rFonts w:eastAsia="Times New Roman" w:cs="Arial"/>
        </w:rPr>
      </w:pPr>
      <w:r>
        <w:rPr>
          <w:rFonts w:eastAsia="Times New Roman" w:cs="Arial"/>
        </w:rPr>
        <w:t xml:space="preserve">I. </w:t>
      </w:r>
      <w:r>
        <w:rPr>
          <w:rFonts w:eastAsia="Times New Roman" w:cs="Arial"/>
        </w:rPr>
        <w:tab/>
      </w:r>
      <w:r>
        <w:rPr>
          <w:rFonts w:cs="Arial"/>
          <w:lang w:val="es-ES"/>
        </w:rPr>
        <w:t xml:space="preserve">La asignación presupuestaria para el Ejercicio Fiscal 2025 destinada </w:t>
      </w:r>
      <w:r>
        <w:rPr>
          <w:rFonts w:eastAsia="Times New Roman" w:cs="Arial"/>
        </w:rPr>
        <w:t xml:space="preserve">a la </w:t>
      </w:r>
      <w:r>
        <w:rPr>
          <w:rFonts w:eastAsia="Times New Roman" w:cs="Arial"/>
          <w:b/>
        </w:rPr>
        <w:t>Comisión de Derechos Humanos del Estado de Colima</w:t>
      </w:r>
      <w:r>
        <w:rPr>
          <w:rFonts w:eastAsia="Times New Roman" w:cs="Arial"/>
        </w:rPr>
        <w:t>; tendrá la siguiente distribución a nivel de Capítulo de gasto:</w:t>
      </w:r>
    </w:p>
    <w:p w14:paraId="217DF4D6" w14:textId="77777777" w:rsidR="00BF5974" w:rsidRDefault="00BF5974" w:rsidP="00BF5974">
      <w:pPr>
        <w:keepNext/>
        <w:keepLines/>
        <w:outlineLvl w:val="2"/>
        <w:rPr>
          <w:rFonts w:eastAsia="Calibri" w:cs="Arial"/>
          <w:b/>
          <w:szCs w:val="24"/>
          <w:lang w:val="es-ES" w:eastAsia="en-US"/>
        </w:rPr>
      </w:pPr>
    </w:p>
    <w:p w14:paraId="7826865D" w14:textId="77777777" w:rsidR="00BF5974" w:rsidRDefault="00BF5974" w:rsidP="00BF5974">
      <w:pPr>
        <w:jc w:val="center"/>
        <w:rPr>
          <w:rFonts w:eastAsia="Times New Roman" w:cs="Arial"/>
          <w:b/>
          <w:sz w:val="20"/>
          <w:lang w:val="es-ES"/>
        </w:rPr>
      </w:pPr>
      <w:bookmarkStart w:id="53" w:name="_Toc522869236"/>
      <w:bookmarkStart w:id="54" w:name="_Toc526757447"/>
      <w:bookmarkStart w:id="55" w:name="_Toc22021885"/>
      <w:bookmarkStart w:id="56" w:name="_Toc22983158"/>
      <w:r>
        <w:rPr>
          <w:rFonts w:eastAsia="Times New Roman" w:cs="Arial"/>
          <w:b/>
          <w:sz w:val="20"/>
          <w:lang w:val="es-ES"/>
        </w:rPr>
        <w:t>Tabla 9. Comisión de Derechos Humanos del Estado de Colima</w:t>
      </w:r>
      <w:r>
        <w:rPr>
          <w:rFonts w:eastAsia="Times New Roman" w:cs="Arial"/>
          <w:b/>
          <w:sz w:val="20"/>
          <w:lang w:val="es-ES"/>
        </w:rPr>
        <w:br/>
        <w:t>(Objeto del Gasto)</w:t>
      </w:r>
      <w:bookmarkEnd w:id="53"/>
      <w:bookmarkEnd w:id="54"/>
      <w:bookmarkEnd w:id="55"/>
      <w:bookmarkEnd w:id="56"/>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5386"/>
        <w:gridCol w:w="1648"/>
      </w:tblGrid>
      <w:tr w:rsidR="00BF5974" w14:paraId="2FB649B8" w14:textId="77777777" w:rsidTr="00BF5974">
        <w:trPr>
          <w:trHeight w:val="20"/>
          <w:jc w:val="right"/>
        </w:trPr>
        <w:tc>
          <w:tcPr>
            <w:tcW w:w="1016" w:type="dxa"/>
            <w:tcBorders>
              <w:top w:val="single" w:sz="4" w:space="0" w:color="auto"/>
              <w:left w:val="single" w:sz="4" w:space="0" w:color="auto"/>
              <w:bottom w:val="single" w:sz="4" w:space="0" w:color="auto"/>
              <w:right w:val="single" w:sz="4" w:space="0" w:color="auto"/>
            </w:tcBorders>
            <w:vAlign w:val="center"/>
            <w:hideMark/>
          </w:tcPr>
          <w:p w14:paraId="78FD88B4" w14:textId="77777777" w:rsidR="00BF5974" w:rsidRDefault="00BF5974">
            <w:pPr>
              <w:spacing w:line="256" w:lineRule="auto"/>
              <w:jc w:val="center"/>
              <w:rPr>
                <w:rFonts w:cs="Arial"/>
                <w:b/>
                <w:bCs/>
                <w:sz w:val="20"/>
                <w:lang w:val="es-ES" w:eastAsia="en-US"/>
              </w:rPr>
            </w:pPr>
            <w:bookmarkStart w:id="57" w:name="_MON_1381432731"/>
            <w:bookmarkStart w:id="58" w:name="_MON_1381432789"/>
            <w:bookmarkStart w:id="59" w:name="_MON_1381432804"/>
            <w:bookmarkEnd w:id="57"/>
            <w:bookmarkEnd w:id="58"/>
            <w:bookmarkEnd w:id="59"/>
            <w:r>
              <w:rPr>
                <w:rFonts w:cs="Arial"/>
                <w:b/>
                <w:bCs/>
                <w:sz w:val="20"/>
                <w:lang w:val="es-ES" w:eastAsia="en-US"/>
              </w:rPr>
              <w:t>Capítulo</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1726963" w14:textId="77777777" w:rsidR="00BF5974" w:rsidRDefault="00BF5974">
            <w:pPr>
              <w:spacing w:line="256" w:lineRule="auto"/>
              <w:jc w:val="center"/>
              <w:rPr>
                <w:rFonts w:cs="Arial"/>
                <w:b/>
                <w:bCs/>
                <w:sz w:val="20"/>
                <w:lang w:val="es-ES" w:eastAsia="en-US"/>
              </w:rPr>
            </w:pPr>
            <w:r>
              <w:rPr>
                <w:rFonts w:cs="Arial"/>
                <w:b/>
                <w:bCs/>
                <w:sz w:val="20"/>
                <w:lang w:val="es-ES" w:eastAsia="en-US"/>
              </w:rPr>
              <w:t>Concepto</w:t>
            </w:r>
          </w:p>
        </w:tc>
        <w:tc>
          <w:tcPr>
            <w:tcW w:w="1648" w:type="dxa"/>
            <w:tcBorders>
              <w:top w:val="single" w:sz="4" w:space="0" w:color="auto"/>
              <w:left w:val="single" w:sz="4" w:space="0" w:color="auto"/>
              <w:bottom w:val="single" w:sz="4" w:space="0" w:color="auto"/>
              <w:right w:val="single" w:sz="4" w:space="0" w:color="auto"/>
            </w:tcBorders>
            <w:vAlign w:val="center"/>
            <w:hideMark/>
          </w:tcPr>
          <w:p w14:paraId="0D41C885" w14:textId="77777777" w:rsidR="00BF5974" w:rsidRDefault="00BF5974">
            <w:pPr>
              <w:spacing w:line="256" w:lineRule="auto"/>
              <w:jc w:val="center"/>
              <w:rPr>
                <w:rFonts w:cs="Arial"/>
                <w:b/>
                <w:bCs/>
                <w:sz w:val="20"/>
                <w:lang w:val="es-ES" w:eastAsia="en-US"/>
              </w:rPr>
            </w:pPr>
            <w:r>
              <w:rPr>
                <w:rFonts w:cs="Arial"/>
                <w:b/>
                <w:bCs/>
                <w:sz w:val="20"/>
                <w:lang w:val="es-ES" w:eastAsia="en-US"/>
              </w:rPr>
              <w:t>Asignación Presupuestal</w:t>
            </w:r>
          </w:p>
        </w:tc>
      </w:tr>
      <w:tr w:rsidR="00BF5974" w14:paraId="0C166323" w14:textId="77777777" w:rsidTr="00BF5974">
        <w:trPr>
          <w:trHeight w:val="20"/>
          <w:jc w:val="right"/>
        </w:trPr>
        <w:tc>
          <w:tcPr>
            <w:tcW w:w="1016" w:type="dxa"/>
            <w:tcBorders>
              <w:top w:val="single" w:sz="4" w:space="0" w:color="auto"/>
              <w:left w:val="single" w:sz="4" w:space="0" w:color="auto"/>
              <w:bottom w:val="single" w:sz="4" w:space="0" w:color="auto"/>
              <w:right w:val="single" w:sz="4" w:space="0" w:color="auto"/>
            </w:tcBorders>
            <w:hideMark/>
          </w:tcPr>
          <w:p w14:paraId="7F36E28B" w14:textId="77777777" w:rsidR="00BF5974" w:rsidRDefault="00BF5974">
            <w:pPr>
              <w:spacing w:line="256" w:lineRule="auto"/>
              <w:jc w:val="center"/>
              <w:rPr>
                <w:rFonts w:cs="Arial"/>
                <w:sz w:val="20"/>
                <w:lang w:val="es-ES" w:eastAsia="en-US"/>
              </w:rPr>
            </w:pPr>
            <w:r>
              <w:rPr>
                <w:sz w:val="20"/>
                <w:szCs w:val="20"/>
                <w:lang w:val="es-ES" w:eastAsia="en-US"/>
              </w:rPr>
              <w:t>010000</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79DF25E" w14:textId="77777777" w:rsidR="00BF5974" w:rsidRDefault="00BF5974">
            <w:pPr>
              <w:spacing w:line="256" w:lineRule="auto"/>
              <w:rPr>
                <w:rFonts w:cs="Arial"/>
                <w:sz w:val="20"/>
                <w:lang w:val="es-ES" w:eastAsia="en-US"/>
              </w:rPr>
            </w:pPr>
            <w:r>
              <w:rPr>
                <w:rFonts w:cs="Arial"/>
                <w:sz w:val="20"/>
                <w:lang w:val="es-ES" w:eastAsia="en-US"/>
              </w:rPr>
              <w:t>Servicios Personales.</w:t>
            </w:r>
          </w:p>
        </w:tc>
        <w:tc>
          <w:tcPr>
            <w:tcW w:w="1648" w:type="dxa"/>
            <w:tcBorders>
              <w:top w:val="single" w:sz="4" w:space="0" w:color="auto"/>
              <w:left w:val="single" w:sz="4" w:space="0" w:color="auto"/>
              <w:bottom w:val="single" w:sz="4" w:space="0" w:color="auto"/>
              <w:right w:val="single" w:sz="4" w:space="0" w:color="auto"/>
            </w:tcBorders>
            <w:noWrap/>
            <w:hideMark/>
          </w:tcPr>
          <w:p w14:paraId="0167F45E" w14:textId="77777777" w:rsidR="00BF5974" w:rsidRDefault="00BF5974">
            <w:pPr>
              <w:spacing w:line="256" w:lineRule="auto"/>
              <w:jc w:val="right"/>
              <w:rPr>
                <w:rFonts w:cs="Arial"/>
                <w:sz w:val="20"/>
                <w:szCs w:val="20"/>
                <w:lang w:val="es-ES" w:eastAsia="en-US"/>
              </w:rPr>
            </w:pPr>
            <w:r>
              <w:rPr>
                <w:sz w:val="20"/>
                <w:szCs w:val="20"/>
                <w:lang w:val="es-ES" w:eastAsia="en-US"/>
              </w:rPr>
              <w:t xml:space="preserve"> 10,214,915 </w:t>
            </w:r>
          </w:p>
        </w:tc>
      </w:tr>
      <w:tr w:rsidR="00BF5974" w14:paraId="080354D2" w14:textId="77777777" w:rsidTr="00BF5974">
        <w:trPr>
          <w:trHeight w:val="20"/>
          <w:jc w:val="right"/>
        </w:trPr>
        <w:tc>
          <w:tcPr>
            <w:tcW w:w="1016" w:type="dxa"/>
            <w:tcBorders>
              <w:top w:val="single" w:sz="4" w:space="0" w:color="auto"/>
              <w:left w:val="single" w:sz="4" w:space="0" w:color="auto"/>
              <w:bottom w:val="single" w:sz="4" w:space="0" w:color="auto"/>
              <w:right w:val="single" w:sz="4" w:space="0" w:color="auto"/>
            </w:tcBorders>
            <w:hideMark/>
          </w:tcPr>
          <w:p w14:paraId="51E5F6E7" w14:textId="77777777" w:rsidR="00BF5974" w:rsidRDefault="00BF5974">
            <w:pPr>
              <w:spacing w:line="256" w:lineRule="auto"/>
              <w:jc w:val="center"/>
              <w:rPr>
                <w:rFonts w:cs="Arial"/>
                <w:sz w:val="20"/>
                <w:lang w:val="es-ES" w:eastAsia="en-US"/>
              </w:rPr>
            </w:pPr>
            <w:r>
              <w:rPr>
                <w:sz w:val="20"/>
                <w:szCs w:val="20"/>
                <w:lang w:val="es-ES" w:eastAsia="en-US"/>
              </w:rPr>
              <w:t>020000</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E3DE24E" w14:textId="77777777" w:rsidR="00BF5974" w:rsidRDefault="00BF5974">
            <w:pPr>
              <w:spacing w:line="256" w:lineRule="auto"/>
              <w:rPr>
                <w:rFonts w:cs="Arial"/>
                <w:sz w:val="20"/>
                <w:lang w:val="es-ES" w:eastAsia="en-US"/>
              </w:rPr>
            </w:pPr>
            <w:r>
              <w:rPr>
                <w:rFonts w:cs="Arial"/>
                <w:sz w:val="20"/>
                <w:lang w:val="es-ES" w:eastAsia="en-US"/>
              </w:rPr>
              <w:t>Materiales y Suministros.</w:t>
            </w:r>
          </w:p>
        </w:tc>
        <w:tc>
          <w:tcPr>
            <w:tcW w:w="1648" w:type="dxa"/>
            <w:tcBorders>
              <w:top w:val="single" w:sz="4" w:space="0" w:color="auto"/>
              <w:left w:val="single" w:sz="4" w:space="0" w:color="auto"/>
              <w:bottom w:val="single" w:sz="4" w:space="0" w:color="auto"/>
              <w:right w:val="single" w:sz="4" w:space="0" w:color="auto"/>
            </w:tcBorders>
            <w:noWrap/>
            <w:hideMark/>
          </w:tcPr>
          <w:p w14:paraId="271FBF87" w14:textId="77777777" w:rsidR="00BF5974" w:rsidRDefault="00BF5974">
            <w:pPr>
              <w:spacing w:line="256" w:lineRule="auto"/>
              <w:jc w:val="right"/>
              <w:rPr>
                <w:rFonts w:cs="Arial"/>
                <w:sz w:val="20"/>
                <w:szCs w:val="20"/>
                <w:lang w:val="es-ES" w:eastAsia="en-US"/>
              </w:rPr>
            </w:pPr>
            <w:r>
              <w:rPr>
                <w:sz w:val="20"/>
                <w:szCs w:val="20"/>
                <w:lang w:val="es-ES" w:eastAsia="en-US"/>
              </w:rPr>
              <w:t xml:space="preserve"> 629,770 </w:t>
            </w:r>
          </w:p>
        </w:tc>
      </w:tr>
      <w:tr w:rsidR="00BF5974" w14:paraId="0F9B7A99" w14:textId="77777777" w:rsidTr="00BF5974">
        <w:trPr>
          <w:trHeight w:val="20"/>
          <w:jc w:val="right"/>
        </w:trPr>
        <w:tc>
          <w:tcPr>
            <w:tcW w:w="1016" w:type="dxa"/>
            <w:tcBorders>
              <w:top w:val="single" w:sz="4" w:space="0" w:color="auto"/>
              <w:left w:val="single" w:sz="4" w:space="0" w:color="auto"/>
              <w:bottom w:val="single" w:sz="4" w:space="0" w:color="auto"/>
              <w:right w:val="single" w:sz="4" w:space="0" w:color="auto"/>
            </w:tcBorders>
            <w:hideMark/>
          </w:tcPr>
          <w:p w14:paraId="02D9A74D" w14:textId="77777777" w:rsidR="00BF5974" w:rsidRDefault="00BF5974">
            <w:pPr>
              <w:spacing w:line="256" w:lineRule="auto"/>
              <w:jc w:val="center"/>
              <w:rPr>
                <w:rFonts w:cs="Arial"/>
                <w:sz w:val="20"/>
                <w:lang w:val="es-ES" w:eastAsia="en-US"/>
              </w:rPr>
            </w:pPr>
            <w:r>
              <w:rPr>
                <w:sz w:val="20"/>
                <w:szCs w:val="20"/>
                <w:lang w:val="es-ES" w:eastAsia="en-US"/>
              </w:rPr>
              <w:t>030000</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2F3F27C" w14:textId="77777777" w:rsidR="00BF5974" w:rsidRDefault="00BF5974">
            <w:pPr>
              <w:spacing w:line="256" w:lineRule="auto"/>
              <w:rPr>
                <w:rFonts w:cs="Arial"/>
                <w:sz w:val="20"/>
                <w:lang w:val="es-ES" w:eastAsia="en-US"/>
              </w:rPr>
            </w:pPr>
            <w:r>
              <w:rPr>
                <w:rFonts w:cs="Arial"/>
                <w:sz w:val="20"/>
                <w:lang w:val="es-ES" w:eastAsia="en-US"/>
              </w:rPr>
              <w:t>Servicios Generales.</w:t>
            </w:r>
          </w:p>
        </w:tc>
        <w:tc>
          <w:tcPr>
            <w:tcW w:w="1648" w:type="dxa"/>
            <w:tcBorders>
              <w:top w:val="single" w:sz="4" w:space="0" w:color="auto"/>
              <w:left w:val="single" w:sz="4" w:space="0" w:color="auto"/>
              <w:bottom w:val="single" w:sz="4" w:space="0" w:color="auto"/>
              <w:right w:val="single" w:sz="4" w:space="0" w:color="auto"/>
            </w:tcBorders>
            <w:noWrap/>
            <w:hideMark/>
          </w:tcPr>
          <w:p w14:paraId="13AA8420" w14:textId="77777777" w:rsidR="00BF5974" w:rsidRDefault="00BF5974">
            <w:pPr>
              <w:spacing w:line="256" w:lineRule="auto"/>
              <w:jc w:val="right"/>
              <w:rPr>
                <w:rFonts w:cs="Arial"/>
                <w:sz w:val="20"/>
                <w:szCs w:val="20"/>
                <w:lang w:val="es-ES" w:eastAsia="en-US"/>
              </w:rPr>
            </w:pPr>
            <w:r>
              <w:rPr>
                <w:sz w:val="20"/>
                <w:szCs w:val="20"/>
                <w:lang w:val="es-ES" w:eastAsia="en-US"/>
              </w:rPr>
              <w:t xml:space="preserve"> 1,964,000 </w:t>
            </w:r>
          </w:p>
        </w:tc>
      </w:tr>
      <w:tr w:rsidR="00BF5974" w14:paraId="60A0DDD3" w14:textId="77777777" w:rsidTr="00BF5974">
        <w:trPr>
          <w:trHeight w:val="20"/>
          <w:jc w:val="right"/>
        </w:trPr>
        <w:tc>
          <w:tcPr>
            <w:tcW w:w="1016" w:type="dxa"/>
            <w:tcBorders>
              <w:top w:val="single" w:sz="4" w:space="0" w:color="auto"/>
              <w:left w:val="single" w:sz="4" w:space="0" w:color="auto"/>
              <w:bottom w:val="single" w:sz="4" w:space="0" w:color="auto"/>
              <w:right w:val="single" w:sz="4" w:space="0" w:color="auto"/>
            </w:tcBorders>
            <w:hideMark/>
          </w:tcPr>
          <w:p w14:paraId="5ABAF12F" w14:textId="77777777" w:rsidR="00BF5974" w:rsidRDefault="00BF5974">
            <w:pPr>
              <w:spacing w:line="256" w:lineRule="auto"/>
              <w:jc w:val="center"/>
              <w:rPr>
                <w:rFonts w:cs="Arial"/>
                <w:sz w:val="20"/>
                <w:lang w:val="es-ES" w:eastAsia="en-US"/>
              </w:rPr>
            </w:pPr>
            <w:r>
              <w:rPr>
                <w:sz w:val="20"/>
                <w:szCs w:val="20"/>
                <w:lang w:val="es-ES" w:eastAsia="en-US"/>
              </w:rPr>
              <w:t>040000</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0C37B5A" w14:textId="77777777" w:rsidR="00BF5974" w:rsidRDefault="00BF5974">
            <w:pPr>
              <w:spacing w:line="256" w:lineRule="auto"/>
              <w:rPr>
                <w:rFonts w:cs="Arial"/>
                <w:sz w:val="20"/>
                <w:lang w:val="es-ES" w:eastAsia="en-US"/>
              </w:rPr>
            </w:pPr>
            <w:r>
              <w:rPr>
                <w:rFonts w:cs="Arial"/>
                <w:sz w:val="20"/>
                <w:lang w:val="es-ES" w:eastAsia="en-US"/>
              </w:rPr>
              <w:t>Transferencias, Asignaciones, Subsidios y Otras Ayudas.</w:t>
            </w:r>
          </w:p>
        </w:tc>
        <w:tc>
          <w:tcPr>
            <w:tcW w:w="1648" w:type="dxa"/>
            <w:tcBorders>
              <w:top w:val="single" w:sz="4" w:space="0" w:color="auto"/>
              <w:left w:val="single" w:sz="4" w:space="0" w:color="auto"/>
              <w:bottom w:val="single" w:sz="4" w:space="0" w:color="auto"/>
              <w:right w:val="single" w:sz="4" w:space="0" w:color="auto"/>
            </w:tcBorders>
            <w:noWrap/>
            <w:hideMark/>
          </w:tcPr>
          <w:p w14:paraId="76601F62" w14:textId="77777777" w:rsidR="00BF5974" w:rsidRDefault="00BF5974">
            <w:pPr>
              <w:spacing w:line="256" w:lineRule="auto"/>
              <w:jc w:val="right"/>
              <w:rPr>
                <w:rFonts w:cs="Arial"/>
                <w:sz w:val="20"/>
                <w:szCs w:val="20"/>
                <w:lang w:val="es-ES" w:eastAsia="en-US"/>
              </w:rPr>
            </w:pPr>
            <w:r>
              <w:rPr>
                <w:sz w:val="20"/>
                <w:szCs w:val="20"/>
                <w:lang w:val="es-ES" w:eastAsia="en-US"/>
              </w:rPr>
              <w:t xml:space="preserve"> 1,725,331 </w:t>
            </w:r>
          </w:p>
        </w:tc>
      </w:tr>
      <w:tr w:rsidR="00BF5974" w14:paraId="198C2BC4" w14:textId="77777777" w:rsidTr="00BF5974">
        <w:trPr>
          <w:trHeight w:val="20"/>
          <w:jc w:val="right"/>
        </w:trPr>
        <w:tc>
          <w:tcPr>
            <w:tcW w:w="1016" w:type="dxa"/>
            <w:tcBorders>
              <w:top w:val="single" w:sz="4" w:space="0" w:color="auto"/>
              <w:left w:val="single" w:sz="4" w:space="0" w:color="auto"/>
              <w:bottom w:val="single" w:sz="4" w:space="0" w:color="auto"/>
              <w:right w:val="single" w:sz="4" w:space="0" w:color="auto"/>
            </w:tcBorders>
            <w:hideMark/>
          </w:tcPr>
          <w:p w14:paraId="166ABECC" w14:textId="77777777" w:rsidR="00BF5974" w:rsidRDefault="00BF5974">
            <w:pPr>
              <w:spacing w:line="256" w:lineRule="auto"/>
              <w:jc w:val="center"/>
              <w:rPr>
                <w:rFonts w:cs="Arial"/>
                <w:sz w:val="20"/>
                <w:lang w:val="es-ES" w:eastAsia="en-US"/>
              </w:rPr>
            </w:pPr>
            <w:r>
              <w:rPr>
                <w:sz w:val="20"/>
                <w:szCs w:val="20"/>
                <w:lang w:val="es-ES" w:eastAsia="en-US"/>
              </w:rPr>
              <w:t>050000</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826551B" w14:textId="77777777" w:rsidR="00BF5974" w:rsidRDefault="00BF5974">
            <w:pPr>
              <w:spacing w:line="256" w:lineRule="auto"/>
              <w:rPr>
                <w:rFonts w:cs="Arial"/>
                <w:sz w:val="20"/>
                <w:lang w:val="es-ES" w:eastAsia="en-US"/>
              </w:rPr>
            </w:pPr>
            <w:r>
              <w:rPr>
                <w:rFonts w:cs="Arial"/>
                <w:sz w:val="20"/>
                <w:lang w:val="es-ES" w:eastAsia="en-US"/>
              </w:rPr>
              <w:t>Bienes Muebles, Inmuebles e Intangibles.</w:t>
            </w:r>
          </w:p>
        </w:tc>
        <w:tc>
          <w:tcPr>
            <w:tcW w:w="1648" w:type="dxa"/>
            <w:tcBorders>
              <w:top w:val="single" w:sz="4" w:space="0" w:color="auto"/>
              <w:left w:val="single" w:sz="4" w:space="0" w:color="auto"/>
              <w:bottom w:val="single" w:sz="4" w:space="0" w:color="auto"/>
              <w:right w:val="single" w:sz="4" w:space="0" w:color="auto"/>
            </w:tcBorders>
            <w:noWrap/>
            <w:hideMark/>
          </w:tcPr>
          <w:p w14:paraId="119B9ABE" w14:textId="77777777" w:rsidR="00BF5974" w:rsidRDefault="00BF5974">
            <w:pPr>
              <w:spacing w:line="256" w:lineRule="auto"/>
              <w:jc w:val="right"/>
              <w:rPr>
                <w:rFonts w:cs="Arial"/>
                <w:sz w:val="20"/>
                <w:szCs w:val="20"/>
                <w:lang w:val="es-ES" w:eastAsia="en-US"/>
              </w:rPr>
            </w:pPr>
            <w:r>
              <w:rPr>
                <w:sz w:val="20"/>
                <w:szCs w:val="20"/>
                <w:lang w:val="es-ES" w:eastAsia="en-US"/>
              </w:rPr>
              <w:t xml:space="preserve"> 488,991 </w:t>
            </w:r>
          </w:p>
        </w:tc>
      </w:tr>
      <w:tr w:rsidR="00BF5974" w14:paraId="01339D84" w14:textId="77777777" w:rsidTr="00BF5974">
        <w:trPr>
          <w:trHeight w:val="20"/>
          <w:jc w:val="right"/>
        </w:trPr>
        <w:tc>
          <w:tcPr>
            <w:tcW w:w="1016" w:type="dxa"/>
            <w:tcBorders>
              <w:top w:val="single" w:sz="4" w:space="0" w:color="auto"/>
              <w:left w:val="single" w:sz="4" w:space="0" w:color="auto"/>
              <w:bottom w:val="single" w:sz="4" w:space="0" w:color="auto"/>
              <w:right w:val="single" w:sz="4" w:space="0" w:color="auto"/>
            </w:tcBorders>
          </w:tcPr>
          <w:p w14:paraId="3177AF48" w14:textId="77777777" w:rsidR="00BF5974" w:rsidRDefault="00BF5974">
            <w:pPr>
              <w:spacing w:line="256" w:lineRule="auto"/>
              <w:jc w:val="center"/>
              <w:rPr>
                <w:sz w:val="20"/>
                <w:szCs w:val="20"/>
                <w:lang w:val="es-ES" w:eastAsia="en-US"/>
              </w:rPr>
            </w:pPr>
          </w:p>
        </w:tc>
        <w:tc>
          <w:tcPr>
            <w:tcW w:w="5386" w:type="dxa"/>
            <w:tcBorders>
              <w:top w:val="single" w:sz="4" w:space="0" w:color="auto"/>
              <w:left w:val="single" w:sz="4" w:space="0" w:color="auto"/>
              <w:bottom w:val="single" w:sz="4" w:space="0" w:color="auto"/>
              <w:right w:val="single" w:sz="4" w:space="0" w:color="auto"/>
            </w:tcBorders>
            <w:vAlign w:val="center"/>
            <w:hideMark/>
          </w:tcPr>
          <w:p w14:paraId="578C3605" w14:textId="77777777" w:rsidR="00BF5974" w:rsidRDefault="00BF5974">
            <w:pPr>
              <w:spacing w:line="256" w:lineRule="auto"/>
              <w:jc w:val="center"/>
              <w:rPr>
                <w:rFonts w:cs="Arial"/>
                <w:sz w:val="20"/>
                <w:lang w:val="es-ES" w:eastAsia="en-US"/>
              </w:rPr>
            </w:pPr>
            <w:r>
              <w:rPr>
                <w:rFonts w:cs="Arial"/>
                <w:b/>
                <w:bCs/>
                <w:sz w:val="20"/>
                <w:lang w:val="es-ES" w:eastAsia="en-US"/>
              </w:rPr>
              <w:t>Total</w:t>
            </w:r>
          </w:p>
        </w:tc>
        <w:tc>
          <w:tcPr>
            <w:tcW w:w="1648" w:type="dxa"/>
            <w:tcBorders>
              <w:top w:val="single" w:sz="4" w:space="0" w:color="auto"/>
              <w:left w:val="single" w:sz="4" w:space="0" w:color="auto"/>
              <w:bottom w:val="single" w:sz="4" w:space="0" w:color="auto"/>
              <w:right w:val="single" w:sz="4" w:space="0" w:color="auto"/>
            </w:tcBorders>
            <w:noWrap/>
            <w:hideMark/>
          </w:tcPr>
          <w:p w14:paraId="390147FE" w14:textId="77777777" w:rsidR="00BF5974" w:rsidRDefault="00BF5974">
            <w:pPr>
              <w:spacing w:line="256" w:lineRule="auto"/>
              <w:jc w:val="right"/>
              <w:rPr>
                <w:rFonts w:cs="Arial"/>
                <w:b/>
                <w:bCs/>
                <w:sz w:val="20"/>
                <w:szCs w:val="20"/>
                <w:lang w:val="es-ES" w:eastAsia="en-US"/>
              </w:rPr>
            </w:pPr>
            <w:r>
              <w:rPr>
                <w:b/>
                <w:bCs/>
                <w:sz w:val="20"/>
                <w:szCs w:val="20"/>
                <w:lang w:val="es-ES" w:eastAsia="en-US"/>
              </w:rPr>
              <w:t xml:space="preserve"> 15,023,007 </w:t>
            </w:r>
          </w:p>
        </w:tc>
      </w:tr>
    </w:tbl>
    <w:p w14:paraId="342E73F2" w14:textId="77777777" w:rsidR="00BF5974" w:rsidRDefault="00BF5974" w:rsidP="00BF5974">
      <w:pPr>
        <w:ind w:left="567" w:hanging="567"/>
        <w:rPr>
          <w:rFonts w:cs="Arial"/>
          <w:lang w:val="es-ES"/>
        </w:rPr>
      </w:pPr>
    </w:p>
    <w:p w14:paraId="7522DE15" w14:textId="77777777" w:rsidR="00BF5974" w:rsidRDefault="00BF5974" w:rsidP="00BF5974">
      <w:pPr>
        <w:ind w:left="567" w:hanging="567"/>
        <w:rPr>
          <w:rFonts w:cs="Arial"/>
          <w:lang w:val="es-ES"/>
        </w:rPr>
      </w:pPr>
      <w:r>
        <w:rPr>
          <w:rFonts w:cs="Arial"/>
          <w:lang w:val="es-ES"/>
        </w:rPr>
        <w:t>II.</w:t>
      </w:r>
      <w:r>
        <w:rPr>
          <w:rFonts w:cs="Arial"/>
          <w:lang w:val="es-ES"/>
        </w:rPr>
        <w:tab/>
        <w:t xml:space="preserve">La asignación presupuestaria para el Ejercicio Fiscal 2025 destinada a la </w:t>
      </w:r>
      <w:r>
        <w:rPr>
          <w:rFonts w:cs="Arial"/>
          <w:bCs/>
          <w:lang w:val="es-ES"/>
        </w:rPr>
        <w:t>Fiscalía General del Estado de Colima</w:t>
      </w:r>
      <w:r>
        <w:rPr>
          <w:rFonts w:cs="Arial"/>
          <w:lang w:val="es-ES"/>
        </w:rPr>
        <w:t>, tendrá la siguiente distribución a nivel de Capítulo de gasto:</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5386"/>
        <w:gridCol w:w="1615"/>
      </w:tblGrid>
      <w:tr w:rsidR="00BF5974" w14:paraId="2D5A1167" w14:textId="77777777" w:rsidTr="00BF5974">
        <w:trPr>
          <w:trHeight w:val="227"/>
          <w:tblHeader/>
          <w:jc w:val="right"/>
        </w:trPr>
        <w:tc>
          <w:tcPr>
            <w:tcW w:w="8017" w:type="dxa"/>
            <w:gridSpan w:val="3"/>
            <w:tcBorders>
              <w:top w:val="nil"/>
              <w:left w:val="nil"/>
              <w:bottom w:val="single" w:sz="4" w:space="0" w:color="auto"/>
              <w:right w:val="nil"/>
            </w:tcBorders>
            <w:vAlign w:val="center"/>
            <w:hideMark/>
          </w:tcPr>
          <w:p w14:paraId="55AEC8CC" w14:textId="77777777" w:rsidR="00BF5974" w:rsidRDefault="00BF5974">
            <w:pPr>
              <w:spacing w:line="256" w:lineRule="auto"/>
              <w:jc w:val="center"/>
              <w:rPr>
                <w:rFonts w:cs="Arial"/>
                <w:b/>
                <w:bCs/>
                <w:sz w:val="20"/>
                <w:lang w:val="es-ES" w:eastAsia="en-US"/>
              </w:rPr>
            </w:pPr>
            <w:bookmarkStart w:id="60" w:name="_Toc22983159"/>
            <w:bookmarkStart w:id="61" w:name="_Toc22021886"/>
            <w:bookmarkStart w:id="62" w:name="_Toc526757448"/>
            <w:bookmarkStart w:id="63" w:name="_Toc522869237"/>
            <w:r>
              <w:rPr>
                <w:rFonts w:eastAsia="Times New Roman" w:cs="Arial"/>
                <w:b/>
                <w:sz w:val="20"/>
                <w:lang w:val="es-ES" w:eastAsia="en-US"/>
              </w:rPr>
              <w:lastRenderedPageBreak/>
              <w:t>Tabla 10. Fiscalía General del Estado de Colima</w:t>
            </w:r>
            <w:r>
              <w:rPr>
                <w:rFonts w:eastAsia="Times New Roman" w:cs="Arial"/>
                <w:b/>
                <w:sz w:val="20"/>
                <w:lang w:val="es-ES" w:eastAsia="en-US"/>
              </w:rPr>
              <w:br/>
              <w:t>(Objeto del Gasto)</w:t>
            </w:r>
            <w:bookmarkEnd w:id="60"/>
            <w:bookmarkEnd w:id="61"/>
            <w:bookmarkEnd w:id="62"/>
            <w:bookmarkEnd w:id="63"/>
          </w:p>
        </w:tc>
      </w:tr>
      <w:tr w:rsidR="00BF5974" w14:paraId="436BA27C" w14:textId="77777777" w:rsidTr="00BF5974">
        <w:trPr>
          <w:trHeight w:val="227"/>
          <w:tblHeader/>
          <w:jc w:val="right"/>
        </w:trPr>
        <w:tc>
          <w:tcPr>
            <w:tcW w:w="1016" w:type="dxa"/>
            <w:tcBorders>
              <w:top w:val="single" w:sz="4" w:space="0" w:color="auto"/>
              <w:left w:val="single" w:sz="4" w:space="0" w:color="auto"/>
              <w:bottom w:val="single" w:sz="4" w:space="0" w:color="auto"/>
              <w:right w:val="single" w:sz="4" w:space="0" w:color="auto"/>
            </w:tcBorders>
            <w:vAlign w:val="center"/>
            <w:hideMark/>
          </w:tcPr>
          <w:p w14:paraId="735A6758" w14:textId="77777777" w:rsidR="00BF5974" w:rsidRDefault="00BF5974">
            <w:pPr>
              <w:spacing w:line="256" w:lineRule="auto"/>
              <w:jc w:val="center"/>
              <w:rPr>
                <w:rFonts w:cs="Arial"/>
                <w:b/>
                <w:bCs/>
                <w:sz w:val="20"/>
                <w:lang w:val="es-ES" w:eastAsia="en-US"/>
              </w:rPr>
            </w:pPr>
            <w:r>
              <w:rPr>
                <w:rFonts w:cs="Arial"/>
                <w:b/>
                <w:bCs/>
                <w:sz w:val="20"/>
                <w:lang w:val="es-ES" w:eastAsia="en-US"/>
              </w:rPr>
              <w:t>Capítulo</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E3B8D62" w14:textId="77777777" w:rsidR="00BF5974" w:rsidRDefault="00BF5974">
            <w:pPr>
              <w:spacing w:line="256" w:lineRule="auto"/>
              <w:jc w:val="center"/>
              <w:rPr>
                <w:rFonts w:cs="Arial"/>
                <w:b/>
                <w:bCs/>
                <w:sz w:val="20"/>
                <w:lang w:val="es-ES" w:eastAsia="en-US"/>
              </w:rPr>
            </w:pPr>
            <w:r>
              <w:rPr>
                <w:rFonts w:cs="Arial"/>
                <w:b/>
                <w:bCs/>
                <w:sz w:val="20"/>
                <w:lang w:val="es-ES" w:eastAsia="en-US"/>
              </w:rPr>
              <w:t>Concepto</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DABD086" w14:textId="77777777" w:rsidR="00BF5974" w:rsidRDefault="00BF5974">
            <w:pPr>
              <w:spacing w:line="256" w:lineRule="auto"/>
              <w:jc w:val="center"/>
              <w:rPr>
                <w:rFonts w:cs="Arial"/>
                <w:b/>
                <w:bCs/>
                <w:sz w:val="20"/>
                <w:lang w:val="es-ES" w:eastAsia="en-US"/>
              </w:rPr>
            </w:pPr>
            <w:r>
              <w:rPr>
                <w:rFonts w:cs="Arial"/>
                <w:b/>
                <w:bCs/>
                <w:sz w:val="20"/>
                <w:lang w:val="es-ES" w:eastAsia="en-US"/>
              </w:rPr>
              <w:t>Asignación Presupuestal</w:t>
            </w:r>
          </w:p>
        </w:tc>
      </w:tr>
      <w:tr w:rsidR="00BF5974" w14:paraId="66FE3D99" w14:textId="77777777" w:rsidTr="00BF5974">
        <w:trPr>
          <w:trHeight w:val="227"/>
          <w:jc w:val="right"/>
        </w:trPr>
        <w:tc>
          <w:tcPr>
            <w:tcW w:w="1016" w:type="dxa"/>
            <w:tcBorders>
              <w:top w:val="single" w:sz="4" w:space="0" w:color="auto"/>
              <w:left w:val="single" w:sz="4" w:space="0" w:color="auto"/>
              <w:bottom w:val="single" w:sz="4" w:space="0" w:color="auto"/>
              <w:right w:val="single" w:sz="4" w:space="0" w:color="auto"/>
            </w:tcBorders>
            <w:hideMark/>
          </w:tcPr>
          <w:p w14:paraId="134547FD" w14:textId="77777777" w:rsidR="00BF5974" w:rsidRDefault="00BF5974">
            <w:pPr>
              <w:spacing w:line="256" w:lineRule="auto"/>
              <w:jc w:val="center"/>
              <w:rPr>
                <w:rFonts w:cs="Arial"/>
                <w:sz w:val="20"/>
                <w:lang w:val="es-ES" w:eastAsia="en-US"/>
              </w:rPr>
            </w:pPr>
            <w:r>
              <w:rPr>
                <w:sz w:val="20"/>
                <w:szCs w:val="20"/>
                <w:lang w:val="es-ES" w:eastAsia="en-US"/>
              </w:rPr>
              <w:t>010000</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3E77FB0" w14:textId="77777777" w:rsidR="00BF5974" w:rsidRDefault="00BF5974">
            <w:pPr>
              <w:spacing w:line="256" w:lineRule="auto"/>
              <w:rPr>
                <w:rFonts w:cs="Arial"/>
                <w:sz w:val="20"/>
                <w:lang w:val="es-ES" w:eastAsia="en-US"/>
              </w:rPr>
            </w:pPr>
            <w:r>
              <w:rPr>
                <w:rFonts w:cs="Arial"/>
                <w:sz w:val="20"/>
                <w:lang w:val="es-ES" w:eastAsia="en-US"/>
              </w:rPr>
              <w:t>Servicios Personales.</w:t>
            </w:r>
          </w:p>
        </w:tc>
        <w:tc>
          <w:tcPr>
            <w:tcW w:w="1615" w:type="dxa"/>
            <w:tcBorders>
              <w:top w:val="single" w:sz="4" w:space="0" w:color="auto"/>
              <w:left w:val="single" w:sz="4" w:space="0" w:color="auto"/>
              <w:bottom w:val="single" w:sz="4" w:space="0" w:color="auto"/>
              <w:right w:val="single" w:sz="4" w:space="0" w:color="auto"/>
            </w:tcBorders>
            <w:noWrap/>
            <w:hideMark/>
          </w:tcPr>
          <w:p w14:paraId="431A676B" w14:textId="77777777" w:rsidR="00BF5974" w:rsidRDefault="00BF5974">
            <w:pPr>
              <w:spacing w:line="256" w:lineRule="auto"/>
              <w:jc w:val="right"/>
              <w:rPr>
                <w:rFonts w:cs="Arial"/>
                <w:sz w:val="20"/>
                <w:szCs w:val="20"/>
                <w:lang w:val="es-ES" w:eastAsia="en-US"/>
              </w:rPr>
            </w:pPr>
            <w:r>
              <w:rPr>
                <w:sz w:val="20"/>
                <w:szCs w:val="20"/>
                <w:lang w:val="es-ES" w:eastAsia="en-US"/>
              </w:rPr>
              <w:t xml:space="preserve"> 377,144,687 </w:t>
            </w:r>
          </w:p>
        </w:tc>
      </w:tr>
      <w:tr w:rsidR="00BF5974" w14:paraId="17E119F4" w14:textId="77777777" w:rsidTr="00BF5974">
        <w:trPr>
          <w:trHeight w:val="227"/>
          <w:jc w:val="right"/>
        </w:trPr>
        <w:tc>
          <w:tcPr>
            <w:tcW w:w="1016" w:type="dxa"/>
            <w:tcBorders>
              <w:top w:val="single" w:sz="4" w:space="0" w:color="auto"/>
              <w:left w:val="single" w:sz="4" w:space="0" w:color="auto"/>
              <w:bottom w:val="single" w:sz="4" w:space="0" w:color="auto"/>
              <w:right w:val="single" w:sz="4" w:space="0" w:color="auto"/>
            </w:tcBorders>
            <w:hideMark/>
          </w:tcPr>
          <w:p w14:paraId="428E0C98" w14:textId="77777777" w:rsidR="00BF5974" w:rsidRDefault="00BF5974">
            <w:pPr>
              <w:spacing w:line="256" w:lineRule="auto"/>
              <w:jc w:val="center"/>
              <w:rPr>
                <w:rFonts w:cs="Arial"/>
                <w:sz w:val="20"/>
                <w:lang w:val="es-ES" w:eastAsia="en-US"/>
              </w:rPr>
            </w:pPr>
            <w:r>
              <w:rPr>
                <w:sz w:val="20"/>
                <w:szCs w:val="20"/>
                <w:lang w:val="es-ES" w:eastAsia="en-US"/>
              </w:rPr>
              <w:t>020000</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E860047" w14:textId="77777777" w:rsidR="00BF5974" w:rsidRDefault="00BF5974">
            <w:pPr>
              <w:spacing w:line="256" w:lineRule="auto"/>
              <w:rPr>
                <w:rFonts w:cs="Arial"/>
                <w:sz w:val="20"/>
                <w:lang w:val="es-ES" w:eastAsia="en-US"/>
              </w:rPr>
            </w:pPr>
            <w:r>
              <w:rPr>
                <w:rFonts w:cs="Arial"/>
                <w:sz w:val="20"/>
                <w:lang w:val="es-ES" w:eastAsia="en-US"/>
              </w:rPr>
              <w:t>Materiales y Suministros.</w:t>
            </w:r>
          </w:p>
        </w:tc>
        <w:tc>
          <w:tcPr>
            <w:tcW w:w="1615" w:type="dxa"/>
            <w:tcBorders>
              <w:top w:val="single" w:sz="4" w:space="0" w:color="auto"/>
              <w:left w:val="single" w:sz="4" w:space="0" w:color="auto"/>
              <w:bottom w:val="single" w:sz="4" w:space="0" w:color="auto"/>
              <w:right w:val="single" w:sz="4" w:space="0" w:color="auto"/>
            </w:tcBorders>
            <w:noWrap/>
            <w:hideMark/>
          </w:tcPr>
          <w:p w14:paraId="55C5948F" w14:textId="77777777" w:rsidR="00BF5974" w:rsidRDefault="00BF5974">
            <w:pPr>
              <w:spacing w:line="256" w:lineRule="auto"/>
              <w:jc w:val="right"/>
              <w:rPr>
                <w:rFonts w:cs="Arial"/>
                <w:sz w:val="20"/>
                <w:szCs w:val="20"/>
                <w:lang w:val="es-ES" w:eastAsia="en-US"/>
              </w:rPr>
            </w:pPr>
            <w:r>
              <w:rPr>
                <w:sz w:val="20"/>
                <w:szCs w:val="20"/>
                <w:lang w:val="es-ES" w:eastAsia="en-US"/>
              </w:rPr>
              <w:t xml:space="preserve"> 35,226,010 </w:t>
            </w:r>
          </w:p>
        </w:tc>
      </w:tr>
      <w:tr w:rsidR="00BF5974" w14:paraId="5DCC355A" w14:textId="77777777" w:rsidTr="00BF5974">
        <w:trPr>
          <w:trHeight w:val="227"/>
          <w:jc w:val="right"/>
        </w:trPr>
        <w:tc>
          <w:tcPr>
            <w:tcW w:w="1016" w:type="dxa"/>
            <w:tcBorders>
              <w:top w:val="single" w:sz="4" w:space="0" w:color="auto"/>
              <w:left w:val="single" w:sz="4" w:space="0" w:color="auto"/>
              <w:bottom w:val="single" w:sz="4" w:space="0" w:color="auto"/>
              <w:right w:val="single" w:sz="4" w:space="0" w:color="auto"/>
            </w:tcBorders>
            <w:hideMark/>
          </w:tcPr>
          <w:p w14:paraId="31AD5D9D" w14:textId="77777777" w:rsidR="00BF5974" w:rsidRDefault="00BF5974">
            <w:pPr>
              <w:spacing w:line="256" w:lineRule="auto"/>
              <w:jc w:val="center"/>
              <w:rPr>
                <w:rFonts w:cs="Arial"/>
                <w:sz w:val="20"/>
                <w:lang w:val="es-ES" w:eastAsia="en-US"/>
              </w:rPr>
            </w:pPr>
            <w:r>
              <w:rPr>
                <w:sz w:val="20"/>
                <w:szCs w:val="20"/>
                <w:lang w:val="es-ES" w:eastAsia="en-US"/>
              </w:rPr>
              <w:t>030000</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2ED1DCF" w14:textId="77777777" w:rsidR="00BF5974" w:rsidRDefault="00BF5974">
            <w:pPr>
              <w:spacing w:line="256" w:lineRule="auto"/>
              <w:rPr>
                <w:rFonts w:cs="Arial"/>
                <w:sz w:val="20"/>
                <w:lang w:val="es-ES" w:eastAsia="en-US"/>
              </w:rPr>
            </w:pPr>
            <w:r>
              <w:rPr>
                <w:rFonts w:cs="Arial"/>
                <w:sz w:val="20"/>
                <w:lang w:val="es-ES" w:eastAsia="en-US"/>
              </w:rPr>
              <w:t>Servicios Generales.</w:t>
            </w:r>
          </w:p>
        </w:tc>
        <w:tc>
          <w:tcPr>
            <w:tcW w:w="1615" w:type="dxa"/>
            <w:tcBorders>
              <w:top w:val="single" w:sz="4" w:space="0" w:color="auto"/>
              <w:left w:val="single" w:sz="4" w:space="0" w:color="auto"/>
              <w:bottom w:val="single" w:sz="4" w:space="0" w:color="auto"/>
              <w:right w:val="single" w:sz="4" w:space="0" w:color="auto"/>
            </w:tcBorders>
            <w:noWrap/>
            <w:hideMark/>
          </w:tcPr>
          <w:p w14:paraId="3D9D7CDE" w14:textId="77777777" w:rsidR="00BF5974" w:rsidRDefault="00BF5974">
            <w:pPr>
              <w:spacing w:line="256" w:lineRule="auto"/>
              <w:jc w:val="right"/>
              <w:rPr>
                <w:rFonts w:cs="Arial"/>
                <w:sz w:val="20"/>
                <w:szCs w:val="20"/>
                <w:lang w:val="es-ES" w:eastAsia="en-US"/>
              </w:rPr>
            </w:pPr>
            <w:r>
              <w:rPr>
                <w:sz w:val="20"/>
                <w:szCs w:val="20"/>
                <w:lang w:val="es-ES" w:eastAsia="en-US"/>
              </w:rPr>
              <w:t xml:space="preserve"> 25,352,123 </w:t>
            </w:r>
          </w:p>
        </w:tc>
      </w:tr>
      <w:tr w:rsidR="00BF5974" w14:paraId="605B05FE" w14:textId="77777777" w:rsidTr="00BF5974">
        <w:trPr>
          <w:trHeight w:val="227"/>
          <w:jc w:val="right"/>
        </w:trPr>
        <w:tc>
          <w:tcPr>
            <w:tcW w:w="1016" w:type="dxa"/>
            <w:tcBorders>
              <w:top w:val="single" w:sz="4" w:space="0" w:color="auto"/>
              <w:left w:val="single" w:sz="4" w:space="0" w:color="auto"/>
              <w:bottom w:val="single" w:sz="4" w:space="0" w:color="auto"/>
              <w:right w:val="single" w:sz="4" w:space="0" w:color="auto"/>
            </w:tcBorders>
            <w:hideMark/>
          </w:tcPr>
          <w:p w14:paraId="7E279C54" w14:textId="77777777" w:rsidR="00BF5974" w:rsidRDefault="00BF5974">
            <w:pPr>
              <w:spacing w:line="256" w:lineRule="auto"/>
              <w:jc w:val="center"/>
              <w:rPr>
                <w:rFonts w:cs="Arial"/>
                <w:sz w:val="20"/>
                <w:lang w:val="es-ES" w:eastAsia="en-US"/>
              </w:rPr>
            </w:pPr>
            <w:r>
              <w:rPr>
                <w:sz w:val="20"/>
                <w:szCs w:val="20"/>
                <w:lang w:val="es-ES" w:eastAsia="en-US"/>
              </w:rPr>
              <w:t>040000</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0A52C2A" w14:textId="77777777" w:rsidR="00BF5974" w:rsidRDefault="00BF5974">
            <w:pPr>
              <w:spacing w:line="256" w:lineRule="auto"/>
              <w:rPr>
                <w:rFonts w:cs="Arial"/>
                <w:sz w:val="20"/>
                <w:lang w:val="es-ES" w:eastAsia="en-US"/>
              </w:rPr>
            </w:pPr>
            <w:r>
              <w:rPr>
                <w:rFonts w:cs="Arial"/>
                <w:sz w:val="20"/>
                <w:lang w:val="es-ES" w:eastAsia="en-US"/>
              </w:rPr>
              <w:t>Transferencias, Asignaciones, Subsidios y Otras Ayudas.</w:t>
            </w:r>
          </w:p>
        </w:tc>
        <w:tc>
          <w:tcPr>
            <w:tcW w:w="1615" w:type="dxa"/>
            <w:tcBorders>
              <w:top w:val="single" w:sz="4" w:space="0" w:color="auto"/>
              <w:left w:val="single" w:sz="4" w:space="0" w:color="auto"/>
              <w:bottom w:val="single" w:sz="4" w:space="0" w:color="auto"/>
              <w:right w:val="single" w:sz="4" w:space="0" w:color="auto"/>
            </w:tcBorders>
            <w:noWrap/>
            <w:hideMark/>
          </w:tcPr>
          <w:p w14:paraId="6B9C2597" w14:textId="77777777" w:rsidR="00BF5974" w:rsidRDefault="00BF5974">
            <w:pPr>
              <w:spacing w:line="256" w:lineRule="auto"/>
              <w:jc w:val="right"/>
              <w:rPr>
                <w:rFonts w:cs="Arial"/>
                <w:sz w:val="20"/>
                <w:szCs w:val="20"/>
                <w:lang w:val="es-ES" w:eastAsia="en-US"/>
              </w:rPr>
            </w:pPr>
            <w:r>
              <w:rPr>
                <w:sz w:val="20"/>
                <w:szCs w:val="20"/>
                <w:lang w:val="es-ES" w:eastAsia="en-US"/>
              </w:rPr>
              <w:t xml:space="preserve"> 61,277,366 </w:t>
            </w:r>
          </w:p>
        </w:tc>
      </w:tr>
      <w:tr w:rsidR="00BF5974" w14:paraId="7BC343F0" w14:textId="77777777" w:rsidTr="00BF5974">
        <w:trPr>
          <w:trHeight w:val="227"/>
          <w:jc w:val="right"/>
        </w:trPr>
        <w:tc>
          <w:tcPr>
            <w:tcW w:w="1016" w:type="dxa"/>
            <w:tcBorders>
              <w:top w:val="single" w:sz="4" w:space="0" w:color="auto"/>
              <w:left w:val="single" w:sz="4" w:space="0" w:color="auto"/>
              <w:bottom w:val="single" w:sz="4" w:space="0" w:color="auto"/>
              <w:right w:val="single" w:sz="4" w:space="0" w:color="auto"/>
            </w:tcBorders>
            <w:hideMark/>
          </w:tcPr>
          <w:p w14:paraId="1F01D018" w14:textId="77777777" w:rsidR="00BF5974" w:rsidRDefault="00BF5974">
            <w:pPr>
              <w:spacing w:line="256" w:lineRule="auto"/>
              <w:jc w:val="center"/>
              <w:rPr>
                <w:rFonts w:cs="Arial"/>
                <w:sz w:val="20"/>
                <w:lang w:val="es-ES" w:eastAsia="en-US"/>
              </w:rPr>
            </w:pPr>
            <w:r>
              <w:rPr>
                <w:sz w:val="20"/>
                <w:szCs w:val="20"/>
                <w:lang w:val="es-ES" w:eastAsia="en-US"/>
              </w:rPr>
              <w:t>050000</w:t>
            </w:r>
          </w:p>
        </w:tc>
        <w:tc>
          <w:tcPr>
            <w:tcW w:w="5386" w:type="dxa"/>
            <w:tcBorders>
              <w:top w:val="single" w:sz="4" w:space="0" w:color="auto"/>
              <w:left w:val="single" w:sz="4" w:space="0" w:color="auto"/>
              <w:bottom w:val="single" w:sz="4" w:space="0" w:color="auto"/>
              <w:right w:val="single" w:sz="4" w:space="0" w:color="auto"/>
            </w:tcBorders>
            <w:vAlign w:val="center"/>
            <w:hideMark/>
          </w:tcPr>
          <w:p w14:paraId="2398F4FF" w14:textId="77777777" w:rsidR="00BF5974" w:rsidRDefault="00BF5974">
            <w:pPr>
              <w:spacing w:line="256" w:lineRule="auto"/>
              <w:rPr>
                <w:rFonts w:cs="Arial"/>
                <w:sz w:val="20"/>
                <w:lang w:val="es-ES" w:eastAsia="en-US"/>
              </w:rPr>
            </w:pPr>
            <w:r>
              <w:rPr>
                <w:rFonts w:cs="Arial"/>
                <w:sz w:val="20"/>
                <w:lang w:val="es-ES" w:eastAsia="en-US"/>
              </w:rPr>
              <w:t>Bienes Muebles, Inmuebles e Intangibles.</w:t>
            </w:r>
          </w:p>
        </w:tc>
        <w:tc>
          <w:tcPr>
            <w:tcW w:w="1615" w:type="dxa"/>
            <w:tcBorders>
              <w:top w:val="single" w:sz="4" w:space="0" w:color="auto"/>
              <w:left w:val="single" w:sz="4" w:space="0" w:color="auto"/>
              <w:bottom w:val="single" w:sz="4" w:space="0" w:color="auto"/>
              <w:right w:val="single" w:sz="4" w:space="0" w:color="auto"/>
            </w:tcBorders>
            <w:noWrap/>
            <w:hideMark/>
          </w:tcPr>
          <w:p w14:paraId="3DFBB108" w14:textId="77777777" w:rsidR="00BF5974" w:rsidRDefault="00BF5974">
            <w:pPr>
              <w:spacing w:line="256" w:lineRule="auto"/>
              <w:jc w:val="right"/>
              <w:rPr>
                <w:rFonts w:cs="Arial"/>
                <w:sz w:val="20"/>
                <w:szCs w:val="20"/>
                <w:lang w:val="es-ES" w:eastAsia="en-US"/>
              </w:rPr>
            </w:pPr>
            <w:r>
              <w:rPr>
                <w:sz w:val="20"/>
                <w:szCs w:val="20"/>
                <w:lang w:val="es-ES" w:eastAsia="en-US"/>
              </w:rPr>
              <w:t xml:space="preserve"> 1,421,869 </w:t>
            </w:r>
          </w:p>
        </w:tc>
      </w:tr>
      <w:tr w:rsidR="00BF5974" w14:paraId="28BE0625" w14:textId="77777777" w:rsidTr="00BF5974">
        <w:trPr>
          <w:trHeight w:val="227"/>
          <w:jc w:val="right"/>
        </w:trPr>
        <w:tc>
          <w:tcPr>
            <w:tcW w:w="1016" w:type="dxa"/>
            <w:tcBorders>
              <w:top w:val="single" w:sz="4" w:space="0" w:color="auto"/>
              <w:left w:val="single" w:sz="4" w:space="0" w:color="auto"/>
              <w:bottom w:val="single" w:sz="4" w:space="0" w:color="auto"/>
              <w:right w:val="single" w:sz="4" w:space="0" w:color="auto"/>
            </w:tcBorders>
          </w:tcPr>
          <w:p w14:paraId="0D124BB2" w14:textId="77777777" w:rsidR="00BF5974" w:rsidRDefault="00BF5974">
            <w:pPr>
              <w:spacing w:line="256" w:lineRule="auto"/>
              <w:jc w:val="center"/>
              <w:rPr>
                <w:sz w:val="20"/>
                <w:szCs w:val="20"/>
                <w:lang w:val="es-ES" w:eastAsia="en-US"/>
              </w:rPr>
            </w:pPr>
          </w:p>
        </w:tc>
        <w:tc>
          <w:tcPr>
            <w:tcW w:w="5386" w:type="dxa"/>
            <w:tcBorders>
              <w:top w:val="single" w:sz="4" w:space="0" w:color="auto"/>
              <w:left w:val="single" w:sz="4" w:space="0" w:color="auto"/>
              <w:bottom w:val="single" w:sz="4" w:space="0" w:color="auto"/>
              <w:right w:val="single" w:sz="4" w:space="0" w:color="auto"/>
            </w:tcBorders>
            <w:vAlign w:val="center"/>
            <w:hideMark/>
          </w:tcPr>
          <w:p w14:paraId="11EEA8BC" w14:textId="77777777" w:rsidR="00BF5974" w:rsidRDefault="00BF5974">
            <w:pPr>
              <w:spacing w:line="256" w:lineRule="auto"/>
              <w:jc w:val="center"/>
              <w:rPr>
                <w:rFonts w:cs="Arial"/>
                <w:b/>
                <w:bCs/>
                <w:sz w:val="20"/>
                <w:lang w:val="es-ES" w:eastAsia="en-US"/>
              </w:rPr>
            </w:pPr>
            <w:r>
              <w:rPr>
                <w:rFonts w:cs="Arial"/>
                <w:b/>
                <w:bCs/>
                <w:sz w:val="20"/>
                <w:lang w:val="es-ES" w:eastAsia="en-US"/>
              </w:rPr>
              <w:t>Total</w:t>
            </w:r>
          </w:p>
        </w:tc>
        <w:tc>
          <w:tcPr>
            <w:tcW w:w="1615" w:type="dxa"/>
            <w:tcBorders>
              <w:top w:val="single" w:sz="4" w:space="0" w:color="auto"/>
              <w:left w:val="single" w:sz="4" w:space="0" w:color="auto"/>
              <w:bottom w:val="single" w:sz="4" w:space="0" w:color="auto"/>
              <w:right w:val="single" w:sz="4" w:space="0" w:color="auto"/>
            </w:tcBorders>
            <w:noWrap/>
            <w:hideMark/>
          </w:tcPr>
          <w:p w14:paraId="0BCBE933" w14:textId="77777777" w:rsidR="00BF5974" w:rsidRDefault="00BF5974">
            <w:pPr>
              <w:spacing w:line="256" w:lineRule="auto"/>
              <w:jc w:val="right"/>
              <w:rPr>
                <w:rFonts w:cs="Arial"/>
                <w:b/>
                <w:bCs/>
                <w:sz w:val="20"/>
                <w:szCs w:val="20"/>
                <w:lang w:val="es-ES" w:eastAsia="en-US"/>
              </w:rPr>
            </w:pPr>
            <w:r>
              <w:rPr>
                <w:b/>
                <w:bCs/>
                <w:sz w:val="20"/>
                <w:szCs w:val="20"/>
                <w:lang w:val="es-ES" w:eastAsia="en-US"/>
              </w:rPr>
              <w:t xml:space="preserve"> 500,422,055 </w:t>
            </w:r>
          </w:p>
        </w:tc>
      </w:tr>
    </w:tbl>
    <w:p w14:paraId="1CFE9143" w14:textId="77777777" w:rsidR="00BF5974" w:rsidRDefault="00BF5974" w:rsidP="00BF5974">
      <w:pPr>
        <w:ind w:left="567" w:hanging="567"/>
        <w:rPr>
          <w:rFonts w:cs="Arial"/>
        </w:rPr>
      </w:pPr>
    </w:p>
    <w:p w14:paraId="6D176651" w14:textId="77777777" w:rsidR="00BF5974" w:rsidRDefault="00BF5974" w:rsidP="00BF5974">
      <w:pPr>
        <w:ind w:left="567" w:hanging="567"/>
        <w:rPr>
          <w:rFonts w:cs="Arial"/>
        </w:rPr>
      </w:pPr>
      <w:r>
        <w:rPr>
          <w:rFonts w:cs="Arial"/>
        </w:rPr>
        <w:t>III.</w:t>
      </w:r>
      <w:r>
        <w:rPr>
          <w:rFonts w:cs="Arial"/>
        </w:rPr>
        <w:tab/>
        <w:t xml:space="preserve">La asignación presupuestaria </w:t>
      </w:r>
      <w:r>
        <w:rPr>
          <w:rFonts w:cs="Arial"/>
          <w:lang w:val="es-ES"/>
        </w:rPr>
        <w:t xml:space="preserve">para el Ejercicio Fiscal 2025 </w:t>
      </w:r>
      <w:r>
        <w:rPr>
          <w:rFonts w:cs="Arial"/>
        </w:rPr>
        <w:t xml:space="preserve">destinada al </w:t>
      </w:r>
      <w:r>
        <w:rPr>
          <w:rFonts w:cs="Arial"/>
          <w:bCs/>
        </w:rPr>
        <w:t>Instituto de Transparencia, Acceso a la Información Pública y Protección de Datos del Estado de Colima</w:t>
      </w:r>
      <w:r>
        <w:rPr>
          <w:rFonts w:cs="Arial"/>
        </w:rPr>
        <w:t xml:space="preserve">, </w:t>
      </w:r>
      <w:r>
        <w:rPr>
          <w:rFonts w:cs="Arial"/>
          <w:lang w:val="es-ES"/>
        </w:rPr>
        <w:t>tendrá la siguiente distribución a nivel de Capítulo de gasto:</w:t>
      </w:r>
    </w:p>
    <w:p w14:paraId="35BD2D5C" w14:textId="77777777" w:rsidR="00BF5974" w:rsidRDefault="00BF5974" w:rsidP="00BF5974">
      <w:pPr>
        <w:jc w:val="center"/>
        <w:rPr>
          <w:rFonts w:eastAsia="Times New Roman" w:cs="Arial"/>
          <w:b/>
          <w:sz w:val="20"/>
          <w:lang w:val="es-ES"/>
        </w:rPr>
      </w:pPr>
      <w:bookmarkStart w:id="64" w:name="_Toc522869239"/>
      <w:bookmarkStart w:id="65" w:name="_Toc526757450"/>
      <w:bookmarkStart w:id="66" w:name="_Toc22021888"/>
      <w:bookmarkStart w:id="67" w:name="_Toc22983161"/>
    </w:p>
    <w:p w14:paraId="3581E6AF" w14:textId="77777777" w:rsidR="00BF5974" w:rsidRDefault="00BF5974" w:rsidP="00BF5974">
      <w:pPr>
        <w:jc w:val="center"/>
        <w:rPr>
          <w:rFonts w:eastAsia="Times New Roman" w:cs="Arial"/>
          <w:b/>
          <w:sz w:val="20"/>
          <w:lang w:val="es-ES"/>
        </w:rPr>
      </w:pPr>
      <w:r>
        <w:rPr>
          <w:rFonts w:eastAsia="Times New Roman" w:cs="Arial"/>
          <w:b/>
          <w:sz w:val="20"/>
          <w:lang w:val="es-ES"/>
        </w:rPr>
        <w:t xml:space="preserve">Tabla 11. Instituto de Transparencia, Acceso a la Información Pública y </w:t>
      </w:r>
      <w:r>
        <w:rPr>
          <w:rFonts w:eastAsia="Times New Roman" w:cs="Arial"/>
          <w:b/>
          <w:sz w:val="20"/>
          <w:lang w:val="es-ES"/>
        </w:rPr>
        <w:br/>
        <w:t>Protección de Datos del Estado de Colima</w:t>
      </w:r>
      <w:r>
        <w:rPr>
          <w:rFonts w:eastAsia="Times New Roman" w:cs="Arial"/>
          <w:b/>
          <w:sz w:val="20"/>
          <w:lang w:val="es-ES"/>
        </w:rPr>
        <w:br/>
        <w:t>(Objeto del Gasto)</w:t>
      </w:r>
      <w:bookmarkEnd w:id="64"/>
      <w:bookmarkEnd w:id="65"/>
      <w:bookmarkEnd w:id="66"/>
      <w:bookmarkEnd w:id="67"/>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391"/>
        <w:gridCol w:w="1559"/>
      </w:tblGrid>
      <w:tr w:rsidR="00BF5974" w14:paraId="18DFEC21" w14:textId="77777777" w:rsidTr="00BF5974">
        <w:trPr>
          <w:trHeight w:val="227"/>
          <w:jc w:val="right"/>
        </w:trPr>
        <w:tc>
          <w:tcPr>
            <w:tcW w:w="1135" w:type="dxa"/>
            <w:tcBorders>
              <w:top w:val="single" w:sz="4" w:space="0" w:color="auto"/>
              <w:left w:val="single" w:sz="4" w:space="0" w:color="auto"/>
              <w:bottom w:val="single" w:sz="4" w:space="0" w:color="auto"/>
              <w:right w:val="single" w:sz="4" w:space="0" w:color="auto"/>
            </w:tcBorders>
            <w:vAlign w:val="center"/>
            <w:hideMark/>
          </w:tcPr>
          <w:p w14:paraId="537B8D42" w14:textId="77777777" w:rsidR="00BF5974" w:rsidRDefault="00BF5974">
            <w:pPr>
              <w:spacing w:line="256" w:lineRule="auto"/>
              <w:jc w:val="center"/>
              <w:rPr>
                <w:rFonts w:cs="Arial"/>
                <w:b/>
                <w:bCs/>
                <w:sz w:val="20"/>
                <w:lang w:val="es-ES" w:eastAsia="en-US"/>
              </w:rPr>
            </w:pPr>
            <w:r>
              <w:rPr>
                <w:rFonts w:cs="Arial"/>
                <w:b/>
                <w:bCs/>
                <w:sz w:val="20"/>
                <w:lang w:val="es-ES" w:eastAsia="en-US"/>
              </w:rPr>
              <w:t>Capítulo</w:t>
            </w:r>
          </w:p>
        </w:tc>
        <w:tc>
          <w:tcPr>
            <w:tcW w:w="5391" w:type="dxa"/>
            <w:tcBorders>
              <w:top w:val="single" w:sz="4" w:space="0" w:color="auto"/>
              <w:left w:val="single" w:sz="4" w:space="0" w:color="auto"/>
              <w:bottom w:val="single" w:sz="4" w:space="0" w:color="auto"/>
              <w:right w:val="single" w:sz="4" w:space="0" w:color="auto"/>
            </w:tcBorders>
            <w:vAlign w:val="center"/>
            <w:hideMark/>
          </w:tcPr>
          <w:p w14:paraId="45E6F3F8" w14:textId="77777777" w:rsidR="00BF5974" w:rsidRDefault="00BF5974">
            <w:pPr>
              <w:spacing w:line="256" w:lineRule="auto"/>
              <w:jc w:val="center"/>
              <w:rPr>
                <w:rFonts w:cs="Arial"/>
                <w:b/>
                <w:bCs/>
                <w:sz w:val="20"/>
                <w:lang w:val="es-ES" w:eastAsia="en-US"/>
              </w:rPr>
            </w:pPr>
            <w:r>
              <w:rPr>
                <w:rFonts w:cs="Arial"/>
                <w:b/>
                <w:bCs/>
                <w:sz w:val="20"/>
                <w:lang w:val="es-ES" w:eastAsia="en-US"/>
              </w:rPr>
              <w:t>Concepto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2A4683" w14:textId="77777777" w:rsidR="00BF5974" w:rsidRDefault="00BF5974">
            <w:pPr>
              <w:spacing w:line="256" w:lineRule="auto"/>
              <w:jc w:val="center"/>
              <w:rPr>
                <w:rFonts w:cs="Arial"/>
                <w:b/>
                <w:bCs/>
                <w:sz w:val="20"/>
                <w:lang w:val="es-ES" w:eastAsia="en-US"/>
              </w:rPr>
            </w:pPr>
            <w:r>
              <w:rPr>
                <w:rFonts w:cs="Arial"/>
                <w:b/>
                <w:bCs/>
                <w:sz w:val="20"/>
                <w:lang w:val="es-ES" w:eastAsia="en-US"/>
              </w:rPr>
              <w:t>Asignación Presupuestal</w:t>
            </w:r>
          </w:p>
        </w:tc>
      </w:tr>
      <w:tr w:rsidR="00BF5974" w14:paraId="296B6CCA" w14:textId="77777777" w:rsidTr="00BF5974">
        <w:trPr>
          <w:trHeight w:val="227"/>
          <w:jc w:val="right"/>
        </w:trPr>
        <w:tc>
          <w:tcPr>
            <w:tcW w:w="1135" w:type="dxa"/>
            <w:tcBorders>
              <w:top w:val="single" w:sz="4" w:space="0" w:color="auto"/>
              <w:left w:val="single" w:sz="4" w:space="0" w:color="auto"/>
              <w:bottom w:val="single" w:sz="4" w:space="0" w:color="auto"/>
              <w:right w:val="single" w:sz="4" w:space="0" w:color="auto"/>
            </w:tcBorders>
            <w:hideMark/>
          </w:tcPr>
          <w:p w14:paraId="61726DFA" w14:textId="77777777" w:rsidR="00BF5974" w:rsidRDefault="00BF5974">
            <w:pPr>
              <w:spacing w:line="256" w:lineRule="auto"/>
              <w:jc w:val="center"/>
              <w:rPr>
                <w:rFonts w:cs="Arial"/>
                <w:sz w:val="20"/>
                <w:szCs w:val="20"/>
                <w:lang w:val="es-ES" w:eastAsia="en-US"/>
              </w:rPr>
            </w:pPr>
            <w:r>
              <w:rPr>
                <w:sz w:val="20"/>
                <w:szCs w:val="20"/>
                <w:lang w:val="es-ES" w:eastAsia="en-US"/>
              </w:rPr>
              <w:t>010000</w:t>
            </w:r>
          </w:p>
        </w:tc>
        <w:tc>
          <w:tcPr>
            <w:tcW w:w="5391" w:type="dxa"/>
            <w:tcBorders>
              <w:top w:val="single" w:sz="4" w:space="0" w:color="auto"/>
              <w:left w:val="single" w:sz="4" w:space="0" w:color="auto"/>
              <w:bottom w:val="single" w:sz="4" w:space="0" w:color="auto"/>
              <w:right w:val="single" w:sz="4" w:space="0" w:color="auto"/>
            </w:tcBorders>
            <w:vAlign w:val="center"/>
            <w:hideMark/>
          </w:tcPr>
          <w:p w14:paraId="7DF1EE4D" w14:textId="77777777" w:rsidR="00BF5974" w:rsidRDefault="00BF5974">
            <w:pPr>
              <w:spacing w:line="256" w:lineRule="auto"/>
              <w:rPr>
                <w:rFonts w:cs="Arial"/>
                <w:sz w:val="20"/>
                <w:lang w:val="es-ES" w:eastAsia="en-US"/>
              </w:rPr>
            </w:pPr>
            <w:r>
              <w:rPr>
                <w:rFonts w:cs="Arial"/>
                <w:sz w:val="20"/>
                <w:lang w:val="es-ES" w:eastAsia="en-US"/>
              </w:rPr>
              <w:t>Servicios Personales.</w:t>
            </w:r>
          </w:p>
        </w:tc>
        <w:tc>
          <w:tcPr>
            <w:tcW w:w="1559" w:type="dxa"/>
            <w:tcBorders>
              <w:top w:val="single" w:sz="4" w:space="0" w:color="auto"/>
              <w:left w:val="single" w:sz="4" w:space="0" w:color="auto"/>
              <w:bottom w:val="single" w:sz="4" w:space="0" w:color="auto"/>
              <w:right w:val="single" w:sz="4" w:space="0" w:color="auto"/>
            </w:tcBorders>
            <w:noWrap/>
            <w:hideMark/>
          </w:tcPr>
          <w:p w14:paraId="4550020C" w14:textId="77777777" w:rsidR="00BF5974" w:rsidRDefault="00BF5974">
            <w:pPr>
              <w:spacing w:line="256" w:lineRule="auto"/>
              <w:jc w:val="right"/>
              <w:rPr>
                <w:rFonts w:cs="Arial"/>
                <w:sz w:val="20"/>
                <w:szCs w:val="20"/>
                <w:lang w:val="es-ES" w:eastAsia="en-US"/>
              </w:rPr>
            </w:pPr>
            <w:r>
              <w:rPr>
                <w:sz w:val="20"/>
                <w:szCs w:val="20"/>
                <w:lang w:val="es-ES" w:eastAsia="en-US"/>
              </w:rPr>
              <w:t xml:space="preserve"> 17,002,775 </w:t>
            </w:r>
          </w:p>
        </w:tc>
      </w:tr>
      <w:tr w:rsidR="00BF5974" w14:paraId="661FB353" w14:textId="77777777" w:rsidTr="00BF5974">
        <w:trPr>
          <w:trHeight w:val="227"/>
          <w:jc w:val="right"/>
        </w:trPr>
        <w:tc>
          <w:tcPr>
            <w:tcW w:w="1135" w:type="dxa"/>
            <w:tcBorders>
              <w:top w:val="single" w:sz="4" w:space="0" w:color="auto"/>
              <w:left w:val="single" w:sz="4" w:space="0" w:color="auto"/>
              <w:bottom w:val="single" w:sz="4" w:space="0" w:color="auto"/>
              <w:right w:val="single" w:sz="4" w:space="0" w:color="auto"/>
            </w:tcBorders>
            <w:hideMark/>
          </w:tcPr>
          <w:p w14:paraId="1939407A" w14:textId="77777777" w:rsidR="00BF5974" w:rsidRDefault="00BF5974">
            <w:pPr>
              <w:spacing w:line="256" w:lineRule="auto"/>
              <w:jc w:val="center"/>
              <w:rPr>
                <w:rFonts w:cs="Arial"/>
                <w:sz w:val="20"/>
                <w:szCs w:val="20"/>
                <w:lang w:val="es-ES" w:eastAsia="en-US"/>
              </w:rPr>
            </w:pPr>
            <w:r>
              <w:rPr>
                <w:sz w:val="20"/>
                <w:szCs w:val="20"/>
                <w:lang w:val="es-ES" w:eastAsia="en-US"/>
              </w:rPr>
              <w:t>020000</w:t>
            </w:r>
          </w:p>
        </w:tc>
        <w:tc>
          <w:tcPr>
            <w:tcW w:w="5391" w:type="dxa"/>
            <w:tcBorders>
              <w:top w:val="single" w:sz="4" w:space="0" w:color="auto"/>
              <w:left w:val="single" w:sz="4" w:space="0" w:color="auto"/>
              <w:bottom w:val="single" w:sz="4" w:space="0" w:color="auto"/>
              <w:right w:val="single" w:sz="4" w:space="0" w:color="auto"/>
            </w:tcBorders>
            <w:vAlign w:val="center"/>
            <w:hideMark/>
          </w:tcPr>
          <w:p w14:paraId="446B398C" w14:textId="77777777" w:rsidR="00BF5974" w:rsidRDefault="00BF5974">
            <w:pPr>
              <w:spacing w:line="256" w:lineRule="auto"/>
              <w:rPr>
                <w:rFonts w:cs="Arial"/>
                <w:sz w:val="20"/>
                <w:lang w:val="es-ES" w:eastAsia="en-US"/>
              </w:rPr>
            </w:pPr>
            <w:r>
              <w:rPr>
                <w:rFonts w:cs="Arial"/>
                <w:sz w:val="20"/>
                <w:lang w:val="es-ES" w:eastAsia="en-US"/>
              </w:rPr>
              <w:t>Materiales y Suministros.</w:t>
            </w:r>
          </w:p>
        </w:tc>
        <w:tc>
          <w:tcPr>
            <w:tcW w:w="1559" w:type="dxa"/>
            <w:tcBorders>
              <w:top w:val="single" w:sz="4" w:space="0" w:color="auto"/>
              <w:left w:val="single" w:sz="4" w:space="0" w:color="auto"/>
              <w:bottom w:val="single" w:sz="4" w:space="0" w:color="auto"/>
              <w:right w:val="single" w:sz="4" w:space="0" w:color="auto"/>
            </w:tcBorders>
            <w:noWrap/>
            <w:hideMark/>
          </w:tcPr>
          <w:p w14:paraId="608B96A9" w14:textId="77777777" w:rsidR="00BF5974" w:rsidRDefault="00BF5974">
            <w:pPr>
              <w:spacing w:line="256" w:lineRule="auto"/>
              <w:jc w:val="right"/>
              <w:rPr>
                <w:rFonts w:cs="Arial"/>
                <w:sz w:val="20"/>
                <w:szCs w:val="20"/>
                <w:lang w:val="es-ES" w:eastAsia="en-US"/>
              </w:rPr>
            </w:pPr>
            <w:r>
              <w:rPr>
                <w:sz w:val="20"/>
                <w:szCs w:val="20"/>
                <w:lang w:val="es-ES" w:eastAsia="en-US"/>
              </w:rPr>
              <w:t xml:space="preserve"> 401,000 </w:t>
            </w:r>
          </w:p>
        </w:tc>
      </w:tr>
      <w:tr w:rsidR="00BF5974" w14:paraId="2F6F1A89" w14:textId="77777777" w:rsidTr="00BF5974">
        <w:trPr>
          <w:trHeight w:val="227"/>
          <w:jc w:val="right"/>
        </w:trPr>
        <w:tc>
          <w:tcPr>
            <w:tcW w:w="1135" w:type="dxa"/>
            <w:tcBorders>
              <w:top w:val="single" w:sz="4" w:space="0" w:color="auto"/>
              <w:left w:val="single" w:sz="4" w:space="0" w:color="auto"/>
              <w:bottom w:val="single" w:sz="4" w:space="0" w:color="auto"/>
              <w:right w:val="single" w:sz="4" w:space="0" w:color="auto"/>
            </w:tcBorders>
            <w:hideMark/>
          </w:tcPr>
          <w:p w14:paraId="692F6080" w14:textId="77777777" w:rsidR="00BF5974" w:rsidRDefault="00BF5974">
            <w:pPr>
              <w:spacing w:line="256" w:lineRule="auto"/>
              <w:jc w:val="center"/>
              <w:rPr>
                <w:rFonts w:cs="Arial"/>
                <w:sz w:val="20"/>
                <w:szCs w:val="20"/>
                <w:lang w:val="es-ES" w:eastAsia="en-US"/>
              </w:rPr>
            </w:pPr>
            <w:r>
              <w:rPr>
                <w:sz w:val="20"/>
                <w:szCs w:val="20"/>
                <w:lang w:val="es-ES" w:eastAsia="en-US"/>
              </w:rPr>
              <w:t>030000</w:t>
            </w:r>
          </w:p>
        </w:tc>
        <w:tc>
          <w:tcPr>
            <w:tcW w:w="5391" w:type="dxa"/>
            <w:tcBorders>
              <w:top w:val="single" w:sz="4" w:space="0" w:color="auto"/>
              <w:left w:val="single" w:sz="4" w:space="0" w:color="auto"/>
              <w:bottom w:val="single" w:sz="4" w:space="0" w:color="auto"/>
              <w:right w:val="single" w:sz="4" w:space="0" w:color="auto"/>
            </w:tcBorders>
            <w:vAlign w:val="center"/>
            <w:hideMark/>
          </w:tcPr>
          <w:p w14:paraId="5995F72C" w14:textId="77777777" w:rsidR="00BF5974" w:rsidRDefault="00BF5974">
            <w:pPr>
              <w:spacing w:line="256" w:lineRule="auto"/>
              <w:rPr>
                <w:rFonts w:cs="Arial"/>
                <w:sz w:val="20"/>
                <w:lang w:val="es-ES" w:eastAsia="en-US"/>
              </w:rPr>
            </w:pPr>
            <w:r>
              <w:rPr>
                <w:rFonts w:cs="Arial"/>
                <w:sz w:val="20"/>
                <w:lang w:val="es-ES" w:eastAsia="en-US"/>
              </w:rPr>
              <w:t>Servicios Generales.</w:t>
            </w:r>
          </w:p>
        </w:tc>
        <w:tc>
          <w:tcPr>
            <w:tcW w:w="1559" w:type="dxa"/>
            <w:tcBorders>
              <w:top w:val="single" w:sz="4" w:space="0" w:color="auto"/>
              <w:left w:val="single" w:sz="4" w:space="0" w:color="auto"/>
              <w:bottom w:val="single" w:sz="4" w:space="0" w:color="auto"/>
              <w:right w:val="single" w:sz="4" w:space="0" w:color="auto"/>
            </w:tcBorders>
            <w:noWrap/>
            <w:hideMark/>
          </w:tcPr>
          <w:p w14:paraId="693849AB" w14:textId="77777777" w:rsidR="00BF5974" w:rsidRDefault="00BF5974">
            <w:pPr>
              <w:spacing w:line="256" w:lineRule="auto"/>
              <w:jc w:val="right"/>
              <w:rPr>
                <w:rFonts w:cs="Arial"/>
                <w:sz w:val="20"/>
                <w:szCs w:val="20"/>
                <w:lang w:val="es-ES" w:eastAsia="en-US"/>
              </w:rPr>
            </w:pPr>
            <w:r>
              <w:rPr>
                <w:sz w:val="20"/>
                <w:szCs w:val="20"/>
                <w:lang w:val="es-ES" w:eastAsia="en-US"/>
              </w:rPr>
              <w:t xml:space="preserve"> 1,737,341 </w:t>
            </w:r>
          </w:p>
        </w:tc>
      </w:tr>
      <w:tr w:rsidR="00BF5974" w14:paraId="737D0752" w14:textId="77777777" w:rsidTr="00BF5974">
        <w:trPr>
          <w:trHeight w:val="227"/>
          <w:jc w:val="right"/>
        </w:trPr>
        <w:tc>
          <w:tcPr>
            <w:tcW w:w="1135" w:type="dxa"/>
            <w:tcBorders>
              <w:top w:val="single" w:sz="4" w:space="0" w:color="auto"/>
              <w:left w:val="single" w:sz="4" w:space="0" w:color="auto"/>
              <w:bottom w:val="single" w:sz="4" w:space="0" w:color="auto"/>
              <w:right w:val="single" w:sz="4" w:space="0" w:color="auto"/>
            </w:tcBorders>
            <w:hideMark/>
          </w:tcPr>
          <w:p w14:paraId="5459C572" w14:textId="77777777" w:rsidR="00BF5974" w:rsidRDefault="00BF5974">
            <w:pPr>
              <w:spacing w:line="256" w:lineRule="auto"/>
              <w:jc w:val="center"/>
              <w:rPr>
                <w:rFonts w:cs="Arial"/>
                <w:sz w:val="20"/>
                <w:szCs w:val="20"/>
                <w:lang w:val="es-ES" w:eastAsia="en-US"/>
              </w:rPr>
            </w:pPr>
            <w:r>
              <w:rPr>
                <w:sz w:val="20"/>
                <w:szCs w:val="20"/>
                <w:lang w:val="es-ES" w:eastAsia="en-US"/>
              </w:rPr>
              <w:t>040000</w:t>
            </w:r>
          </w:p>
        </w:tc>
        <w:tc>
          <w:tcPr>
            <w:tcW w:w="5391" w:type="dxa"/>
            <w:tcBorders>
              <w:top w:val="single" w:sz="4" w:space="0" w:color="auto"/>
              <w:left w:val="single" w:sz="4" w:space="0" w:color="auto"/>
              <w:bottom w:val="single" w:sz="4" w:space="0" w:color="auto"/>
              <w:right w:val="single" w:sz="4" w:space="0" w:color="auto"/>
            </w:tcBorders>
            <w:vAlign w:val="center"/>
            <w:hideMark/>
          </w:tcPr>
          <w:p w14:paraId="12F891CA" w14:textId="77777777" w:rsidR="00BF5974" w:rsidRDefault="00BF5974">
            <w:pPr>
              <w:spacing w:line="256" w:lineRule="auto"/>
              <w:rPr>
                <w:rFonts w:cs="Arial"/>
                <w:sz w:val="20"/>
                <w:lang w:val="es-ES" w:eastAsia="en-US"/>
              </w:rPr>
            </w:pPr>
            <w:r>
              <w:rPr>
                <w:rFonts w:cs="Arial"/>
                <w:sz w:val="20"/>
                <w:lang w:val="es-ES" w:eastAsia="en-US"/>
              </w:rPr>
              <w:t>Transferencias, Asignaciones, Subsidios y Otras Ayudas.</w:t>
            </w:r>
          </w:p>
        </w:tc>
        <w:tc>
          <w:tcPr>
            <w:tcW w:w="1559" w:type="dxa"/>
            <w:tcBorders>
              <w:top w:val="single" w:sz="4" w:space="0" w:color="auto"/>
              <w:left w:val="single" w:sz="4" w:space="0" w:color="auto"/>
              <w:bottom w:val="single" w:sz="4" w:space="0" w:color="auto"/>
              <w:right w:val="single" w:sz="4" w:space="0" w:color="auto"/>
            </w:tcBorders>
            <w:noWrap/>
            <w:hideMark/>
          </w:tcPr>
          <w:p w14:paraId="64FDB105" w14:textId="77777777" w:rsidR="00BF5974" w:rsidRDefault="00BF5974">
            <w:pPr>
              <w:spacing w:line="256" w:lineRule="auto"/>
              <w:jc w:val="right"/>
              <w:rPr>
                <w:rFonts w:cs="Arial"/>
                <w:sz w:val="20"/>
                <w:szCs w:val="20"/>
                <w:lang w:val="es-ES" w:eastAsia="en-US"/>
              </w:rPr>
            </w:pPr>
            <w:r>
              <w:rPr>
                <w:sz w:val="20"/>
                <w:szCs w:val="20"/>
                <w:lang w:val="es-ES" w:eastAsia="en-US"/>
              </w:rPr>
              <w:t xml:space="preserve"> 2,413,441 </w:t>
            </w:r>
          </w:p>
        </w:tc>
      </w:tr>
      <w:tr w:rsidR="00BF5974" w14:paraId="3995D685" w14:textId="77777777" w:rsidTr="00BF5974">
        <w:trPr>
          <w:trHeight w:val="227"/>
          <w:jc w:val="right"/>
        </w:trPr>
        <w:tc>
          <w:tcPr>
            <w:tcW w:w="1135" w:type="dxa"/>
            <w:tcBorders>
              <w:top w:val="single" w:sz="4" w:space="0" w:color="auto"/>
              <w:left w:val="single" w:sz="4" w:space="0" w:color="auto"/>
              <w:bottom w:val="single" w:sz="4" w:space="0" w:color="auto"/>
              <w:right w:val="single" w:sz="4" w:space="0" w:color="auto"/>
            </w:tcBorders>
            <w:hideMark/>
          </w:tcPr>
          <w:p w14:paraId="1E8ED452" w14:textId="77777777" w:rsidR="00BF5974" w:rsidRDefault="00BF5974">
            <w:pPr>
              <w:spacing w:line="256" w:lineRule="auto"/>
              <w:jc w:val="center"/>
              <w:rPr>
                <w:rFonts w:cs="Arial"/>
                <w:sz w:val="20"/>
                <w:szCs w:val="20"/>
                <w:lang w:val="es-ES" w:eastAsia="en-US"/>
              </w:rPr>
            </w:pPr>
            <w:r>
              <w:rPr>
                <w:sz w:val="20"/>
                <w:szCs w:val="20"/>
                <w:lang w:val="es-ES" w:eastAsia="en-US"/>
              </w:rPr>
              <w:t>050000</w:t>
            </w:r>
          </w:p>
        </w:tc>
        <w:tc>
          <w:tcPr>
            <w:tcW w:w="5391" w:type="dxa"/>
            <w:tcBorders>
              <w:top w:val="single" w:sz="4" w:space="0" w:color="auto"/>
              <w:left w:val="single" w:sz="4" w:space="0" w:color="auto"/>
              <w:bottom w:val="single" w:sz="4" w:space="0" w:color="auto"/>
              <w:right w:val="single" w:sz="4" w:space="0" w:color="auto"/>
            </w:tcBorders>
            <w:vAlign w:val="center"/>
            <w:hideMark/>
          </w:tcPr>
          <w:p w14:paraId="68740742" w14:textId="77777777" w:rsidR="00BF5974" w:rsidRDefault="00BF5974">
            <w:pPr>
              <w:spacing w:line="256" w:lineRule="auto"/>
              <w:rPr>
                <w:rFonts w:cs="Arial"/>
                <w:sz w:val="20"/>
                <w:lang w:val="es-ES" w:eastAsia="en-US"/>
              </w:rPr>
            </w:pPr>
            <w:r>
              <w:rPr>
                <w:rFonts w:cs="Arial"/>
                <w:sz w:val="20"/>
                <w:lang w:val="es-ES" w:eastAsia="en-US"/>
              </w:rPr>
              <w:t>Bienes Muebles, Inmuebles e Intangibles.</w:t>
            </w:r>
          </w:p>
        </w:tc>
        <w:tc>
          <w:tcPr>
            <w:tcW w:w="1559" w:type="dxa"/>
            <w:tcBorders>
              <w:top w:val="single" w:sz="4" w:space="0" w:color="auto"/>
              <w:left w:val="single" w:sz="4" w:space="0" w:color="auto"/>
              <w:bottom w:val="single" w:sz="4" w:space="0" w:color="auto"/>
              <w:right w:val="single" w:sz="4" w:space="0" w:color="auto"/>
            </w:tcBorders>
            <w:noWrap/>
            <w:hideMark/>
          </w:tcPr>
          <w:p w14:paraId="46475507" w14:textId="77777777" w:rsidR="00BF5974" w:rsidRDefault="00BF5974">
            <w:pPr>
              <w:spacing w:line="256" w:lineRule="auto"/>
              <w:jc w:val="right"/>
              <w:rPr>
                <w:rFonts w:cs="Arial"/>
                <w:sz w:val="20"/>
                <w:szCs w:val="20"/>
                <w:lang w:val="es-ES" w:eastAsia="en-US"/>
              </w:rPr>
            </w:pPr>
            <w:r>
              <w:rPr>
                <w:sz w:val="20"/>
                <w:szCs w:val="20"/>
                <w:lang w:val="es-ES" w:eastAsia="en-US"/>
              </w:rPr>
              <w:t xml:space="preserve"> 1,200,000 </w:t>
            </w:r>
          </w:p>
        </w:tc>
      </w:tr>
      <w:tr w:rsidR="00BF5974" w14:paraId="6EFE743D" w14:textId="77777777" w:rsidTr="00BF5974">
        <w:trPr>
          <w:trHeight w:val="227"/>
          <w:jc w:val="right"/>
        </w:trPr>
        <w:tc>
          <w:tcPr>
            <w:tcW w:w="1135" w:type="dxa"/>
            <w:tcBorders>
              <w:top w:val="single" w:sz="4" w:space="0" w:color="auto"/>
              <w:left w:val="single" w:sz="4" w:space="0" w:color="auto"/>
              <w:bottom w:val="single" w:sz="4" w:space="0" w:color="auto"/>
              <w:right w:val="single" w:sz="4" w:space="0" w:color="auto"/>
            </w:tcBorders>
            <w:hideMark/>
          </w:tcPr>
          <w:p w14:paraId="44537226" w14:textId="77777777" w:rsidR="00BF5974" w:rsidRDefault="00BF5974">
            <w:pPr>
              <w:spacing w:line="256" w:lineRule="auto"/>
              <w:jc w:val="center"/>
              <w:rPr>
                <w:rFonts w:cs="Arial"/>
                <w:sz w:val="20"/>
                <w:szCs w:val="20"/>
                <w:lang w:val="es-ES" w:eastAsia="en-US"/>
              </w:rPr>
            </w:pPr>
            <w:r>
              <w:rPr>
                <w:sz w:val="20"/>
                <w:szCs w:val="20"/>
                <w:lang w:val="es-ES" w:eastAsia="en-US"/>
              </w:rPr>
              <w:t>070000</w:t>
            </w:r>
          </w:p>
        </w:tc>
        <w:tc>
          <w:tcPr>
            <w:tcW w:w="5391" w:type="dxa"/>
            <w:tcBorders>
              <w:top w:val="single" w:sz="4" w:space="0" w:color="auto"/>
              <w:left w:val="single" w:sz="4" w:space="0" w:color="auto"/>
              <w:bottom w:val="single" w:sz="4" w:space="0" w:color="auto"/>
              <w:right w:val="single" w:sz="4" w:space="0" w:color="auto"/>
            </w:tcBorders>
            <w:hideMark/>
          </w:tcPr>
          <w:p w14:paraId="504F00BC" w14:textId="77777777" w:rsidR="00BF5974" w:rsidRDefault="00BF5974">
            <w:pPr>
              <w:spacing w:line="256" w:lineRule="auto"/>
              <w:rPr>
                <w:rFonts w:cs="Arial"/>
                <w:sz w:val="20"/>
                <w:szCs w:val="20"/>
                <w:lang w:val="es-ES" w:eastAsia="en-US"/>
              </w:rPr>
            </w:pPr>
            <w:r>
              <w:rPr>
                <w:sz w:val="20"/>
                <w:szCs w:val="20"/>
                <w:lang w:val="es-ES" w:eastAsia="en-US"/>
              </w:rPr>
              <w:t>Inversiones Financieras y Otras Provisiones.</w:t>
            </w:r>
          </w:p>
        </w:tc>
        <w:tc>
          <w:tcPr>
            <w:tcW w:w="1559" w:type="dxa"/>
            <w:tcBorders>
              <w:top w:val="single" w:sz="4" w:space="0" w:color="auto"/>
              <w:left w:val="single" w:sz="4" w:space="0" w:color="auto"/>
              <w:bottom w:val="single" w:sz="4" w:space="0" w:color="auto"/>
              <w:right w:val="single" w:sz="4" w:space="0" w:color="auto"/>
            </w:tcBorders>
            <w:noWrap/>
            <w:hideMark/>
          </w:tcPr>
          <w:p w14:paraId="01DBF97A" w14:textId="77777777" w:rsidR="00BF5974" w:rsidRDefault="00BF5974">
            <w:pPr>
              <w:spacing w:line="256" w:lineRule="auto"/>
              <w:jc w:val="right"/>
              <w:rPr>
                <w:sz w:val="20"/>
                <w:szCs w:val="20"/>
                <w:lang w:val="es-ES" w:eastAsia="en-US"/>
              </w:rPr>
            </w:pPr>
            <w:r>
              <w:rPr>
                <w:sz w:val="20"/>
                <w:szCs w:val="20"/>
                <w:lang w:val="es-ES" w:eastAsia="en-US"/>
              </w:rPr>
              <w:t xml:space="preserve"> 6,000 </w:t>
            </w:r>
          </w:p>
        </w:tc>
      </w:tr>
      <w:tr w:rsidR="00BF5974" w14:paraId="1A8E928C" w14:textId="77777777" w:rsidTr="00BF5974">
        <w:trPr>
          <w:trHeight w:val="227"/>
          <w:jc w:val="right"/>
        </w:trPr>
        <w:tc>
          <w:tcPr>
            <w:tcW w:w="1135" w:type="dxa"/>
            <w:tcBorders>
              <w:top w:val="single" w:sz="4" w:space="0" w:color="auto"/>
              <w:left w:val="single" w:sz="4" w:space="0" w:color="auto"/>
              <w:bottom w:val="single" w:sz="4" w:space="0" w:color="auto"/>
              <w:right w:val="single" w:sz="4" w:space="0" w:color="auto"/>
            </w:tcBorders>
          </w:tcPr>
          <w:p w14:paraId="32BE4DD6" w14:textId="77777777" w:rsidR="00BF5974" w:rsidRDefault="00BF5974">
            <w:pPr>
              <w:spacing w:line="256" w:lineRule="auto"/>
              <w:jc w:val="center"/>
              <w:rPr>
                <w:sz w:val="20"/>
                <w:szCs w:val="20"/>
                <w:lang w:val="es-ES" w:eastAsia="en-US"/>
              </w:rPr>
            </w:pPr>
          </w:p>
        </w:tc>
        <w:tc>
          <w:tcPr>
            <w:tcW w:w="5391" w:type="dxa"/>
            <w:tcBorders>
              <w:top w:val="single" w:sz="4" w:space="0" w:color="auto"/>
              <w:left w:val="single" w:sz="4" w:space="0" w:color="auto"/>
              <w:bottom w:val="single" w:sz="4" w:space="0" w:color="auto"/>
              <w:right w:val="single" w:sz="4" w:space="0" w:color="auto"/>
            </w:tcBorders>
            <w:hideMark/>
          </w:tcPr>
          <w:p w14:paraId="49BCD718" w14:textId="77777777" w:rsidR="00BF5974" w:rsidRDefault="00BF5974">
            <w:pPr>
              <w:spacing w:line="256" w:lineRule="auto"/>
              <w:jc w:val="center"/>
              <w:rPr>
                <w:b/>
                <w:bCs/>
                <w:sz w:val="20"/>
                <w:szCs w:val="20"/>
                <w:lang w:val="es-ES" w:eastAsia="en-US"/>
              </w:rPr>
            </w:pPr>
            <w:r>
              <w:rPr>
                <w:b/>
                <w:bCs/>
                <w:sz w:val="20"/>
                <w:szCs w:val="20"/>
                <w:lang w:val="es-ES" w:eastAsia="en-US"/>
              </w:rPr>
              <w:t>Total</w:t>
            </w:r>
          </w:p>
        </w:tc>
        <w:tc>
          <w:tcPr>
            <w:tcW w:w="1559" w:type="dxa"/>
            <w:tcBorders>
              <w:top w:val="single" w:sz="4" w:space="0" w:color="auto"/>
              <w:left w:val="single" w:sz="4" w:space="0" w:color="auto"/>
              <w:bottom w:val="single" w:sz="4" w:space="0" w:color="auto"/>
              <w:right w:val="single" w:sz="4" w:space="0" w:color="auto"/>
            </w:tcBorders>
            <w:noWrap/>
            <w:hideMark/>
          </w:tcPr>
          <w:p w14:paraId="6C949114" w14:textId="77777777" w:rsidR="00BF5974" w:rsidRDefault="00BF5974">
            <w:pPr>
              <w:spacing w:line="256" w:lineRule="auto"/>
              <w:jc w:val="right"/>
              <w:rPr>
                <w:b/>
                <w:bCs/>
                <w:sz w:val="20"/>
                <w:szCs w:val="20"/>
                <w:lang w:val="es-ES" w:eastAsia="en-US"/>
              </w:rPr>
            </w:pPr>
            <w:r>
              <w:rPr>
                <w:b/>
                <w:bCs/>
                <w:sz w:val="20"/>
                <w:szCs w:val="20"/>
                <w:lang w:val="es-ES" w:eastAsia="en-US"/>
              </w:rPr>
              <w:t>22,760,557</w:t>
            </w:r>
          </w:p>
        </w:tc>
      </w:tr>
    </w:tbl>
    <w:p w14:paraId="6A98B616" w14:textId="77777777" w:rsidR="00BF5974" w:rsidRDefault="00BF5974" w:rsidP="00BF5974">
      <w:pPr>
        <w:ind w:left="567" w:hanging="567"/>
        <w:rPr>
          <w:rFonts w:cs="Arial"/>
          <w:lang w:val="es-ES"/>
        </w:rPr>
      </w:pPr>
    </w:p>
    <w:p w14:paraId="7F8E50CA" w14:textId="77777777" w:rsidR="00BF5974" w:rsidRDefault="00BF5974" w:rsidP="00BF5974">
      <w:pPr>
        <w:ind w:left="567" w:hanging="567"/>
        <w:rPr>
          <w:rFonts w:cs="Arial"/>
          <w:lang w:val="es-ES"/>
        </w:rPr>
      </w:pPr>
      <w:r>
        <w:rPr>
          <w:rFonts w:cs="Arial"/>
          <w:lang w:val="es-ES"/>
        </w:rPr>
        <w:t>IV.</w:t>
      </w:r>
      <w:r>
        <w:rPr>
          <w:rFonts w:cs="Arial"/>
          <w:lang w:val="es-ES"/>
        </w:rPr>
        <w:tab/>
        <w:t xml:space="preserve">La asignación presupuestaria para el Ejercicio Fiscal 2025 destinada al </w:t>
      </w:r>
      <w:r>
        <w:rPr>
          <w:rFonts w:cs="Arial"/>
          <w:bCs/>
          <w:lang w:val="es-ES"/>
        </w:rPr>
        <w:t xml:space="preserve">Órgano Superior de Auditoría y Fiscalización Gubernamental del Estado, </w:t>
      </w:r>
      <w:r>
        <w:rPr>
          <w:rFonts w:cs="Arial"/>
          <w:lang w:val="es-ES"/>
        </w:rPr>
        <w:t>tendrá la siguiente distribución a nivel de Capítulo de gasto:</w:t>
      </w:r>
    </w:p>
    <w:p w14:paraId="11BE5DAE" w14:textId="77777777" w:rsidR="00BF5974" w:rsidRDefault="00BF5974" w:rsidP="00BF5974">
      <w:pPr>
        <w:keepNext/>
        <w:keepLines/>
        <w:outlineLvl w:val="2"/>
        <w:rPr>
          <w:rFonts w:eastAsia="Times New Roman" w:cs="Arial"/>
          <w:b/>
          <w:szCs w:val="24"/>
          <w:lang w:val="es-ES" w:eastAsia="en-US"/>
        </w:rPr>
      </w:pPr>
    </w:p>
    <w:tbl>
      <w:tblPr>
        <w:tblW w:w="80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5387"/>
        <w:gridCol w:w="1559"/>
      </w:tblGrid>
      <w:tr w:rsidR="00BF5974" w14:paraId="181709B6" w14:textId="77777777" w:rsidTr="00BF5974">
        <w:trPr>
          <w:trHeight w:val="20"/>
          <w:tblHeader/>
          <w:jc w:val="right"/>
        </w:trPr>
        <w:tc>
          <w:tcPr>
            <w:tcW w:w="8080" w:type="dxa"/>
            <w:gridSpan w:val="3"/>
            <w:tcBorders>
              <w:top w:val="nil"/>
              <w:left w:val="nil"/>
              <w:bottom w:val="single" w:sz="4" w:space="0" w:color="auto"/>
              <w:right w:val="nil"/>
            </w:tcBorders>
            <w:vAlign w:val="center"/>
            <w:hideMark/>
          </w:tcPr>
          <w:p w14:paraId="4F1C9F45" w14:textId="77777777" w:rsidR="00BF5974" w:rsidRDefault="00BF5974">
            <w:pPr>
              <w:spacing w:line="256" w:lineRule="auto"/>
              <w:jc w:val="center"/>
              <w:rPr>
                <w:rFonts w:eastAsia="Times New Roman" w:cs="Arial"/>
                <w:b/>
                <w:bCs/>
                <w:sz w:val="20"/>
                <w:lang w:val="es-ES" w:eastAsia="en-US"/>
              </w:rPr>
            </w:pPr>
            <w:bookmarkStart w:id="68" w:name="_Toc22983162"/>
            <w:bookmarkStart w:id="69" w:name="_Toc22021889"/>
            <w:bookmarkStart w:id="70" w:name="_Toc526757451"/>
            <w:bookmarkStart w:id="71" w:name="_Toc522869240"/>
            <w:r>
              <w:rPr>
                <w:rFonts w:eastAsia="Times New Roman" w:cs="Arial"/>
                <w:b/>
                <w:sz w:val="20"/>
                <w:lang w:val="es-ES" w:eastAsia="en-US"/>
              </w:rPr>
              <w:t>Tabla 12. Órgano Superior de Auditoría y Fiscalización Gubernamental del Estado</w:t>
            </w:r>
            <w:r>
              <w:rPr>
                <w:rFonts w:eastAsia="Times New Roman" w:cs="Arial"/>
                <w:b/>
                <w:sz w:val="20"/>
                <w:lang w:val="es-ES" w:eastAsia="en-US"/>
              </w:rPr>
              <w:br/>
              <w:t>(Objeto del Gasto)</w:t>
            </w:r>
            <w:bookmarkEnd w:id="68"/>
            <w:bookmarkEnd w:id="69"/>
            <w:bookmarkEnd w:id="70"/>
            <w:bookmarkEnd w:id="71"/>
          </w:p>
        </w:tc>
      </w:tr>
      <w:tr w:rsidR="00BF5974" w14:paraId="4108977B" w14:textId="77777777" w:rsidTr="00BF5974">
        <w:trPr>
          <w:trHeight w:val="20"/>
          <w:tblHeader/>
          <w:jc w:val="right"/>
        </w:trPr>
        <w:tc>
          <w:tcPr>
            <w:tcW w:w="1134" w:type="dxa"/>
            <w:tcBorders>
              <w:top w:val="single" w:sz="4" w:space="0" w:color="auto"/>
              <w:left w:val="single" w:sz="4" w:space="0" w:color="auto"/>
              <w:bottom w:val="single" w:sz="4" w:space="0" w:color="auto"/>
              <w:right w:val="single" w:sz="4" w:space="0" w:color="auto"/>
            </w:tcBorders>
            <w:vAlign w:val="center"/>
            <w:hideMark/>
          </w:tcPr>
          <w:p w14:paraId="46DC5752" w14:textId="77777777" w:rsidR="00BF5974" w:rsidRDefault="00BF5974">
            <w:pPr>
              <w:spacing w:line="256" w:lineRule="auto"/>
              <w:jc w:val="center"/>
              <w:rPr>
                <w:rFonts w:eastAsia="Times New Roman" w:cs="Arial"/>
                <w:b/>
                <w:bCs/>
                <w:sz w:val="20"/>
                <w:szCs w:val="20"/>
                <w:lang w:val="es-ES" w:eastAsia="en-US"/>
              </w:rPr>
            </w:pPr>
            <w:r>
              <w:rPr>
                <w:rFonts w:eastAsia="Times New Roman" w:cs="Arial"/>
                <w:b/>
                <w:bCs/>
                <w:sz w:val="20"/>
                <w:szCs w:val="20"/>
                <w:lang w:val="es-ES" w:eastAsia="en-US"/>
              </w:rPr>
              <w:t>Capítulo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E0EB437" w14:textId="77777777" w:rsidR="00BF5974" w:rsidRDefault="00BF5974">
            <w:pPr>
              <w:spacing w:line="256" w:lineRule="auto"/>
              <w:jc w:val="center"/>
              <w:rPr>
                <w:rFonts w:eastAsia="Times New Roman" w:cs="Arial"/>
                <w:b/>
                <w:bCs/>
                <w:sz w:val="20"/>
                <w:szCs w:val="20"/>
                <w:lang w:val="es-ES" w:eastAsia="en-US"/>
              </w:rPr>
            </w:pPr>
            <w:r>
              <w:rPr>
                <w:rFonts w:eastAsia="Times New Roman" w:cs="Arial"/>
                <w:b/>
                <w:bCs/>
                <w:sz w:val="20"/>
                <w:szCs w:val="20"/>
                <w:lang w:val="es-ES" w:eastAsia="en-US"/>
              </w:rPr>
              <w:t>Concepto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246A22" w14:textId="77777777" w:rsidR="00BF5974" w:rsidRDefault="00BF5974">
            <w:pPr>
              <w:spacing w:line="256" w:lineRule="auto"/>
              <w:jc w:val="center"/>
              <w:rPr>
                <w:rFonts w:eastAsia="Times New Roman" w:cs="Arial"/>
                <w:b/>
                <w:bCs/>
                <w:sz w:val="20"/>
                <w:szCs w:val="20"/>
                <w:lang w:val="es-ES" w:eastAsia="en-US"/>
              </w:rPr>
            </w:pPr>
            <w:r>
              <w:rPr>
                <w:rFonts w:eastAsia="Times New Roman" w:cs="Arial"/>
                <w:b/>
                <w:bCs/>
                <w:sz w:val="20"/>
                <w:szCs w:val="20"/>
                <w:lang w:val="es-ES" w:eastAsia="en-US"/>
              </w:rPr>
              <w:t>Asignación Presupuestal</w:t>
            </w:r>
          </w:p>
        </w:tc>
      </w:tr>
      <w:tr w:rsidR="00BF5974" w14:paraId="07872C01" w14:textId="77777777" w:rsidTr="00BF5974">
        <w:trPr>
          <w:trHeight w:val="20"/>
          <w:jc w:val="right"/>
        </w:trPr>
        <w:tc>
          <w:tcPr>
            <w:tcW w:w="1134" w:type="dxa"/>
            <w:tcBorders>
              <w:top w:val="single" w:sz="4" w:space="0" w:color="auto"/>
              <w:left w:val="single" w:sz="4" w:space="0" w:color="auto"/>
              <w:bottom w:val="single" w:sz="4" w:space="0" w:color="auto"/>
              <w:right w:val="single" w:sz="4" w:space="0" w:color="auto"/>
            </w:tcBorders>
            <w:hideMark/>
          </w:tcPr>
          <w:p w14:paraId="01A83090" w14:textId="77777777" w:rsidR="00BF5974" w:rsidRDefault="00BF5974">
            <w:pPr>
              <w:spacing w:line="256" w:lineRule="auto"/>
              <w:jc w:val="center"/>
              <w:rPr>
                <w:rFonts w:eastAsia="Times New Roman" w:cs="Arial"/>
                <w:sz w:val="20"/>
                <w:szCs w:val="20"/>
                <w:lang w:val="es-ES" w:eastAsia="en-US"/>
              </w:rPr>
            </w:pPr>
            <w:r>
              <w:rPr>
                <w:sz w:val="20"/>
                <w:szCs w:val="20"/>
                <w:lang w:val="es-ES" w:eastAsia="en-US"/>
              </w:rPr>
              <w:t>010000</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C5BC6DA" w14:textId="77777777" w:rsidR="00BF5974" w:rsidRDefault="00BF5974">
            <w:pPr>
              <w:spacing w:line="256" w:lineRule="auto"/>
              <w:rPr>
                <w:rFonts w:eastAsia="Times New Roman" w:cs="Arial"/>
                <w:sz w:val="20"/>
                <w:szCs w:val="20"/>
                <w:lang w:val="es-ES" w:eastAsia="en-US"/>
              </w:rPr>
            </w:pPr>
            <w:r>
              <w:rPr>
                <w:rFonts w:eastAsia="Times New Roman" w:cs="Arial"/>
                <w:sz w:val="20"/>
                <w:szCs w:val="20"/>
                <w:lang w:val="es-ES" w:eastAsia="en-US"/>
              </w:rPr>
              <w:t>Servicios Personales.</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7E8580F" w14:textId="77777777" w:rsidR="00BF5974" w:rsidRDefault="00BF5974">
            <w:pPr>
              <w:spacing w:line="256" w:lineRule="auto"/>
              <w:jc w:val="right"/>
              <w:rPr>
                <w:rFonts w:eastAsia="Times New Roman" w:cs="Arial"/>
                <w:sz w:val="20"/>
                <w:szCs w:val="20"/>
                <w:lang w:val="es-ES" w:eastAsia="en-US"/>
              </w:rPr>
            </w:pPr>
            <w:r>
              <w:rPr>
                <w:rFonts w:cs="Arial"/>
                <w:color w:val="000000"/>
                <w:sz w:val="20"/>
                <w:szCs w:val="20"/>
                <w:lang w:val="es-ES" w:eastAsia="en-US"/>
              </w:rPr>
              <w:t xml:space="preserve">35,137,071 </w:t>
            </w:r>
          </w:p>
        </w:tc>
      </w:tr>
      <w:tr w:rsidR="00BF5974" w14:paraId="5523F50E" w14:textId="77777777" w:rsidTr="00BF5974">
        <w:trPr>
          <w:trHeight w:val="20"/>
          <w:jc w:val="right"/>
        </w:trPr>
        <w:tc>
          <w:tcPr>
            <w:tcW w:w="1134" w:type="dxa"/>
            <w:tcBorders>
              <w:top w:val="single" w:sz="4" w:space="0" w:color="auto"/>
              <w:left w:val="single" w:sz="4" w:space="0" w:color="auto"/>
              <w:bottom w:val="single" w:sz="4" w:space="0" w:color="auto"/>
              <w:right w:val="single" w:sz="4" w:space="0" w:color="auto"/>
            </w:tcBorders>
            <w:hideMark/>
          </w:tcPr>
          <w:p w14:paraId="67AFD769" w14:textId="77777777" w:rsidR="00BF5974" w:rsidRDefault="00BF5974">
            <w:pPr>
              <w:spacing w:line="256" w:lineRule="auto"/>
              <w:jc w:val="center"/>
              <w:rPr>
                <w:rFonts w:eastAsia="Times New Roman" w:cs="Arial"/>
                <w:sz w:val="20"/>
                <w:szCs w:val="20"/>
                <w:lang w:val="es-ES" w:eastAsia="en-US"/>
              </w:rPr>
            </w:pPr>
            <w:r>
              <w:rPr>
                <w:sz w:val="20"/>
                <w:szCs w:val="20"/>
                <w:lang w:val="es-ES" w:eastAsia="en-US"/>
              </w:rPr>
              <w:t>020000</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FE7C80F" w14:textId="77777777" w:rsidR="00BF5974" w:rsidRDefault="00BF5974">
            <w:pPr>
              <w:spacing w:line="256" w:lineRule="auto"/>
              <w:rPr>
                <w:rFonts w:eastAsia="Times New Roman" w:cs="Arial"/>
                <w:sz w:val="20"/>
                <w:szCs w:val="20"/>
                <w:lang w:val="es-ES" w:eastAsia="en-US"/>
              </w:rPr>
            </w:pPr>
            <w:r>
              <w:rPr>
                <w:rFonts w:eastAsia="Times New Roman" w:cs="Arial"/>
                <w:sz w:val="20"/>
                <w:szCs w:val="20"/>
                <w:lang w:val="es-ES" w:eastAsia="en-US"/>
              </w:rPr>
              <w:t>Materiales y Suministros.</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9F2DD63" w14:textId="77777777" w:rsidR="00BF5974" w:rsidRDefault="00BF5974">
            <w:pPr>
              <w:spacing w:line="256" w:lineRule="auto"/>
              <w:jc w:val="right"/>
              <w:rPr>
                <w:rFonts w:eastAsia="Times New Roman" w:cs="Arial"/>
                <w:sz w:val="20"/>
                <w:szCs w:val="20"/>
                <w:lang w:val="es-ES" w:eastAsia="en-US"/>
              </w:rPr>
            </w:pPr>
            <w:r>
              <w:rPr>
                <w:rFonts w:cs="Arial"/>
                <w:color w:val="000000"/>
                <w:sz w:val="20"/>
                <w:szCs w:val="20"/>
                <w:lang w:val="es-ES" w:eastAsia="en-US"/>
              </w:rPr>
              <w:t xml:space="preserve">649,076 </w:t>
            </w:r>
          </w:p>
        </w:tc>
      </w:tr>
      <w:tr w:rsidR="00BF5974" w14:paraId="2123406E" w14:textId="77777777" w:rsidTr="00BF5974">
        <w:trPr>
          <w:trHeight w:val="20"/>
          <w:jc w:val="right"/>
        </w:trPr>
        <w:tc>
          <w:tcPr>
            <w:tcW w:w="1134" w:type="dxa"/>
            <w:tcBorders>
              <w:top w:val="single" w:sz="4" w:space="0" w:color="auto"/>
              <w:left w:val="single" w:sz="4" w:space="0" w:color="auto"/>
              <w:bottom w:val="single" w:sz="4" w:space="0" w:color="auto"/>
              <w:right w:val="single" w:sz="4" w:space="0" w:color="auto"/>
            </w:tcBorders>
            <w:hideMark/>
          </w:tcPr>
          <w:p w14:paraId="5F7D0EF9" w14:textId="77777777" w:rsidR="00BF5974" w:rsidRDefault="00BF5974">
            <w:pPr>
              <w:spacing w:line="256" w:lineRule="auto"/>
              <w:jc w:val="center"/>
              <w:rPr>
                <w:rFonts w:eastAsia="Times New Roman" w:cs="Arial"/>
                <w:sz w:val="20"/>
                <w:szCs w:val="20"/>
                <w:lang w:val="es-ES" w:eastAsia="en-US"/>
              </w:rPr>
            </w:pPr>
            <w:r>
              <w:rPr>
                <w:sz w:val="20"/>
                <w:szCs w:val="20"/>
                <w:lang w:val="es-ES" w:eastAsia="en-US"/>
              </w:rPr>
              <w:t>030000</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BB44E15" w14:textId="77777777" w:rsidR="00BF5974" w:rsidRDefault="00BF5974">
            <w:pPr>
              <w:spacing w:line="256" w:lineRule="auto"/>
              <w:rPr>
                <w:rFonts w:eastAsia="Times New Roman" w:cs="Arial"/>
                <w:sz w:val="20"/>
                <w:szCs w:val="20"/>
                <w:lang w:val="es-ES" w:eastAsia="en-US"/>
              </w:rPr>
            </w:pPr>
            <w:r>
              <w:rPr>
                <w:rFonts w:eastAsia="Times New Roman" w:cs="Arial"/>
                <w:sz w:val="20"/>
                <w:szCs w:val="20"/>
                <w:lang w:val="es-ES" w:eastAsia="en-US"/>
              </w:rPr>
              <w:t>Servicios Generales.</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F245D7D" w14:textId="77777777" w:rsidR="00BF5974" w:rsidRDefault="00BF5974">
            <w:pPr>
              <w:spacing w:line="256" w:lineRule="auto"/>
              <w:jc w:val="right"/>
              <w:rPr>
                <w:rFonts w:eastAsia="Times New Roman" w:cs="Arial"/>
                <w:sz w:val="20"/>
                <w:szCs w:val="20"/>
                <w:lang w:val="es-ES" w:eastAsia="en-US"/>
              </w:rPr>
            </w:pPr>
            <w:r>
              <w:rPr>
                <w:rFonts w:cs="Arial"/>
                <w:color w:val="000000"/>
                <w:sz w:val="20"/>
                <w:szCs w:val="20"/>
                <w:lang w:val="es-ES" w:eastAsia="en-US"/>
              </w:rPr>
              <w:t xml:space="preserve">1,902,647 </w:t>
            </w:r>
          </w:p>
        </w:tc>
      </w:tr>
      <w:tr w:rsidR="00BF5974" w14:paraId="03112C17" w14:textId="77777777" w:rsidTr="00BF5974">
        <w:trPr>
          <w:trHeight w:val="20"/>
          <w:jc w:val="right"/>
        </w:trPr>
        <w:tc>
          <w:tcPr>
            <w:tcW w:w="1134" w:type="dxa"/>
            <w:tcBorders>
              <w:top w:val="single" w:sz="4" w:space="0" w:color="auto"/>
              <w:left w:val="single" w:sz="4" w:space="0" w:color="auto"/>
              <w:bottom w:val="single" w:sz="4" w:space="0" w:color="auto"/>
              <w:right w:val="single" w:sz="4" w:space="0" w:color="auto"/>
            </w:tcBorders>
            <w:hideMark/>
          </w:tcPr>
          <w:p w14:paraId="606B8264" w14:textId="77777777" w:rsidR="00BF5974" w:rsidRDefault="00BF5974">
            <w:pPr>
              <w:spacing w:line="256" w:lineRule="auto"/>
              <w:jc w:val="center"/>
              <w:rPr>
                <w:rFonts w:eastAsia="Times New Roman" w:cs="Arial"/>
                <w:sz w:val="20"/>
                <w:szCs w:val="20"/>
                <w:lang w:val="es-ES" w:eastAsia="en-US"/>
              </w:rPr>
            </w:pPr>
            <w:r>
              <w:rPr>
                <w:sz w:val="20"/>
                <w:szCs w:val="20"/>
                <w:lang w:val="es-ES" w:eastAsia="en-US"/>
              </w:rPr>
              <w:t>040000</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7762CA5" w14:textId="77777777" w:rsidR="00BF5974" w:rsidRDefault="00BF5974">
            <w:pPr>
              <w:spacing w:line="256" w:lineRule="auto"/>
              <w:rPr>
                <w:rFonts w:eastAsia="Times New Roman" w:cs="Arial"/>
                <w:sz w:val="20"/>
                <w:szCs w:val="20"/>
                <w:lang w:val="es-ES" w:eastAsia="en-US"/>
              </w:rPr>
            </w:pPr>
            <w:r>
              <w:rPr>
                <w:rFonts w:eastAsia="Times New Roman" w:cs="Arial"/>
                <w:sz w:val="20"/>
                <w:szCs w:val="20"/>
                <w:lang w:val="es-ES" w:eastAsia="en-US"/>
              </w:rPr>
              <w:t>Transferencias, Asignaciones, Subsidios y Otras Ayudas.</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B9B6227" w14:textId="77777777" w:rsidR="00BF5974" w:rsidRDefault="00BF5974">
            <w:pPr>
              <w:spacing w:line="256" w:lineRule="auto"/>
              <w:jc w:val="right"/>
              <w:rPr>
                <w:rFonts w:eastAsia="Times New Roman" w:cs="Arial"/>
                <w:sz w:val="20"/>
                <w:szCs w:val="20"/>
                <w:lang w:val="es-ES" w:eastAsia="en-US"/>
              </w:rPr>
            </w:pPr>
            <w:r>
              <w:rPr>
                <w:rFonts w:cs="Arial"/>
                <w:color w:val="000000"/>
                <w:sz w:val="20"/>
                <w:szCs w:val="20"/>
                <w:lang w:val="es-ES" w:eastAsia="en-US"/>
              </w:rPr>
              <w:t xml:space="preserve">6,182,206 </w:t>
            </w:r>
          </w:p>
        </w:tc>
      </w:tr>
      <w:tr w:rsidR="00BF5974" w14:paraId="44143F6F" w14:textId="77777777" w:rsidTr="00BF5974">
        <w:trPr>
          <w:trHeight w:val="20"/>
          <w:jc w:val="right"/>
        </w:trPr>
        <w:tc>
          <w:tcPr>
            <w:tcW w:w="1134" w:type="dxa"/>
            <w:tcBorders>
              <w:top w:val="single" w:sz="4" w:space="0" w:color="auto"/>
              <w:left w:val="single" w:sz="4" w:space="0" w:color="auto"/>
              <w:bottom w:val="single" w:sz="4" w:space="0" w:color="auto"/>
              <w:right w:val="single" w:sz="4" w:space="0" w:color="auto"/>
            </w:tcBorders>
            <w:hideMark/>
          </w:tcPr>
          <w:p w14:paraId="44D5317E" w14:textId="77777777" w:rsidR="00BF5974" w:rsidRDefault="00BF5974">
            <w:pPr>
              <w:spacing w:line="256" w:lineRule="auto"/>
              <w:jc w:val="center"/>
              <w:rPr>
                <w:rFonts w:eastAsia="Times New Roman" w:cs="Arial"/>
                <w:sz w:val="20"/>
                <w:szCs w:val="20"/>
                <w:lang w:val="es-ES" w:eastAsia="en-US"/>
              </w:rPr>
            </w:pPr>
            <w:r>
              <w:rPr>
                <w:sz w:val="20"/>
                <w:szCs w:val="20"/>
                <w:lang w:val="es-ES" w:eastAsia="en-US"/>
              </w:rPr>
              <w:t>050000</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1D87F06" w14:textId="77777777" w:rsidR="00BF5974" w:rsidRDefault="00BF5974">
            <w:pPr>
              <w:spacing w:line="256" w:lineRule="auto"/>
              <w:rPr>
                <w:rFonts w:eastAsia="Times New Roman" w:cs="Arial"/>
                <w:sz w:val="20"/>
                <w:szCs w:val="20"/>
                <w:lang w:val="es-ES" w:eastAsia="en-US"/>
              </w:rPr>
            </w:pPr>
            <w:r>
              <w:rPr>
                <w:rFonts w:eastAsia="Times New Roman" w:cs="Arial"/>
                <w:sz w:val="20"/>
                <w:szCs w:val="20"/>
                <w:lang w:val="es-ES" w:eastAsia="en-US"/>
              </w:rPr>
              <w:t>Bienes Muebles, Inmuebles e Intangibles.</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98DE844" w14:textId="77777777" w:rsidR="00BF5974" w:rsidRDefault="00BF5974">
            <w:pPr>
              <w:spacing w:line="256" w:lineRule="auto"/>
              <w:jc w:val="right"/>
              <w:rPr>
                <w:rFonts w:eastAsia="Times New Roman" w:cs="Arial"/>
                <w:sz w:val="20"/>
                <w:szCs w:val="20"/>
                <w:lang w:val="es-ES" w:eastAsia="en-US"/>
              </w:rPr>
            </w:pPr>
            <w:r>
              <w:rPr>
                <w:rFonts w:cs="Arial"/>
                <w:color w:val="000000"/>
                <w:sz w:val="20"/>
                <w:szCs w:val="20"/>
                <w:lang w:val="es-ES" w:eastAsia="en-US"/>
              </w:rPr>
              <w:t xml:space="preserve">109,000 </w:t>
            </w:r>
          </w:p>
        </w:tc>
      </w:tr>
      <w:tr w:rsidR="00BF5974" w14:paraId="66CB1815" w14:textId="77777777" w:rsidTr="00BF5974">
        <w:trPr>
          <w:trHeight w:val="20"/>
          <w:jc w:val="right"/>
        </w:trPr>
        <w:tc>
          <w:tcPr>
            <w:tcW w:w="1134" w:type="dxa"/>
            <w:tcBorders>
              <w:top w:val="single" w:sz="4" w:space="0" w:color="auto"/>
              <w:left w:val="single" w:sz="4" w:space="0" w:color="auto"/>
              <w:bottom w:val="single" w:sz="4" w:space="0" w:color="auto"/>
              <w:right w:val="single" w:sz="4" w:space="0" w:color="auto"/>
            </w:tcBorders>
            <w:hideMark/>
          </w:tcPr>
          <w:p w14:paraId="57D27125" w14:textId="77777777" w:rsidR="00BF5974" w:rsidRDefault="00BF5974">
            <w:pPr>
              <w:spacing w:line="256" w:lineRule="auto"/>
              <w:jc w:val="center"/>
              <w:rPr>
                <w:sz w:val="20"/>
                <w:szCs w:val="20"/>
                <w:lang w:val="es-ES" w:eastAsia="en-US"/>
              </w:rPr>
            </w:pPr>
            <w:r>
              <w:rPr>
                <w:sz w:val="20"/>
                <w:szCs w:val="20"/>
                <w:lang w:val="es-ES" w:eastAsia="en-US"/>
              </w:rPr>
              <w:t>070000</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F4B80E4" w14:textId="77777777" w:rsidR="00BF5974" w:rsidRDefault="00BF5974">
            <w:pPr>
              <w:spacing w:line="256" w:lineRule="auto"/>
              <w:rPr>
                <w:rFonts w:eastAsia="Times New Roman" w:cs="Arial"/>
                <w:sz w:val="20"/>
                <w:szCs w:val="20"/>
                <w:lang w:val="es-ES" w:eastAsia="en-US"/>
              </w:rPr>
            </w:pPr>
            <w:r>
              <w:rPr>
                <w:sz w:val="20"/>
                <w:szCs w:val="20"/>
                <w:lang w:val="es-ES" w:eastAsia="en-US"/>
              </w:rPr>
              <w:t>Inversiones Financieras y Otras Provisiones.</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E9C8C9C"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 xml:space="preserve">20,000 </w:t>
            </w:r>
          </w:p>
        </w:tc>
      </w:tr>
      <w:tr w:rsidR="00BF5974" w14:paraId="27420F66" w14:textId="77777777" w:rsidTr="00BF5974">
        <w:trPr>
          <w:trHeight w:val="20"/>
          <w:jc w:val="right"/>
        </w:trPr>
        <w:tc>
          <w:tcPr>
            <w:tcW w:w="1134" w:type="dxa"/>
            <w:tcBorders>
              <w:top w:val="single" w:sz="4" w:space="0" w:color="auto"/>
              <w:left w:val="single" w:sz="4" w:space="0" w:color="auto"/>
              <w:bottom w:val="single" w:sz="4" w:space="0" w:color="auto"/>
              <w:right w:val="single" w:sz="4" w:space="0" w:color="auto"/>
            </w:tcBorders>
          </w:tcPr>
          <w:p w14:paraId="1867CE8C" w14:textId="77777777" w:rsidR="00BF5974" w:rsidRDefault="00BF5974">
            <w:pPr>
              <w:spacing w:line="256" w:lineRule="auto"/>
              <w:jc w:val="center"/>
              <w:rPr>
                <w:sz w:val="20"/>
                <w:szCs w:val="20"/>
                <w:lang w:val="es-ES" w:eastAsia="en-US"/>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616BA06E" w14:textId="77777777" w:rsidR="00BF5974" w:rsidRDefault="00BF5974">
            <w:pPr>
              <w:spacing w:line="256" w:lineRule="auto"/>
              <w:jc w:val="center"/>
              <w:rPr>
                <w:b/>
                <w:bCs/>
                <w:sz w:val="20"/>
                <w:szCs w:val="20"/>
                <w:lang w:val="es-ES" w:eastAsia="en-US"/>
              </w:rPr>
            </w:pPr>
            <w:r>
              <w:rPr>
                <w:b/>
                <w:bCs/>
                <w:sz w:val="20"/>
                <w:szCs w:val="20"/>
                <w:lang w:val="es-ES" w:eastAsia="en-US"/>
              </w:rPr>
              <w:t>Total</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8F6986A" w14:textId="77777777" w:rsidR="00BF5974" w:rsidRDefault="00BF5974">
            <w:pPr>
              <w:spacing w:line="256" w:lineRule="auto"/>
              <w:jc w:val="right"/>
              <w:rPr>
                <w:rFonts w:cs="Arial"/>
                <w:b/>
                <w:bCs/>
                <w:sz w:val="20"/>
                <w:szCs w:val="20"/>
                <w:lang w:val="es-ES" w:eastAsia="en-US"/>
              </w:rPr>
            </w:pPr>
            <w:r>
              <w:rPr>
                <w:rFonts w:cs="Arial"/>
                <w:b/>
                <w:bCs/>
                <w:color w:val="000000"/>
                <w:sz w:val="20"/>
                <w:szCs w:val="20"/>
                <w:lang w:val="es-ES" w:eastAsia="en-US"/>
              </w:rPr>
              <w:t xml:space="preserve">44,000,000 </w:t>
            </w:r>
          </w:p>
        </w:tc>
      </w:tr>
    </w:tbl>
    <w:p w14:paraId="66B56E48" w14:textId="77777777" w:rsidR="00BF5974" w:rsidRDefault="00BF5974" w:rsidP="00BF5974">
      <w:pPr>
        <w:ind w:left="567" w:hanging="567"/>
        <w:rPr>
          <w:rFonts w:cs="Arial"/>
          <w:lang w:val="es-ES"/>
        </w:rPr>
      </w:pPr>
      <w:r>
        <w:rPr>
          <w:rFonts w:cs="Arial"/>
          <w:lang w:val="es-ES"/>
        </w:rPr>
        <w:lastRenderedPageBreak/>
        <w:t>V.</w:t>
      </w:r>
      <w:r>
        <w:rPr>
          <w:rFonts w:cs="Arial"/>
          <w:lang w:val="es-ES"/>
        </w:rPr>
        <w:tab/>
        <w:t xml:space="preserve">La asignación presupuestaria para el Ejercicio Fiscal 2025 destinada al </w:t>
      </w:r>
      <w:r>
        <w:rPr>
          <w:rFonts w:cs="Arial"/>
          <w:bCs/>
          <w:lang w:val="es-ES"/>
        </w:rPr>
        <w:t>Tribunal de Arbitraje y Escalafón,</w:t>
      </w:r>
      <w:r>
        <w:rPr>
          <w:rFonts w:cs="Arial"/>
          <w:lang w:val="es-ES"/>
        </w:rPr>
        <w:t xml:space="preserve"> tendrá la siguiente distribución a nivel de Capítulo de gasto:</w:t>
      </w:r>
    </w:p>
    <w:p w14:paraId="5954A289" w14:textId="77777777" w:rsidR="00BF5974" w:rsidRDefault="00BF5974" w:rsidP="00BF5974">
      <w:pPr>
        <w:keepNext/>
        <w:keepLines/>
        <w:outlineLvl w:val="2"/>
        <w:rPr>
          <w:rFonts w:eastAsia="Calibri" w:cs="Arial"/>
          <w:b/>
          <w:szCs w:val="24"/>
          <w:lang w:val="es-ES" w:eastAsia="en-US"/>
        </w:rPr>
      </w:pPr>
    </w:p>
    <w:p w14:paraId="1EEC4E91" w14:textId="77777777" w:rsidR="00BF5974" w:rsidRDefault="00BF5974" w:rsidP="00BF5974">
      <w:pPr>
        <w:jc w:val="center"/>
        <w:rPr>
          <w:rFonts w:eastAsia="Times New Roman" w:cs="Arial"/>
          <w:b/>
          <w:sz w:val="20"/>
          <w:lang w:val="es-ES"/>
        </w:rPr>
      </w:pPr>
      <w:bookmarkStart w:id="72" w:name="_Toc522869241"/>
      <w:bookmarkStart w:id="73" w:name="_Toc526757453"/>
      <w:bookmarkStart w:id="74" w:name="_Toc22021891"/>
      <w:bookmarkStart w:id="75" w:name="_Toc22983164"/>
      <w:r>
        <w:rPr>
          <w:rFonts w:eastAsia="Times New Roman" w:cs="Arial"/>
          <w:b/>
          <w:sz w:val="20"/>
          <w:lang w:val="es-ES"/>
        </w:rPr>
        <w:t>Tabla 13. Tribunal de Arbitraje y Escalafón</w:t>
      </w:r>
      <w:r>
        <w:rPr>
          <w:rFonts w:eastAsia="Times New Roman" w:cs="Arial"/>
          <w:b/>
          <w:sz w:val="20"/>
          <w:lang w:val="es-ES"/>
        </w:rPr>
        <w:br/>
        <w:t>(Objeto del Gasto)</w:t>
      </w:r>
      <w:bookmarkEnd w:id="72"/>
      <w:bookmarkEnd w:id="73"/>
      <w:bookmarkEnd w:id="74"/>
      <w:bookmarkEnd w:id="75"/>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5304"/>
        <w:gridCol w:w="1559"/>
      </w:tblGrid>
      <w:tr w:rsidR="00BF5974" w14:paraId="59A19569" w14:textId="77777777" w:rsidTr="00BF5974">
        <w:trPr>
          <w:trHeight w:val="227"/>
          <w:jc w:val="right"/>
        </w:trPr>
        <w:tc>
          <w:tcPr>
            <w:tcW w:w="1281" w:type="dxa"/>
            <w:tcBorders>
              <w:top w:val="single" w:sz="4" w:space="0" w:color="auto"/>
              <w:left w:val="single" w:sz="4" w:space="0" w:color="auto"/>
              <w:bottom w:val="single" w:sz="4" w:space="0" w:color="auto"/>
              <w:right w:val="single" w:sz="4" w:space="0" w:color="auto"/>
            </w:tcBorders>
            <w:vAlign w:val="center"/>
            <w:hideMark/>
          </w:tcPr>
          <w:p w14:paraId="6A8EE09F" w14:textId="77777777" w:rsidR="00BF5974" w:rsidRDefault="00BF5974">
            <w:pPr>
              <w:spacing w:line="256" w:lineRule="auto"/>
              <w:jc w:val="center"/>
              <w:rPr>
                <w:rFonts w:cs="Arial"/>
                <w:b/>
                <w:bCs/>
                <w:sz w:val="20"/>
                <w:lang w:val="es-ES" w:eastAsia="en-US"/>
              </w:rPr>
            </w:pPr>
            <w:r>
              <w:rPr>
                <w:rFonts w:cs="Arial"/>
                <w:b/>
                <w:bCs/>
                <w:sz w:val="20"/>
                <w:lang w:val="es-ES" w:eastAsia="en-US"/>
              </w:rPr>
              <w:t>Capítulo</w:t>
            </w:r>
          </w:p>
        </w:tc>
        <w:tc>
          <w:tcPr>
            <w:tcW w:w="5304" w:type="dxa"/>
            <w:tcBorders>
              <w:top w:val="single" w:sz="4" w:space="0" w:color="auto"/>
              <w:left w:val="single" w:sz="4" w:space="0" w:color="auto"/>
              <w:bottom w:val="single" w:sz="4" w:space="0" w:color="auto"/>
              <w:right w:val="single" w:sz="4" w:space="0" w:color="auto"/>
            </w:tcBorders>
            <w:vAlign w:val="center"/>
            <w:hideMark/>
          </w:tcPr>
          <w:p w14:paraId="064C2CB3" w14:textId="77777777" w:rsidR="00BF5974" w:rsidRDefault="00BF5974">
            <w:pPr>
              <w:spacing w:line="256" w:lineRule="auto"/>
              <w:jc w:val="center"/>
              <w:rPr>
                <w:rFonts w:cs="Arial"/>
                <w:b/>
                <w:bCs/>
                <w:sz w:val="20"/>
                <w:lang w:val="es-ES" w:eastAsia="en-US"/>
              </w:rPr>
            </w:pPr>
            <w:r>
              <w:rPr>
                <w:rFonts w:cs="Arial"/>
                <w:b/>
                <w:bCs/>
                <w:sz w:val="20"/>
                <w:lang w:val="es-ES" w:eastAsia="en-US"/>
              </w:rPr>
              <w:t>Concepto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5B88F3" w14:textId="77777777" w:rsidR="00BF5974" w:rsidRDefault="00BF5974">
            <w:pPr>
              <w:spacing w:line="256" w:lineRule="auto"/>
              <w:jc w:val="center"/>
              <w:rPr>
                <w:rFonts w:cs="Arial"/>
                <w:b/>
                <w:bCs/>
                <w:sz w:val="20"/>
                <w:lang w:val="es-ES" w:eastAsia="en-US"/>
              </w:rPr>
            </w:pPr>
            <w:r>
              <w:rPr>
                <w:rFonts w:cs="Arial"/>
                <w:b/>
                <w:bCs/>
                <w:sz w:val="20"/>
                <w:lang w:val="es-ES" w:eastAsia="en-US"/>
              </w:rPr>
              <w:t>Asignación Presupuestal</w:t>
            </w:r>
          </w:p>
        </w:tc>
      </w:tr>
      <w:tr w:rsidR="00BF5974" w14:paraId="63F2FC62" w14:textId="77777777" w:rsidTr="00BF5974">
        <w:trPr>
          <w:trHeight w:val="227"/>
          <w:jc w:val="right"/>
        </w:trPr>
        <w:tc>
          <w:tcPr>
            <w:tcW w:w="1281" w:type="dxa"/>
            <w:tcBorders>
              <w:top w:val="single" w:sz="4" w:space="0" w:color="auto"/>
              <w:left w:val="single" w:sz="4" w:space="0" w:color="auto"/>
              <w:bottom w:val="single" w:sz="4" w:space="0" w:color="auto"/>
              <w:right w:val="single" w:sz="4" w:space="0" w:color="auto"/>
            </w:tcBorders>
            <w:hideMark/>
          </w:tcPr>
          <w:p w14:paraId="26EDD3C2" w14:textId="77777777" w:rsidR="00BF5974" w:rsidRDefault="00BF5974">
            <w:pPr>
              <w:spacing w:line="256" w:lineRule="auto"/>
              <w:jc w:val="center"/>
              <w:rPr>
                <w:rFonts w:cs="Arial"/>
                <w:sz w:val="20"/>
                <w:lang w:val="es-ES" w:eastAsia="en-US"/>
              </w:rPr>
            </w:pPr>
            <w:r>
              <w:rPr>
                <w:sz w:val="20"/>
                <w:szCs w:val="20"/>
                <w:lang w:val="es-ES" w:eastAsia="en-US"/>
              </w:rPr>
              <w:t>010000</w:t>
            </w:r>
          </w:p>
        </w:tc>
        <w:tc>
          <w:tcPr>
            <w:tcW w:w="5304" w:type="dxa"/>
            <w:tcBorders>
              <w:top w:val="single" w:sz="4" w:space="0" w:color="auto"/>
              <w:left w:val="single" w:sz="4" w:space="0" w:color="auto"/>
              <w:bottom w:val="single" w:sz="4" w:space="0" w:color="auto"/>
              <w:right w:val="single" w:sz="4" w:space="0" w:color="auto"/>
            </w:tcBorders>
            <w:vAlign w:val="center"/>
            <w:hideMark/>
          </w:tcPr>
          <w:p w14:paraId="0CE18190" w14:textId="77777777" w:rsidR="00BF5974" w:rsidRDefault="00BF5974">
            <w:pPr>
              <w:spacing w:line="256" w:lineRule="auto"/>
              <w:rPr>
                <w:rFonts w:cs="Arial"/>
                <w:sz w:val="20"/>
                <w:lang w:val="es-ES" w:eastAsia="en-US"/>
              </w:rPr>
            </w:pPr>
            <w:r>
              <w:rPr>
                <w:rFonts w:cs="Arial"/>
                <w:sz w:val="20"/>
                <w:lang w:val="es-ES" w:eastAsia="en-US"/>
              </w:rPr>
              <w:t>Servicios Personales.</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2341ABF"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6,794,653</w:t>
            </w:r>
          </w:p>
        </w:tc>
      </w:tr>
      <w:tr w:rsidR="00BF5974" w14:paraId="5871165D" w14:textId="77777777" w:rsidTr="00BF5974">
        <w:trPr>
          <w:trHeight w:val="227"/>
          <w:jc w:val="right"/>
        </w:trPr>
        <w:tc>
          <w:tcPr>
            <w:tcW w:w="1281" w:type="dxa"/>
            <w:tcBorders>
              <w:top w:val="single" w:sz="4" w:space="0" w:color="auto"/>
              <w:left w:val="single" w:sz="4" w:space="0" w:color="auto"/>
              <w:bottom w:val="single" w:sz="4" w:space="0" w:color="auto"/>
              <w:right w:val="single" w:sz="4" w:space="0" w:color="auto"/>
            </w:tcBorders>
            <w:hideMark/>
          </w:tcPr>
          <w:p w14:paraId="7BC92420" w14:textId="77777777" w:rsidR="00BF5974" w:rsidRDefault="00BF5974">
            <w:pPr>
              <w:spacing w:line="256" w:lineRule="auto"/>
              <w:jc w:val="center"/>
              <w:rPr>
                <w:rFonts w:cs="Arial"/>
                <w:sz w:val="20"/>
                <w:lang w:val="es-ES" w:eastAsia="en-US"/>
              </w:rPr>
            </w:pPr>
            <w:r>
              <w:rPr>
                <w:sz w:val="20"/>
                <w:szCs w:val="20"/>
                <w:lang w:val="es-ES" w:eastAsia="en-US"/>
              </w:rPr>
              <w:t>020000</w:t>
            </w:r>
          </w:p>
        </w:tc>
        <w:tc>
          <w:tcPr>
            <w:tcW w:w="5304" w:type="dxa"/>
            <w:tcBorders>
              <w:top w:val="single" w:sz="4" w:space="0" w:color="auto"/>
              <w:left w:val="single" w:sz="4" w:space="0" w:color="auto"/>
              <w:bottom w:val="single" w:sz="4" w:space="0" w:color="auto"/>
              <w:right w:val="single" w:sz="4" w:space="0" w:color="auto"/>
            </w:tcBorders>
            <w:vAlign w:val="center"/>
            <w:hideMark/>
          </w:tcPr>
          <w:p w14:paraId="6E7BC85F" w14:textId="77777777" w:rsidR="00BF5974" w:rsidRDefault="00BF5974">
            <w:pPr>
              <w:spacing w:line="256" w:lineRule="auto"/>
              <w:rPr>
                <w:rFonts w:cs="Arial"/>
                <w:sz w:val="20"/>
                <w:lang w:val="es-ES" w:eastAsia="en-US"/>
              </w:rPr>
            </w:pPr>
            <w:r>
              <w:rPr>
                <w:rFonts w:cs="Arial"/>
                <w:sz w:val="20"/>
                <w:lang w:val="es-ES" w:eastAsia="en-US"/>
              </w:rPr>
              <w:t>Materiales y Suministros.</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DC2E252"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316,800</w:t>
            </w:r>
          </w:p>
        </w:tc>
      </w:tr>
      <w:tr w:rsidR="00BF5974" w14:paraId="6FFA90C8" w14:textId="77777777" w:rsidTr="00BF5974">
        <w:trPr>
          <w:trHeight w:val="227"/>
          <w:jc w:val="right"/>
        </w:trPr>
        <w:tc>
          <w:tcPr>
            <w:tcW w:w="1281" w:type="dxa"/>
            <w:tcBorders>
              <w:top w:val="single" w:sz="4" w:space="0" w:color="auto"/>
              <w:left w:val="single" w:sz="4" w:space="0" w:color="auto"/>
              <w:bottom w:val="single" w:sz="4" w:space="0" w:color="auto"/>
              <w:right w:val="single" w:sz="4" w:space="0" w:color="auto"/>
            </w:tcBorders>
            <w:hideMark/>
          </w:tcPr>
          <w:p w14:paraId="0573DEEE" w14:textId="77777777" w:rsidR="00BF5974" w:rsidRDefault="00BF5974">
            <w:pPr>
              <w:spacing w:line="256" w:lineRule="auto"/>
              <w:jc w:val="center"/>
              <w:rPr>
                <w:rFonts w:cs="Arial"/>
                <w:sz w:val="20"/>
                <w:lang w:val="es-ES" w:eastAsia="en-US"/>
              </w:rPr>
            </w:pPr>
            <w:r>
              <w:rPr>
                <w:sz w:val="20"/>
                <w:szCs w:val="20"/>
                <w:lang w:val="es-ES" w:eastAsia="en-US"/>
              </w:rPr>
              <w:t>030000</w:t>
            </w:r>
          </w:p>
        </w:tc>
        <w:tc>
          <w:tcPr>
            <w:tcW w:w="5304" w:type="dxa"/>
            <w:tcBorders>
              <w:top w:val="single" w:sz="4" w:space="0" w:color="auto"/>
              <w:left w:val="single" w:sz="4" w:space="0" w:color="auto"/>
              <w:bottom w:val="single" w:sz="4" w:space="0" w:color="auto"/>
              <w:right w:val="single" w:sz="4" w:space="0" w:color="auto"/>
            </w:tcBorders>
            <w:vAlign w:val="center"/>
            <w:hideMark/>
          </w:tcPr>
          <w:p w14:paraId="493C0E94" w14:textId="77777777" w:rsidR="00BF5974" w:rsidRDefault="00BF5974">
            <w:pPr>
              <w:spacing w:line="256" w:lineRule="auto"/>
              <w:rPr>
                <w:rFonts w:cs="Arial"/>
                <w:sz w:val="20"/>
                <w:lang w:val="es-ES" w:eastAsia="en-US"/>
              </w:rPr>
            </w:pPr>
            <w:r>
              <w:rPr>
                <w:rFonts w:cs="Arial"/>
                <w:sz w:val="20"/>
                <w:lang w:val="es-ES" w:eastAsia="en-US"/>
              </w:rPr>
              <w:t>Servicios Generales.</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080D7F"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534,096</w:t>
            </w:r>
          </w:p>
        </w:tc>
      </w:tr>
      <w:tr w:rsidR="00BF5974" w14:paraId="03A4B446" w14:textId="77777777" w:rsidTr="00BF5974">
        <w:trPr>
          <w:trHeight w:val="227"/>
          <w:jc w:val="right"/>
        </w:trPr>
        <w:tc>
          <w:tcPr>
            <w:tcW w:w="1281" w:type="dxa"/>
            <w:tcBorders>
              <w:top w:val="single" w:sz="4" w:space="0" w:color="auto"/>
              <w:left w:val="single" w:sz="4" w:space="0" w:color="auto"/>
              <w:bottom w:val="single" w:sz="4" w:space="0" w:color="auto"/>
              <w:right w:val="single" w:sz="4" w:space="0" w:color="auto"/>
            </w:tcBorders>
            <w:hideMark/>
          </w:tcPr>
          <w:p w14:paraId="7A914C14" w14:textId="77777777" w:rsidR="00BF5974" w:rsidRDefault="00BF5974">
            <w:pPr>
              <w:spacing w:line="256" w:lineRule="auto"/>
              <w:jc w:val="center"/>
              <w:rPr>
                <w:rFonts w:cs="Arial"/>
                <w:sz w:val="20"/>
                <w:lang w:val="es-ES" w:eastAsia="en-US"/>
              </w:rPr>
            </w:pPr>
            <w:r>
              <w:rPr>
                <w:sz w:val="20"/>
                <w:szCs w:val="20"/>
                <w:lang w:val="es-ES" w:eastAsia="en-US"/>
              </w:rPr>
              <w:t>040000</w:t>
            </w:r>
          </w:p>
        </w:tc>
        <w:tc>
          <w:tcPr>
            <w:tcW w:w="5304" w:type="dxa"/>
            <w:tcBorders>
              <w:top w:val="single" w:sz="4" w:space="0" w:color="auto"/>
              <w:left w:val="single" w:sz="4" w:space="0" w:color="auto"/>
              <w:bottom w:val="single" w:sz="4" w:space="0" w:color="auto"/>
              <w:right w:val="single" w:sz="4" w:space="0" w:color="auto"/>
            </w:tcBorders>
            <w:vAlign w:val="center"/>
            <w:hideMark/>
          </w:tcPr>
          <w:p w14:paraId="33208C2F" w14:textId="77777777" w:rsidR="00BF5974" w:rsidRDefault="00BF5974">
            <w:pPr>
              <w:spacing w:line="256" w:lineRule="auto"/>
              <w:rPr>
                <w:rFonts w:cs="Arial"/>
                <w:sz w:val="20"/>
                <w:lang w:val="es-ES" w:eastAsia="en-US"/>
              </w:rPr>
            </w:pPr>
            <w:r>
              <w:rPr>
                <w:rFonts w:cs="Arial"/>
                <w:sz w:val="20"/>
                <w:lang w:val="es-ES" w:eastAsia="en-US"/>
              </w:rPr>
              <w:t>Transferencias, Asignaciones, Subsidios y Otras Ayudas.</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2AEB6BA"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958,147</w:t>
            </w:r>
          </w:p>
        </w:tc>
      </w:tr>
      <w:tr w:rsidR="00BF5974" w14:paraId="722FF59B" w14:textId="77777777" w:rsidTr="00BF5974">
        <w:trPr>
          <w:trHeight w:val="227"/>
          <w:jc w:val="right"/>
        </w:trPr>
        <w:tc>
          <w:tcPr>
            <w:tcW w:w="1281" w:type="dxa"/>
            <w:tcBorders>
              <w:top w:val="single" w:sz="4" w:space="0" w:color="auto"/>
              <w:left w:val="single" w:sz="4" w:space="0" w:color="auto"/>
              <w:bottom w:val="single" w:sz="4" w:space="0" w:color="auto"/>
              <w:right w:val="single" w:sz="4" w:space="0" w:color="auto"/>
            </w:tcBorders>
            <w:hideMark/>
          </w:tcPr>
          <w:p w14:paraId="60A48579" w14:textId="77777777" w:rsidR="00BF5974" w:rsidRDefault="00BF5974">
            <w:pPr>
              <w:spacing w:line="256" w:lineRule="auto"/>
              <w:jc w:val="center"/>
              <w:rPr>
                <w:rFonts w:cs="Arial"/>
                <w:sz w:val="20"/>
                <w:lang w:val="es-ES" w:eastAsia="en-US"/>
              </w:rPr>
            </w:pPr>
            <w:r>
              <w:rPr>
                <w:sz w:val="20"/>
                <w:szCs w:val="20"/>
                <w:lang w:val="es-ES" w:eastAsia="en-US"/>
              </w:rPr>
              <w:t>050000</w:t>
            </w:r>
          </w:p>
        </w:tc>
        <w:tc>
          <w:tcPr>
            <w:tcW w:w="5304" w:type="dxa"/>
            <w:tcBorders>
              <w:top w:val="single" w:sz="4" w:space="0" w:color="auto"/>
              <w:left w:val="single" w:sz="4" w:space="0" w:color="auto"/>
              <w:bottom w:val="single" w:sz="4" w:space="0" w:color="auto"/>
              <w:right w:val="single" w:sz="4" w:space="0" w:color="auto"/>
            </w:tcBorders>
            <w:vAlign w:val="center"/>
            <w:hideMark/>
          </w:tcPr>
          <w:p w14:paraId="22A14B97" w14:textId="77777777" w:rsidR="00BF5974" w:rsidRDefault="00BF5974">
            <w:pPr>
              <w:spacing w:line="256" w:lineRule="auto"/>
              <w:rPr>
                <w:rFonts w:cs="Arial"/>
                <w:sz w:val="20"/>
                <w:lang w:val="es-ES" w:eastAsia="en-US"/>
              </w:rPr>
            </w:pPr>
            <w:r>
              <w:rPr>
                <w:rFonts w:cs="Arial"/>
                <w:sz w:val="20"/>
                <w:lang w:val="es-ES" w:eastAsia="en-US"/>
              </w:rPr>
              <w:t>Bienes Muebles, Inmuebles e Intangibles.</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DDA5D7"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49,104</w:t>
            </w:r>
          </w:p>
        </w:tc>
      </w:tr>
      <w:tr w:rsidR="00BF5974" w14:paraId="16205497" w14:textId="77777777" w:rsidTr="00BF5974">
        <w:trPr>
          <w:trHeight w:val="227"/>
          <w:jc w:val="right"/>
        </w:trPr>
        <w:tc>
          <w:tcPr>
            <w:tcW w:w="1281" w:type="dxa"/>
            <w:tcBorders>
              <w:top w:val="single" w:sz="4" w:space="0" w:color="auto"/>
              <w:left w:val="single" w:sz="4" w:space="0" w:color="auto"/>
              <w:bottom w:val="single" w:sz="4" w:space="0" w:color="auto"/>
              <w:right w:val="single" w:sz="4" w:space="0" w:color="auto"/>
            </w:tcBorders>
          </w:tcPr>
          <w:p w14:paraId="34EE269B" w14:textId="77777777" w:rsidR="00BF5974" w:rsidRDefault="00BF5974">
            <w:pPr>
              <w:spacing w:line="256" w:lineRule="auto"/>
              <w:jc w:val="center"/>
              <w:rPr>
                <w:b/>
                <w:bCs/>
                <w:sz w:val="20"/>
                <w:szCs w:val="20"/>
                <w:lang w:val="es-ES" w:eastAsia="en-US"/>
              </w:rPr>
            </w:pPr>
          </w:p>
        </w:tc>
        <w:tc>
          <w:tcPr>
            <w:tcW w:w="5304" w:type="dxa"/>
            <w:tcBorders>
              <w:top w:val="single" w:sz="4" w:space="0" w:color="auto"/>
              <w:left w:val="single" w:sz="4" w:space="0" w:color="auto"/>
              <w:bottom w:val="single" w:sz="4" w:space="0" w:color="auto"/>
              <w:right w:val="single" w:sz="4" w:space="0" w:color="auto"/>
            </w:tcBorders>
            <w:vAlign w:val="center"/>
            <w:hideMark/>
          </w:tcPr>
          <w:p w14:paraId="2F4BE658" w14:textId="77777777" w:rsidR="00BF5974" w:rsidRDefault="00BF5974">
            <w:pPr>
              <w:spacing w:line="256" w:lineRule="auto"/>
              <w:jc w:val="center"/>
              <w:rPr>
                <w:rFonts w:cs="Arial"/>
                <w:b/>
                <w:bCs/>
                <w:sz w:val="20"/>
                <w:lang w:val="es-ES" w:eastAsia="en-US"/>
              </w:rPr>
            </w:pPr>
            <w:r>
              <w:rPr>
                <w:rFonts w:cs="Arial"/>
                <w:b/>
                <w:bCs/>
                <w:sz w:val="20"/>
                <w:lang w:val="es-ES" w:eastAsia="en-US"/>
              </w:rPr>
              <w:t>Total</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DD0963D" w14:textId="77777777" w:rsidR="00BF5974" w:rsidRDefault="00BF5974">
            <w:pPr>
              <w:spacing w:line="256" w:lineRule="auto"/>
              <w:jc w:val="right"/>
              <w:rPr>
                <w:rFonts w:eastAsia="Times New Roman" w:cs="Arial"/>
                <w:b/>
                <w:bCs/>
                <w:color w:val="000000"/>
                <w:sz w:val="20"/>
                <w:szCs w:val="20"/>
                <w:lang w:val="es-ES" w:eastAsia="en-US"/>
              </w:rPr>
            </w:pPr>
            <w:r>
              <w:rPr>
                <w:rFonts w:cs="Arial"/>
                <w:b/>
                <w:bCs/>
                <w:color w:val="000000"/>
                <w:sz w:val="20"/>
                <w:szCs w:val="20"/>
                <w:lang w:val="es-ES" w:eastAsia="en-US"/>
              </w:rPr>
              <w:t>8,652,800</w:t>
            </w:r>
          </w:p>
        </w:tc>
      </w:tr>
    </w:tbl>
    <w:p w14:paraId="7159E1B2" w14:textId="77777777" w:rsidR="00BF5974" w:rsidRDefault="00BF5974" w:rsidP="00BF5974">
      <w:pPr>
        <w:jc w:val="left"/>
        <w:rPr>
          <w:rFonts w:eastAsia="Calibri" w:cs="Arial"/>
          <w:lang w:val="es-ES" w:eastAsia="en-US"/>
        </w:rPr>
      </w:pPr>
    </w:p>
    <w:p w14:paraId="20345663" w14:textId="77777777" w:rsidR="00BF5974" w:rsidRDefault="00BF5974" w:rsidP="00BF5974">
      <w:pPr>
        <w:ind w:left="567" w:hanging="567"/>
        <w:rPr>
          <w:rFonts w:cs="Arial"/>
          <w:lang w:val="es-ES"/>
        </w:rPr>
      </w:pPr>
      <w:r>
        <w:rPr>
          <w:rFonts w:cs="Arial"/>
          <w:lang w:val="es-ES"/>
        </w:rPr>
        <w:t>VI.</w:t>
      </w:r>
      <w:r>
        <w:rPr>
          <w:rFonts w:cs="Arial"/>
          <w:lang w:val="es-ES"/>
        </w:rPr>
        <w:tab/>
        <w:t xml:space="preserve">La asignación presupuestaria para el Ejercicio Fiscal 2025 destinada al </w:t>
      </w:r>
      <w:r>
        <w:rPr>
          <w:rFonts w:cs="Arial"/>
          <w:bCs/>
          <w:lang w:val="es-ES"/>
        </w:rPr>
        <w:t>Tribunal de Justicia de Administrativa del Estado de Colima</w:t>
      </w:r>
      <w:r>
        <w:rPr>
          <w:rFonts w:cs="Arial"/>
          <w:lang w:val="es-ES"/>
        </w:rPr>
        <w:t xml:space="preserve"> es la siguiente:</w:t>
      </w:r>
    </w:p>
    <w:p w14:paraId="12E2DD06" w14:textId="77777777" w:rsidR="00BF5974" w:rsidRDefault="00BF5974" w:rsidP="00BF5974">
      <w:pPr>
        <w:keepNext/>
        <w:keepLines/>
        <w:outlineLvl w:val="2"/>
        <w:rPr>
          <w:rFonts w:eastAsia="Times New Roman" w:cs="Arial"/>
          <w:b/>
          <w:szCs w:val="24"/>
          <w:lang w:val="es-ES" w:eastAsia="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299"/>
        <w:gridCol w:w="1559"/>
      </w:tblGrid>
      <w:tr w:rsidR="00BF5974" w14:paraId="4468A334" w14:textId="77777777" w:rsidTr="00BF5974">
        <w:trPr>
          <w:trHeight w:val="227"/>
          <w:tblHeader/>
          <w:jc w:val="right"/>
        </w:trPr>
        <w:tc>
          <w:tcPr>
            <w:tcW w:w="8133" w:type="dxa"/>
            <w:gridSpan w:val="3"/>
            <w:tcBorders>
              <w:top w:val="nil"/>
              <w:left w:val="nil"/>
              <w:bottom w:val="single" w:sz="4" w:space="0" w:color="auto"/>
              <w:right w:val="nil"/>
            </w:tcBorders>
            <w:vAlign w:val="center"/>
            <w:hideMark/>
          </w:tcPr>
          <w:p w14:paraId="2445E67B" w14:textId="77777777" w:rsidR="00BF5974" w:rsidRDefault="00BF5974">
            <w:pPr>
              <w:spacing w:line="256" w:lineRule="auto"/>
              <w:jc w:val="center"/>
              <w:rPr>
                <w:rFonts w:cs="Arial"/>
                <w:b/>
                <w:bCs/>
                <w:sz w:val="20"/>
                <w:szCs w:val="20"/>
                <w:lang w:val="es-ES" w:eastAsia="en-US"/>
              </w:rPr>
            </w:pPr>
            <w:r>
              <w:rPr>
                <w:rFonts w:cs="Arial"/>
                <w:b/>
                <w:bCs/>
                <w:sz w:val="20"/>
                <w:szCs w:val="20"/>
                <w:lang w:val="es-ES" w:eastAsia="en-US"/>
              </w:rPr>
              <w:t>Tabla 14. Tribunal de Justicia Administrativa del Estado de Colima</w:t>
            </w:r>
          </w:p>
          <w:p w14:paraId="28A7B21C" w14:textId="77777777" w:rsidR="00BF5974" w:rsidRDefault="00BF5974">
            <w:pPr>
              <w:spacing w:line="256" w:lineRule="auto"/>
              <w:jc w:val="center"/>
              <w:rPr>
                <w:rFonts w:cs="Arial"/>
                <w:b/>
                <w:bCs/>
                <w:sz w:val="20"/>
                <w:szCs w:val="20"/>
                <w:lang w:val="es-ES" w:eastAsia="en-US"/>
              </w:rPr>
            </w:pPr>
            <w:r>
              <w:rPr>
                <w:rFonts w:cs="Arial"/>
                <w:b/>
                <w:bCs/>
                <w:sz w:val="20"/>
                <w:szCs w:val="20"/>
                <w:lang w:val="es-ES" w:eastAsia="en-US"/>
              </w:rPr>
              <w:t>(Objeto del Gasto)</w:t>
            </w:r>
          </w:p>
        </w:tc>
      </w:tr>
      <w:tr w:rsidR="00BF5974" w14:paraId="253EB246" w14:textId="77777777" w:rsidTr="00BF5974">
        <w:trPr>
          <w:trHeight w:val="227"/>
          <w:tblHeader/>
          <w:jc w:val="right"/>
        </w:trPr>
        <w:tc>
          <w:tcPr>
            <w:tcW w:w="1275" w:type="dxa"/>
            <w:tcBorders>
              <w:top w:val="single" w:sz="4" w:space="0" w:color="auto"/>
              <w:left w:val="single" w:sz="4" w:space="0" w:color="auto"/>
              <w:bottom w:val="single" w:sz="4" w:space="0" w:color="auto"/>
              <w:right w:val="single" w:sz="4" w:space="0" w:color="auto"/>
            </w:tcBorders>
            <w:vAlign w:val="center"/>
            <w:hideMark/>
          </w:tcPr>
          <w:p w14:paraId="7D49E338" w14:textId="241D37CA" w:rsidR="00BF5974" w:rsidRDefault="00995A02">
            <w:pPr>
              <w:spacing w:line="256" w:lineRule="auto"/>
              <w:jc w:val="center"/>
              <w:rPr>
                <w:rFonts w:cs="Arial"/>
                <w:b/>
                <w:bCs/>
                <w:sz w:val="20"/>
                <w:szCs w:val="20"/>
                <w:lang w:val="es-ES" w:eastAsia="en-US"/>
              </w:rPr>
            </w:pPr>
            <w:r>
              <w:rPr>
                <w:rFonts w:cs="Arial"/>
                <w:b/>
                <w:bCs/>
                <w:sz w:val="16"/>
                <w:szCs w:val="16"/>
                <w:lang w:val="es-ES" w:eastAsia="en-US"/>
              </w:rPr>
              <w:t>Clave</w:t>
            </w:r>
          </w:p>
        </w:tc>
        <w:tc>
          <w:tcPr>
            <w:tcW w:w="5299" w:type="dxa"/>
            <w:tcBorders>
              <w:top w:val="single" w:sz="4" w:space="0" w:color="auto"/>
              <w:left w:val="single" w:sz="4" w:space="0" w:color="auto"/>
              <w:bottom w:val="single" w:sz="4" w:space="0" w:color="auto"/>
              <w:right w:val="single" w:sz="4" w:space="0" w:color="auto"/>
            </w:tcBorders>
            <w:vAlign w:val="center"/>
            <w:hideMark/>
          </w:tcPr>
          <w:p w14:paraId="169ED9AD" w14:textId="77777777" w:rsidR="00BF5974" w:rsidRDefault="00BF5974">
            <w:pPr>
              <w:spacing w:line="256" w:lineRule="auto"/>
              <w:jc w:val="center"/>
              <w:rPr>
                <w:rFonts w:cs="Arial"/>
                <w:b/>
                <w:bCs/>
                <w:sz w:val="20"/>
                <w:szCs w:val="20"/>
                <w:lang w:val="es-ES" w:eastAsia="en-US"/>
              </w:rPr>
            </w:pPr>
            <w:r>
              <w:rPr>
                <w:rFonts w:cs="Arial"/>
                <w:b/>
                <w:bCs/>
                <w:sz w:val="20"/>
                <w:szCs w:val="20"/>
                <w:lang w:val="es-ES" w:eastAsia="en-US"/>
              </w:rPr>
              <w:t>Concepto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117EEA" w14:textId="77777777" w:rsidR="00BF5974" w:rsidRDefault="00BF5974">
            <w:pPr>
              <w:spacing w:line="256" w:lineRule="auto"/>
              <w:jc w:val="center"/>
              <w:rPr>
                <w:rFonts w:cs="Arial"/>
                <w:b/>
                <w:bCs/>
                <w:sz w:val="20"/>
                <w:szCs w:val="20"/>
                <w:lang w:val="es-ES" w:eastAsia="en-US"/>
              </w:rPr>
            </w:pPr>
            <w:r>
              <w:rPr>
                <w:rFonts w:cs="Arial"/>
                <w:b/>
                <w:bCs/>
                <w:sz w:val="20"/>
                <w:szCs w:val="20"/>
                <w:lang w:val="es-ES" w:eastAsia="en-US"/>
              </w:rPr>
              <w:t>Asignación Presupuestal</w:t>
            </w:r>
          </w:p>
        </w:tc>
      </w:tr>
      <w:tr w:rsidR="00BF5974" w14:paraId="1F39FADF" w14:textId="77777777" w:rsidTr="00BF5974">
        <w:trPr>
          <w:trHeight w:val="227"/>
          <w:tblHeader/>
          <w:jc w:val="right"/>
        </w:trPr>
        <w:tc>
          <w:tcPr>
            <w:tcW w:w="1275" w:type="dxa"/>
            <w:tcBorders>
              <w:top w:val="single" w:sz="4" w:space="0" w:color="auto"/>
              <w:left w:val="single" w:sz="4" w:space="0" w:color="auto"/>
              <w:bottom w:val="single" w:sz="4" w:space="0" w:color="auto"/>
              <w:right w:val="single" w:sz="4" w:space="0" w:color="auto"/>
            </w:tcBorders>
            <w:vAlign w:val="center"/>
          </w:tcPr>
          <w:p w14:paraId="7149E40B" w14:textId="29EE48C7" w:rsidR="00BF5974" w:rsidRPr="00995A02" w:rsidRDefault="00995A02">
            <w:pPr>
              <w:spacing w:line="256" w:lineRule="auto"/>
              <w:jc w:val="center"/>
              <w:rPr>
                <w:rFonts w:cs="Arial"/>
                <w:bCs/>
                <w:sz w:val="20"/>
                <w:szCs w:val="20"/>
                <w:lang w:val="es-ES" w:eastAsia="en-US"/>
              </w:rPr>
            </w:pPr>
            <w:r w:rsidRPr="00995A02">
              <w:rPr>
                <w:rFonts w:cs="Arial"/>
                <w:bCs/>
                <w:sz w:val="20"/>
                <w:szCs w:val="20"/>
                <w:lang w:val="es-ES" w:eastAsia="en-US"/>
              </w:rPr>
              <w:t>040104008</w:t>
            </w:r>
          </w:p>
        </w:tc>
        <w:tc>
          <w:tcPr>
            <w:tcW w:w="5299" w:type="dxa"/>
            <w:tcBorders>
              <w:top w:val="single" w:sz="4" w:space="0" w:color="auto"/>
              <w:left w:val="single" w:sz="4" w:space="0" w:color="auto"/>
              <w:bottom w:val="single" w:sz="4" w:space="0" w:color="auto"/>
              <w:right w:val="single" w:sz="4" w:space="0" w:color="auto"/>
            </w:tcBorders>
            <w:vAlign w:val="center"/>
            <w:hideMark/>
          </w:tcPr>
          <w:p w14:paraId="3ABE782D" w14:textId="77777777" w:rsidR="00BF5974" w:rsidRDefault="00BF5974">
            <w:pPr>
              <w:spacing w:line="256" w:lineRule="auto"/>
              <w:jc w:val="left"/>
              <w:rPr>
                <w:rFonts w:cs="Arial"/>
                <w:sz w:val="20"/>
                <w:szCs w:val="20"/>
                <w:lang w:val="es-ES" w:eastAsia="en-US"/>
              </w:rPr>
            </w:pPr>
            <w:r>
              <w:rPr>
                <w:rFonts w:cs="Arial"/>
                <w:sz w:val="20"/>
                <w:szCs w:val="20"/>
                <w:lang w:val="es-ES" w:eastAsia="en-US"/>
              </w:rPr>
              <w:t>Tribunal de Justicia Administrativa del Estado de Colima</w:t>
            </w:r>
          </w:p>
        </w:tc>
        <w:tc>
          <w:tcPr>
            <w:tcW w:w="1559" w:type="dxa"/>
            <w:tcBorders>
              <w:top w:val="single" w:sz="4" w:space="0" w:color="auto"/>
              <w:left w:val="single" w:sz="4" w:space="0" w:color="auto"/>
              <w:bottom w:val="single" w:sz="4" w:space="0" w:color="auto"/>
              <w:right w:val="single" w:sz="4" w:space="0" w:color="auto"/>
            </w:tcBorders>
            <w:hideMark/>
          </w:tcPr>
          <w:p w14:paraId="38152BB1"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27,237,219</w:t>
            </w:r>
          </w:p>
        </w:tc>
      </w:tr>
      <w:tr w:rsidR="00BF5974" w14:paraId="5105230E" w14:textId="77777777" w:rsidTr="00BF5974">
        <w:trPr>
          <w:trHeight w:val="227"/>
          <w:jc w:val="right"/>
        </w:trPr>
        <w:tc>
          <w:tcPr>
            <w:tcW w:w="1275" w:type="dxa"/>
            <w:tcBorders>
              <w:top w:val="single" w:sz="4" w:space="0" w:color="auto"/>
              <w:left w:val="single" w:sz="4" w:space="0" w:color="auto"/>
              <w:bottom w:val="single" w:sz="4" w:space="0" w:color="auto"/>
              <w:right w:val="single" w:sz="4" w:space="0" w:color="auto"/>
            </w:tcBorders>
          </w:tcPr>
          <w:p w14:paraId="0E5A0120" w14:textId="77777777" w:rsidR="00BF5974" w:rsidRDefault="00BF5974">
            <w:pPr>
              <w:spacing w:line="256" w:lineRule="auto"/>
              <w:jc w:val="center"/>
              <w:rPr>
                <w:rFonts w:cs="Arial"/>
                <w:sz w:val="20"/>
                <w:szCs w:val="20"/>
                <w:lang w:val="es-ES" w:eastAsia="en-US"/>
              </w:rPr>
            </w:pPr>
          </w:p>
        </w:tc>
        <w:tc>
          <w:tcPr>
            <w:tcW w:w="5299" w:type="dxa"/>
            <w:tcBorders>
              <w:top w:val="single" w:sz="4" w:space="0" w:color="auto"/>
              <w:left w:val="single" w:sz="4" w:space="0" w:color="auto"/>
              <w:bottom w:val="single" w:sz="4" w:space="0" w:color="auto"/>
              <w:right w:val="single" w:sz="4" w:space="0" w:color="auto"/>
            </w:tcBorders>
            <w:vAlign w:val="center"/>
            <w:hideMark/>
          </w:tcPr>
          <w:p w14:paraId="2DE9E060" w14:textId="77777777" w:rsidR="00BF5974" w:rsidRDefault="00BF5974">
            <w:pPr>
              <w:spacing w:line="256" w:lineRule="auto"/>
              <w:jc w:val="center"/>
              <w:rPr>
                <w:rFonts w:cs="Arial"/>
                <w:b/>
                <w:bCs/>
                <w:sz w:val="20"/>
                <w:szCs w:val="20"/>
                <w:lang w:val="es-ES" w:eastAsia="en-US"/>
              </w:rPr>
            </w:pPr>
            <w:r>
              <w:rPr>
                <w:rFonts w:cs="Arial"/>
                <w:b/>
                <w:bCs/>
                <w:sz w:val="20"/>
                <w:szCs w:val="20"/>
                <w:lang w:val="es-ES" w:eastAsia="en-US"/>
              </w:rPr>
              <w:t>Total</w:t>
            </w:r>
          </w:p>
        </w:tc>
        <w:tc>
          <w:tcPr>
            <w:tcW w:w="1559" w:type="dxa"/>
            <w:tcBorders>
              <w:top w:val="single" w:sz="4" w:space="0" w:color="auto"/>
              <w:left w:val="single" w:sz="4" w:space="0" w:color="auto"/>
              <w:bottom w:val="single" w:sz="4" w:space="0" w:color="auto"/>
              <w:right w:val="single" w:sz="4" w:space="0" w:color="auto"/>
            </w:tcBorders>
            <w:noWrap/>
            <w:hideMark/>
          </w:tcPr>
          <w:p w14:paraId="00517BC0" w14:textId="77777777" w:rsidR="00BF5974" w:rsidRDefault="00BF5974">
            <w:pPr>
              <w:spacing w:line="256" w:lineRule="auto"/>
              <w:jc w:val="right"/>
              <w:rPr>
                <w:rFonts w:cs="Arial"/>
                <w:b/>
                <w:bCs/>
                <w:sz w:val="20"/>
                <w:szCs w:val="20"/>
                <w:lang w:val="es-ES" w:eastAsia="en-US"/>
              </w:rPr>
            </w:pPr>
            <w:r>
              <w:rPr>
                <w:rFonts w:cs="Arial"/>
                <w:b/>
                <w:bCs/>
                <w:color w:val="000000"/>
                <w:sz w:val="20"/>
                <w:szCs w:val="20"/>
                <w:lang w:val="es-ES" w:eastAsia="en-US"/>
              </w:rPr>
              <w:t>27,237,219</w:t>
            </w:r>
          </w:p>
        </w:tc>
      </w:tr>
    </w:tbl>
    <w:p w14:paraId="4D1EB3AB" w14:textId="77777777" w:rsidR="00BF5974" w:rsidRDefault="00BF5974" w:rsidP="00BF5974">
      <w:pPr>
        <w:rPr>
          <w:rFonts w:eastAsia="Times New Roman" w:cs="Arial"/>
        </w:rPr>
      </w:pPr>
      <w:bookmarkStart w:id="76" w:name="_MON_1381432077"/>
      <w:bookmarkStart w:id="77" w:name="_MON_1381432102"/>
      <w:bookmarkStart w:id="78" w:name="_MON_1381432240"/>
      <w:bookmarkStart w:id="79" w:name="_MON_1381432271"/>
      <w:bookmarkStart w:id="80" w:name="_MON_1381432330"/>
      <w:bookmarkStart w:id="81" w:name="_MON_1381432466"/>
      <w:bookmarkStart w:id="82" w:name="_MON_1381432592"/>
      <w:bookmarkStart w:id="83" w:name="_MON_1381432871"/>
      <w:bookmarkStart w:id="84" w:name="_MON_1381432014"/>
      <w:bookmarkStart w:id="85" w:name="_MON_1381432030"/>
      <w:bookmarkStart w:id="86" w:name="_MON_1381432032"/>
      <w:bookmarkEnd w:id="76"/>
      <w:bookmarkEnd w:id="77"/>
      <w:bookmarkEnd w:id="78"/>
      <w:bookmarkEnd w:id="79"/>
      <w:bookmarkEnd w:id="80"/>
      <w:bookmarkEnd w:id="81"/>
      <w:bookmarkEnd w:id="82"/>
      <w:bookmarkEnd w:id="83"/>
      <w:bookmarkEnd w:id="84"/>
      <w:bookmarkEnd w:id="85"/>
      <w:bookmarkEnd w:id="86"/>
    </w:p>
    <w:p w14:paraId="2DDF7858" w14:textId="77777777" w:rsidR="00BF5974" w:rsidRDefault="00BF5974" w:rsidP="00BF5974">
      <w:pPr>
        <w:rPr>
          <w:rFonts w:cs="Arial"/>
          <w:lang w:val="es-ES"/>
        </w:rPr>
      </w:pPr>
      <w:r>
        <w:rPr>
          <w:rFonts w:eastAsia="Times New Roman" w:cs="Arial"/>
        </w:rPr>
        <w:t xml:space="preserve">En el </w:t>
      </w:r>
      <w:r>
        <w:rPr>
          <w:rFonts w:eastAsia="Times New Roman" w:cs="Arial"/>
          <w:b/>
        </w:rPr>
        <w:t xml:space="preserve">Anexo 3 </w:t>
      </w:r>
      <w:bookmarkStart w:id="87" w:name="_Hlk87635131"/>
      <w:r>
        <w:rPr>
          <w:rFonts w:eastAsia="Times New Roman" w:cs="Arial"/>
          <w:bCs/>
        </w:rPr>
        <w:t xml:space="preserve">Clasificación por Objeto del Gasto de los Órganos Autónomos </w:t>
      </w:r>
      <w:bookmarkEnd w:id="87"/>
      <w:r>
        <w:rPr>
          <w:rFonts w:eastAsia="Times New Roman" w:cs="Arial"/>
          <w:bCs/>
        </w:rPr>
        <w:t>Estatales</w:t>
      </w:r>
      <w:r>
        <w:rPr>
          <w:rFonts w:eastAsia="Times New Roman" w:cs="Arial"/>
        </w:rPr>
        <w:t xml:space="preserve"> del presente Decreto, se presentan las asignaciones presupuestales a nivel de Capítulo, Concepto, Partida Genérica y Partida Específica, de cada uno de los Órganos Autónomos del Estado señalados en el presente artículo, </w:t>
      </w:r>
      <w:r>
        <w:rPr>
          <w:rFonts w:cs="Arial"/>
          <w:lang w:val="es-ES"/>
        </w:rPr>
        <w:t xml:space="preserve">organizado de la siguiente manera: </w:t>
      </w:r>
    </w:p>
    <w:p w14:paraId="71189DE9" w14:textId="77777777" w:rsidR="00BF5974" w:rsidRDefault="00BF5974" w:rsidP="00BF5974">
      <w:pPr>
        <w:rPr>
          <w:rFonts w:cs="Arial"/>
          <w:lang w:val="es-ES"/>
        </w:rPr>
      </w:pPr>
    </w:p>
    <w:p w14:paraId="586EDA98" w14:textId="77777777" w:rsidR="00BF5974" w:rsidRPr="00105286" w:rsidRDefault="00BF5974" w:rsidP="00BF5974">
      <w:pPr>
        <w:tabs>
          <w:tab w:val="left" w:pos="1276"/>
        </w:tabs>
        <w:ind w:left="1276" w:hanging="1276"/>
        <w:rPr>
          <w:rFonts w:cs="Arial"/>
          <w:bCs/>
          <w:lang w:val="es-ES"/>
        </w:rPr>
      </w:pPr>
      <w:bookmarkStart w:id="88" w:name="_Hlk87635136"/>
      <w:r w:rsidRPr="00105286">
        <w:rPr>
          <w:rFonts w:cs="Arial"/>
          <w:b/>
          <w:lang w:val="es-ES"/>
        </w:rPr>
        <w:t>Anexo 3.1</w:t>
      </w:r>
      <w:r w:rsidRPr="00105286">
        <w:rPr>
          <w:rFonts w:cs="Arial"/>
          <w:bCs/>
          <w:lang w:val="es-ES"/>
        </w:rPr>
        <w:tab/>
        <w:t>Comisión de Derechos Humanos del Estado de Colima.</w:t>
      </w:r>
    </w:p>
    <w:p w14:paraId="2FC4E93D" w14:textId="77777777" w:rsidR="00BF5974" w:rsidRPr="00105286" w:rsidRDefault="00BF5974" w:rsidP="00BF5974">
      <w:pPr>
        <w:tabs>
          <w:tab w:val="left" w:pos="1276"/>
        </w:tabs>
        <w:ind w:left="1276" w:hanging="1276"/>
        <w:rPr>
          <w:rFonts w:cs="Arial"/>
          <w:bCs/>
          <w:lang w:val="es-ES"/>
        </w:rPr>
      </w:pPr>
      <w:r w:rsidRPr="00105286">
        <w:rPr>
          <w:rFonts w:cs="Arial"/>
          <w:b/>
          <w:lang w:val="es-ES"/>
        </w:rPr>
        <w:t>Anexo 3.2</w:t>
      </w:r>
      <w:r w:rsidRPr="00105286">
        <w:rPr>
          <w:rFonts w:cs="Arial"/>
          <w:bCs/>
          <w:lang w:val="es-ES"/>
        </w:rPr>
        <w:tab/>
      </w:r>
      <w:proofErr w:type="gramStart"/>
      <w:r w:rsidRPr="00105286">
        <w:rPr>
          <w:rFonts w:cs="Arial"/>
          <w:bCs/>
          <w:lang w:val="es-ES"/>
        </w:rPr>
        <w:t>Fiscalía General</w:t>
      </w:r>
      <w:proofErr w:type="gramEnd"/>
      <w:r w:rsidRPr="00105286">
        <w:rPr>
          <w:rFonts w:cs="Arial"/>
          <w:bCs/>
          <w:lang w:val="es-ES"/>
        </w:rPr>
        <w:t xml:space="preserve"> del Estado de Colima.</w:t>
      </w:r>
    </w:p>
    <w:p w14:paraId="303491D8" w14:textId="77777777" w:rsidR="00BF5974" w:rsidRPr="00105286" w:rsidRDefault="00BF5974" w:rsidP="00BF5974">
      <w:pPr>
        <w:tabs>
          <w:tab w:val="left" w:pos="1276"/>
        </w:tabs>
        <w:ind w:left="1276" w:hanging="1276"/>
        <w:rPr>
          <w:rFonts w:cs="Arial"/>
          <w:bCs/>
          <w:lang w:val="es-ES"/>
        </w:rPr>
      </w:pPr>
      <w:r w:rsidRPr="00105286">
        <w:rPr>
          <w:rFonts w:cs="Arial"/>
          <w:b/>
          <w:lang w:val="es-ES"/>
        </w:rPr>
        <w:t>Anexo 3.3</w:t>
      </w:r>
      <w:r w:rsidRPr="00105286">
        <w:rPr>
          <w:rFonts w:cs="Arial"/>
          <w:bCs/>
          <w:lang w:val="es-ES"/>
        </w:rPr>
        <w:tab/>
        <w:t>Instituto de Transparencia, Acceso a la Información Pública y Protección de Datos del Estado de Colima.</w:t>
      </w:r>
    </w:p>
    <w:p w14:paraId="6BCBC649" w14:textId="77777777" w:rsidR="00BF5974" w:rsidRDefault="00BF5974" w:rsidP="00BF5974">
      <w:pPr>
        <w:tabs>
          <w:tab w:val="left" w:pos="1276"/>
        </w:tabs>
        <w:ind w:left="1276" w:hanging="1276"/>
        <w:rPr>
          <w:rFonts w:cs="Arial"/>
          <w:bCs/>
          <w:lang w:val="es-ES"/>
        </w:rPr>
      </w:pPr>
      <w:r w:rsidRPr="00105286">
        <w:rPr>
          <w:rFonts w:cs="Arial"/>
          <w:b/>
          <w:lang w:val="es-ES"/>
        </w:rPr>
        <w:t>Anexo 3.4</w:t>
      </w:r>
      <w:r>
        <w:rPr>
          <w:rFonts w:cs="Arial"/>
          <w:bCs/>
          <w:lang w:val="es-ES"/>
        </w:rPr>
        <w:tab/>
        <w:t>Órgano Superior de Auditoría y Fiscalización Gubernamental del Estado.</w:t>
      </w:r>
    </w:p>
    <w:p w14:paraId="0382CEEA" w14:textId="77777777" w:rsidR="00BF5974" w:rsidRDefault="00BF5974" w:rsidP="00BF5974">
      <w:pPr>
        <w:tabs>
          <w:tab w:val="left" w:pos="1276"/>
        </w:tabs>
        <w:ind w:left="1276" w:hanging="1276"/>
        <w:rPr>
          <w:rFonts w:cs="Arial"/>
          <w:bCs/>
          <w:lang w:val="es-ES"/>
        </w:rPr>
      </w:pPr>
      <w:r w:rsidRPr="00105286">
        <w:rPr>
          <w:rFonts w:cs="Arial"/>
          <w:b/>
          <w:lang w:val="es-ES"/>
        </w:rPr>
        <w:t>Anexo 3.5</w:t>
      </w:r>
      <w:r>
        <w:rPr>
          <w:rFonts w:cs="Arial"/>
          <w:bCs/>
          <w:lang w:val="es-ES"/>
        </w:rPr>
        <w:tab/>
        <w:t>Tribunal de Arbitraje y Escalafón.</w:t>
      </w:r>
    </w:p>
    <w:bookmarkEnd w:id="88"/>
    <w:p w14:paraId="4C48AC2B" w14:textId="78F4B809" w:rsidR="00BF5974" w:rsidRDefault="00BF5974" w:rsidP="00BF5974">
      <w:pPr>
        <w:rPr>
          <w:rFonts w:cs="Arial"/>
          <w:b/>
          <w:lang w:val="es-ES"/>
        </w:rPr>
      </w:pPr>
    </w:p>
    <w:p w14:paraId="5F45173F" w14:textId="77777777" w:rsidR="00105286" w:rsidRDefault="00105286" w:rsidP="00BF5974">
      <w:pPr>
        <w:rPr>
          <w:rFonts w:cs="Arial"/>
          <w:b/>
          <w:lang w:val="es-ES"/>
        </w:rPr>
      </w:pPr>
    </w:p>
    <w:p w14:paraId="1B01BA33" w14:textId="77777777" w:rsidR="00BF5974" w:rsidRDefault="00BF5974" w:rsidP="00BF5974">
      <w:pPr>
        <w:rPr>
          <w:rFonts w:eastAsia="Times New Roman" w:cs="Arial"/>
        </w:rPr>
      </w:pPr>
      <w:r>
        <w:rPr>
          <w:rFonts w:cs="Arial"/>
          <w:b/>
          <w:lang w:val="es-ES"/>
        </w:rPr>
        <w:t>Artículo 20.</w:t>
      </w:r>
      <w:r>
        <w:rPr>
          <w:rFonts w:cs="Arial"/>
          <w:lang w:val="es-ES"/>
        </w:rPr>
        <w:t xml:space="preserve"> La asignación prevista para el </w:t>
      </w:r>
      <w:r>
        <w:rPr>
          <w:rFonts w:cs="Arial"/>
          <w:bCs/>
          <w:lang w:val="es-ES"/>
        </w:rPr>
        <w:t>Poder Legislativo del Estado de Colima</w:t>
      </w:r>
      <w:r>
        <w:rPr>
          <w:rFonts w:cs="Arial"/>
          <w:lang w:val="es-ES"/>
        </w:rPr>
        <w:t xml:space="preserve"> para el Ejercicio Fiscal 2025, </w:t>
      </w:r>
      <w:r>
        <w:rPr>
          <w:rFonts w:eastAsia="Times New Roman" w:cs="Arial"/>
        </w:rPr>
        <w:t>tendrá la siguiente distribución a nivel de Capítulo de gasto:</w:t>
      </w:r>
    </w:p>
    <w:p w14:paraId="2C51026E" w14:textId="77777777" w:rsidR="00BF5974" w:rsidRDefault="00BF5974" w:rsidP="00BF5974">
      <w:pPr>
        <w:keepNext/>
        <w:keepLines/>
        <w:outlineLvl w:val="2"/>
        <w:rPr>
          <w:rFonts w:eastAsia="Times New Roman" w:cs="Arial"/>
          <w:b/>
          <w:szCs w:val="24"/>
          <w:lang w:val="es-ES" w:eastAsia="en-US"/>
        </w:rPr>
      </w:pPr>
    </w:p>
    <w:tbl>
      <w:tblPr>
        <w:tblW w:w="80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5390"/>
        <w:gridCol w:w="1480"/>
      </w:tblGrid>
      <w:tr w:rsidR="00BF5974" w14:paraId="6788DD03" w14:textId="77777777" w:rsidTr="00BF5974">
        <w:trPr>
          <w:trHeight w:val="227"/>
          <w:tblHeader/>
          <w:jc w:val="right"/>
        </w:trPr>
        <w:tc>
          <w:tcPr>
            <w:tcW w:w="8088" w:type="dxa"/>
            <w:gridSpan w:val="3"/>
            <w:tcBorders>
              <w:top w:val="nil"/>
              <w:left w:val="nil"/>
              <w:bottom w:val="single" w:sz="4" w:space="0" w:color="auto"/>
              <w:right w:val="nil"/>
            </w:tcBorders>
            <w:vAlign w:val="center"/>
            <w:hideMark/>
          </w:tcPr>
          <w:p w14:paraId="3AD70FE0" w14:textId="77777777" w:rsidR="00BF5974" w:rsidRDefault="00BF5974">
            <w:pPr>
              <w:spacing w:line="256" w:lineRule="auto"/>
              <w:jc w:val="center"/>
              <w:rPr>
                <w:rFonts w:cs="Arial"/>
                <w:b/>
                <w:bCs/>
                <w:sz w:val="20"/>
                <w:lang w:val="es-ES" w:eastAsia="en-US"/>
              </w:rPr>
            </w:pPr>
            <w:r>
              <w:rPr>
                <w:rFonts w:cs="Arial"/>
                <w:b/>
                <w:sz w:val="20"/>
                <w:lang w:val="es-ES" w:eastAsia="en-US"/>
              </w:rPr>
              <w:t>Tabla 15. Poder Legislativo del Estado de Colima</w:t>
            </w:r>
          </w:p>
        </w:tc>
      </w:tr>
      <w:tr w:rsidR="00BF5974" w14:paraId="58CC64B2" w14:textId="77777777" w:rsidTr="00BF5974">
        <w:trPr>
          <w:trHeight w:val="227"/>
          <w:tblHeader/>
          <w:jc w:val="right"/>
        </w:trPr>
        <w:tc>
          <w:tcPr>
            <w:tcW w:w="1218" w:type="dxa"/>
            <w:tcBorders>
              <w:top w:val="single" w:sz="4" w:space="0" w:color="auto"/>
              <w:left w:val="single" w:sz="4" w:space="0" w:color="auto"/>
              <w:bottom w:val="single" w:sz="4" w:space="0" w:color="auto"/>
              <w:right w:val="single" w:sz="4" w:space="0" w:color="auto"/>
            </w:tcBorders>
            <w:vAlign w:val="center"/>
            <w:hideMark/>
          </w:tcPr>
          <w:p w14:paraId="0893B7BA" w14:textId="77777777" w:rsidR="00BF5974" w:rsidRDefault="00BF5974">
            <w:pPr>
              <w:spacing w:line="256" w:lineRule="auto"/>
              <w:jc w:val="center"/>
              <w:rPr>
                <w:rFonts w:cs="Arial"/>
                <w:b/>
                <w:bCs/>
                <w:sz w:val="16"/>
                <w:szCs w:val="16"/>
                <w:lang w:val="es-ES" w:eastAsia="en-US"/>
              </w:rPr>
            </w:pPr>
            <w:r>
              <w:rPr>
                <w:rFonts w:cs="Arial"/>
                <w:b/>
                <w:bCs/>
                <w:sz w:val="16"/>
                <w:szCs w:val="16"/>
                <w:lang w:val="es-ES" w:eastAsia="en-US"/>
              </w:rPr>
              <w:t>Clave</w:t>
            </w:r>
          </w:p>
        </w:tc>
        <w:tc>
          <w:tcPr>
            <w:tcW w:w="5390" w:type="dxa"/>
            <w:tcBorders>
              <w:top w:val="single" w:sz="4" w:space="0" w:color="auto"/>
              <w:left w:val="single" w:sz="4" w:space="0" w:color="auto"/>
              <w:bottom w:val="single" w:sz="4" w:space="0" w:color="auto"/>
              <w:right w:val="single" w:sz="4" w:space="0" w:color="auto"/>
            </w:tcBorders>
            <w:vAlign w:val="center"/>
            <w:hideMark/>
          </w:tcPr>
          <w:p w14:paraId="25FC02CF" w14:textId="77777777" w:rsidR="00BF5974" w:rsidRDefault="00BF5974">
            <w:pPr>
              <w:spacing w:line="256" w:lineRule="auto"/>
              <w:jc w:val="center"/>
              <w:rPr>
                <w:rFonts w:cs="Arial"/>
                <w:b/>
                <w:bCs/>
                <w:sz w:val="20"/>
                <w:lang w:val="es-ES" w:eastAsia="en-US"/>
              </w:rPr>
            </w:pPr>
            <w:r>
              <w:rPr>
                <w:rFonts w:cs="Arial"/>
                <w:b/>
                <w:bCs/>
                <w:sz w:val="20"/>
                <w:lang w:val="es-ES" w:eastAsia="en-US"/>
              </w:rPr>
              <w:t>Concepto</w:t>
            </w:r>
          </w:p>
        </w:tc>
        <w:tc>
          <w:tcPr>
            <w:tcW w:w="1480" w:type="dxa"/>
            <w:tcBorders>
              <w:top w:val="single" w:sz="4" w:space="0" w:color="auto"/>
              <w:left w:val="single" w:sz="4" w:space="0" w:color="auto"/>
              <w:bottom w:val="single" w:sz="4" w:space="0" w:color="auto"/>
              <w:right w:val="single" w:sz="4" w:space="0" w:color="auto"/>
            </w:tcBorders>
            <w:vAlign w:val="center"/>
            <w:hideMark/>
          </w:tcPr>
          <w:p w14:paraId="5004876E" w14:textId="77777777" w:rsidR="00BF5974" w:rsidRDefault="00BF5974">
            <w:pPr>
              <w:spacing w:line="256" w:lineRule="auto"/>
              <w:jc w:val="center"/>
              <w:rPr>
                <w:rFonts w:cs="Arial"/>
                <w:b/>
                <w:bCs/>
                <w:sz w:val="20"/>
                <w:lang w:val="es-ES" w:eastAsia="en-US"/>
              </w:rPr>
            </w:pPr>
            <w:r>
              <w:rPr>
                <w:rFonts w:cs="Arial"/>
                <w:b/>
                <w:bCs/>
                <w:sz w:val="20"/>
                <w:lang w:val="es-ES" w:eastAsia="en-US"/>
              </w:rPr>
              <w:t>Asignación Presupuestal</w:t>
            </w:r>
          </w:p>
        </w:tc>
      </w:tr>
      <w:tr w:rsidR="00BF5974" w14:paraId="6AED903F" w14:textId="77777777" w:rsidTr="00BF5974">
        <w:trPr>
          <w:trHeight w:val="227"/>
          <w:jc w:val="right"/>
        </w:trPr>
        <w:tc>
          <w:tcPr>
            <w:tcW w:w="1218" w:type="dxa"/>
            <w:tcBorders>
              <w:top w:val="single" w:sz="4" w:space="0" w:color="auto"/>
              <w:left w:val="single" w:sz="4" w:space="0" w:color="auto"/>
              <w:bottom w:val="single" w:sz="4" w:space="0" w:color="auto"/>
              <w:right w:val="single" w:sz="4" w:space="0" w:color="auto"/>
            </w:tcBorders>
            <w:vAlign w:val="center"/>
            <w:hideMark/>
          </w:tcPr>
          <w:p w14:paraId="343FE36C" w14:textId="77777777" w:rsidR="00BF5974" w:rsidRDefault="00BF5974">
            <w:pPr>
              <w:spacing w:line="256" w:lineRule="auto"/>
              <w:jc w:val="center"/>
              <w:rPr>
                <w:rFonts w:cs="Arial"/>
                <w:sz w:val="20"/>
                <w:szCs w:val="20"/>
                <w:lang w:val="es-ES" w:eastAsia="en-US"/>
              </w:rPr>
            </w:pPr>
            <w:r>
              <w:rPr>
                <w:sz w:val="20"/>
                <w:szCs w:val="20"/>
                <w:lang w:val="es-ES" w:eastAsia="en-US"/>
              </w:rPr>
              <w:t>040102001</w:t>
            </w:r>
          </w:p>
        </w:tc>
        <w:tc>
          <w:tcPr>
            <w:tcW w:w="5390" w:type="dxa"/>
            <w:tcBorders>
              <w:top w:val="single" w:sz="4" w:space="0" w:color="auto"/>
              <w:left w:val="single" w:sz="4" w:space="0" w:color="auto"/>
              <w:bottom w:val="single" w:sz="4" w:space="0" w:color="auto"/>
              <w:right w:val="single" w:sz="4" w:space="0" w:color="auto"/>
            </w:tcBorders>
            <w:vAlign w:val="center"/>
            <w:hideMark/>
          </w:tcPr>
          <w:p w14:paraId="12046926" w14:textId="77777777" w:rsidR="00BF5974" w:rsidRDefault="00BF5974">
            <w:pPr>
              <w:spacing w:line="256" w:lineRule="auto"/>
              <w:rPr>
                <w:rFonts w:cs="Arial"/>
                <w:sz w:val="20"/>
                <w:lang w:val="es-ES" w:eastAsia="en-US"/>
              </w:rPr>
            </w:pPr>
            <w:r>
              <w:rPr>
                <w:rFonts w:cs="Arial"/>
                <w:sz w:val="20"/>
                <w:lang w:val="es-ES" w:eastAsia="en-US"/>
              </w:rPr>
              <w:t>H. Congreso del Estado de Colima.</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4E429226"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125,000,000</w:t>
            </w:r>
          </w:p>
        </w:tc>
      </w:tr>
      <w:tr w:rsidR="00BF5974" w14:paraId="01F11E9F" w14:textId="77777777" w:rsidTr="00BF5974">
        <w:trPr>
          <w:trHeight w:val="227"/>
          <w:jc w:val="right"/>
        </w:trPr>
        <w:tc>
          <w:tcPr>
            <w:tcW w:w="1218" w:type="dxa"/>
            <w:tcBorders>
              <w:top w:val="single" w:sz="4" w:space="0" w:color="auto"/>
              <w:left w:val="single" w:sz="4" w:space="0" w:color="auto"/>
              <w:bottom w:val="single" w:sz="4" w:space="0" w:color="auto"/>
              <w:right w:val="single" w:sz="4" w:space="0" w:color="auto"/>
            </w:tcBorders>
            <w:vAlign w:val="center"/>
            <w:hideMark/>
          </w:tcPr>
          <w:p w14:paraId="36C3B5ED" w14:textId="77777777" w:rsidR="00BF5974" w:rsidRDefault="00BF5974">
            <w:pPr>
              <w:spacing w:line="256" w:lineRule="auto"/>
              <w:jc w:val="center"/>
              <w:rPr>
                <w:rFonts w:cs="Arial"/>
                <w:sz w:val="20"/>
                <w:szCs w:val="20"/>
                <w:lang w:val="es-ES" w:eastAsia="en-US"/>
              </w:rPr>
            </w:pPr>
            <w:r>
              <w:rPr>
                <w:sz w:val="20"/>
                <w:szCs w:val="20"/>
                <w:lang w:val="es-ES" w:eastAsia="en-US"/>
              </w:rPr>
              <w:t>040104005</w:t>
            </w:r>
          </w:p>
        </w:tc>
        <w:tc>
          <w:tcPr>
            <w:tcW w:w="5390" w:type="dxa"/>
            <w:tcBorders>
              <w:top w:val="single" w:sz="4" w:space="0" w:color="auto"/>
              <w:left w:val="single" w:sz="4" w:space="0" w:color="auto"/>
              <w:bottom w:val="single" w:sz="4" w:space="0" w:color="auto"/>
              <w:right w:val="single" w:sz="4" w:space="0" w:color="auto"/>
            </w:tcBorders>
            <w:vAlign w:val="center"/>
            <w:hideMark/>
          </w:tcPr>
          <w:p w14:paraId="0D271473" w14:textId="77777777" w:rsidR="00BF5974" w:rsidRDefault="00BF5974">
            <w:pPr>
              <w:spacing w:line="256" w:lineRule="auto"/>
              <w:jc w:val="left"/>
              <w:rPr>
                <w:rFonts w:cs="Arial"/>
                <w:sz w:val="20"/>
                <w:lang w:val="es-ES" w:eastAsia="en-US"/>
              </w:rPr>
            </w:pPr>
            <w:r>
              <w:rPr>
                <w:rFonts w:cs="Arial"/>
                <w:sz w:val="20"/>
                <w:lang w:val="es-ES" w:eastAsia="en-US"/>
              </w:rPr>
              <w:t>Órgano Superior de Auditoría y Fiscalización Gubernamental del Estado.</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2F4840F7"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44,000,000</w:t>
            </w:r>
          </w:p>
        </w:tc>
      </w:tr>
      <w:tr w:rsidR="00BF5974" w14:paraId="4491705B" w14:textId="77777777" w:rsidTr="00BF5974">
        <w:trPr>
          <w:trHeight w:val="227"/>
          <w:jc w:val="right"/>
        </w:trPr>
        <w:tc>
          <w:tcPr>
            <w:tcW w:w="1218" w:type="dxa"/>
            <w:tcBorders>
              <w:top w:val="single" w:sz="4" w:space="0" w:color="auto"/>
              <w:left w:val="single" w:sz="4" w:space="0" w:color="auto"/>
              <w:bottom w:val="single" w:sz="4" w:space="0" w:color="auto"/>
              <w:right w:val="single" w:sz="4" w:space="0" w:color="auto"/>
            </w:tcBorders>
            <w:vAlign w:val="center"/>
          </w:tcPr>
          <w:p w14:paraId="1A3079E7" w14:textId="77777777" w:rsidR="00BF5974" w:rsidRDefault="00BF5974">
            <w:pPr>
              <w:spacing w:line="256" w:lineRule="auto"/>
              <w:jc w:val="center"/>
              <w:rPr>
                <w:rFonts w:cs="Arial"/>
                <w:sz w:val="16"/>
                <w:szCs w:val="16"/>
                <w:lang w:val="es-ES" w:eastAsia="en-US"/>
              </w:rPr>
            </w:pPr>
          </w:p>
        </w:tc>
        <w:tc>
          <w:tcPr>
            <w:tcW w:w="5390" w:type="dxa"/>
            <w:tcBorders>
              <w:top w:val="single" w:sz="4" w:space="0" w:color="auto"/>
              <w:left w:val="single" w:sz="4" w:space="0" w:color="auto"/>
              <w:bottom w:val="single" w:sz="4" w:space="0" w:color="auto"/>
              <w:right w:val="single" w:sz="4" w:space="0" w:color="auto"/>
            </w:tcBorders>
            <w:vAlign w:val="center"/>
            <w:hideMark/>
          </w:tcPr>
          <w:p w14:paraId="50C158FA" w14:textId="77777777" w:rsidR="00BF5974" w:rsidRDefault="00BF5974">
            <w:pPr>
              <w:spacing w:line="256" w:lineRule="auto"/>
              <w:jc w:val="center"/>
              <w:rPr>
                <w:rFonts w:cs="Arial"/>
                <w:b/>
                <w:bCs/>
                <w:sz w:val="20"/>
                <w:lang w:val="es-ES" w:eastAsia="en-US"/>
              </w:rPr>
            </w:pPr>
            <w:r>
              <w:rPr>
                <w:rFonts w:cs="Arial"/>
                <w:b/>
                <w:bCs/>
                <w:sz w:val="20"/>
                <w:lang w:val="es-ES" w:eastAsia="en-US"/>
              </w:rPr>
              <w:t>Total</w:t>
            </w:r>
          </w:p>
        </w:tc>
        <w:tc>
          <w:tcPr>
            <w:tcW w:w="1480" w:type="dxa"/>
            <w:tcBorders>
              <w:top w:val="single" w:sz="4" w:space="0" w:color="auto"/>
              <w:left w:val="single" w:sz="4" w:space="0" w:color="auto"/>
              <w:bottom w:val="single" w:sz="4" w:space="0" w:color="auto"/>
              <w:right w:val="single" w:sz="4" w:space="0" w:color="auto"/>
            </w:tcBorders>
            <w:vAlign w:val="center"/>
            <w:hideMark/>
          </w:tcPr>
          <w:p w14:paraId="247F594C" w14:textId="77777777" w:rsidR="00BF5974" w:rsidRDefault="00BF5974">
            <w:pPr>
              <w:spacing w:line="256" w:lineRule="auto"/>
              <w:jc w:val="right"/>
              <w:rPr>
                <w:rFonts w:cs="Arial"/>
                <w:b/>
                <w:bCs/>
                <w:sz w:val="20"/>
                <w:szCs w:val="20"/>
                <w:lang w:val="es-ES" w:eastAsia="en-US"/>
              </w:rPr>
            </w:pPr>
            <w:r>
              <w:rPr>
                <w:rFonts w:cs="Arial"/>
                <w:b/>
                <w:bCs/>
                <w:color w:val="000000"/>
                <w:sz w:val="20"/>
                <w:szCs w:val="20"/>
                <w:lang w:val="es-ES" w:eastAsia="en-US"/>
              </w:rPr>
              <w:t>169,000,000</w:t>
            </w:r>
          </w:p>
        </w:tc>
      </w:tr>
    </w:tbl>
    <w:p w14:paraId="1A90324C" w14:textId="77777777" w:rsidR="00BF5974" w:rsidRDefault="00BF5974" w:rsidP="00BF5974">
      <w:pPr>
        <w:rPr>
          <w:rFonts w:eastAsia="Times New Roman" w:cs="Aria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5453"/>
        <w:gridCol w:w="1496"/>
      </w:tblGrid>
      <w:tr w:rsidR="00BF5974" w14:paraId="351A5AB1" w14:textId="77777777" w:rsidTr="00BF5974">
        <w:trPr>
          <w:trHeight w:val="227"/>
          <w:tblHeader/>
          <w:jc w:val="right"/>
        </w:trPr>
        <w:tc>
          <w:tcPr>
            <w:tcW w:w="8025" w:type="dxa"/>
            <w:gridSpan w:val="3"/>
            <w:tcBorders>
              <w:top w:val="nil"/>
              <w:left w:val="nil"/>
              <w:bottom w:val="single" w:sz="4" w:space="0" w:color="auto"/>
              <w:right w:val="nil"/>
            </w:tcBorders>
            <w:vAlign w:val="center"/>
            <w:hideMark/>
          </w:tcPr>
          <w:p w14:paraId="28E63BEB" w14:textId="77777777" w:rsidR="00BF5974" w:rsidRDefault="00BF5974">
            <w:pPr>
              <w:spacing w:line="256" w:lineRule="auto"/>
              <w:jc w:val="center"/>
              <w:rPr>
                <w:rFonts w:cs="Arial"/>
                <w:b/>
                <w:sz w:val="20"/>
                <w:szCs w:val="20"/>
                <w:lang w:val="es-ES" w:eastAsia="en-US"/>
              </w:rPr>
            </w:pPr>
            <w:r>
              <w:rPr>
                <w:rFonts w:cs="Arial"/>
                <w:b/>
                <w:sz w:val="20"/>
                <w:szCs w:val="20"/>
                <w:lang w:val="es-ES" w:eastAsia="en-US"/>
              </w:rPr>
              <w:t>Tabla 16. H. Congreso del Estado de Colima</w:t>
            </w:r>
          </w:p>
          <w:p w14:paraId="23956397" w14:textId="77777777" w:rsidR="00BF5974" w:rsidRDefault="00BF5974">
            <w:pPr>
              <w:spacing w:line="256" w:lineRule="auto"/>
              <w:jc w:val="center"/>
              <w:rPr>
                <w:rFonts w:cs="Arial"/>
                <w:b/>
                <w:bCs/>
                <w:sz w:val="20"/>
                <w:szCs w:val="20"/>
                <w:lang w:val="es-ES" w:eastAsia="en-US"/>
              </w:rPr>
            </w:pPr>
            <w:r>
              <w:rPr>
                <w:rFonts w:cs="Arial"/>
                <w:b/>
                <w:bCs/>
                <w:sz w:val="20"/>
                <w:szCs w:val="20"/>
                <w:lang w:val="es-ES" w:eastAsia="en-US"/>
              </w:rPr>
              <w:t>(Objeto del Gasto)</w:t>
            </w:r>
          </w:p>
        </w:tc>
      </w:tr>
      <w:tr w:rsidR="00BF5974" w14:paraId="6B0778BC" w14:textId="77777777" w:rsidTr="00BF5974">
        <w:trPr>
          <w:trHeight w:val="227"/>
          <w:tblHeader/>
          <w:jc w:val="right"/>
        </w:trPr>
        <w:tc>
          <w:tcPr>
            <w:tcW w:w="1076" w:type="dxa"/>
            <w:tcBorders>
              <w:top w:val="single" w:sz="4" w:space="0" w:color="auto"/>
              <w:left w:val="single" w:sz="4" w:space="0" w:color="auto"/>
              <w:bottom w:val="single" w:sz="4" w:space="0" w:color="auto"/>
              <w:right w:val="single" w:sz="4" w:space="0" w:color="auto"/>
            </w:tcBorders>
            <w:vAlign w:val="center"/>
            <w:hideMark/>
          </w:tcPr>
          <w:p w14:paraId="4F16130A" w14:textId="77777777" w:rsidR="00BF5974" w:rsidRDefault="00BF5974">
            <w:pPr>
              <w:spacing w:line="256" w:lineRule="auto"/>
              <w:jc w:val="center"/>
              <w:rPr>
                <w:rFonts w:cs="Arial"/>
                <w:b/>
                <w:bCs/>
                <w:sz w:val="20"/>
                <w:lang w:val="es-ES" w:eastAsia="en-US"/>
              </w:rPr>
            </w:pPr>
            <w:r>
              <w:rPr>
                <w:rFonts w:cs="Arial"/>
                <w:b/>
                <w:bCs/>
                <w:sz w:val="20"/>
                <w:lang w:val="es-ES" w:eastAsia="en-US"/>
              </w:rPr>
              <w:t>Capítulo</w:t>
            </w:r>
          </w:p>
        </w:tc>
        <w:tc>
          <w:tcPr>
            <w:tcW w:w="5453" w:type="dxa"/>
            <w:tcBorders>
              <w:top w:val="single" w:sz="4" w:space="0" w:color="auto"/>
              <w:left w:val="single" w:sz="4" w:space="0" w:color="auto"/>
              <w:bottom w:val="single" w:sz="4" w:space="0" w:color="auto"/>
              <w:right w:val="single" w:sz="4" w:space="0" w:color="auto"/>
            </w:tcBorders>
            <w:vAlign w:val="center"/>
            <w:hideMark/>
          </w:tcPr>
          <w:p w14:paraId="1CE53F33" w14:textId="77777777" w:rsidR="00BF5974" w:rsidRDefault="00BF5974">
            <w:pPr>
              <w:spacing w:line="256" w:lineRule="auto"/>
              <w:jc w:val="center"/>
              <w:rPr>
                <w:rFonts w:cs="Arial"/>
                <w:b/>
                <w:bCs/>
                <w:sz w:val="20"/>
                <w:lang w:val="es-ES" w:eastAsia="en-US"/>
              </w:rPr>
            </w:pPr>
            <w:r>
              <w:rPr>
                <w:rFonts w:cs="Arial"/>
                <w:b/>
                <w:bCs/>
                <w:sz w:val="20"/>
                <w:lang w:val="es-ES" w:eastAsia="en-US"/>
              </w:rPr>
              <w:t>Concepto</w:t>
            </w:r>
          </w:p>
        </w:tc>
        <w:tc>
          <w:tcPr>
            <w:tcW w:w="1496" w:type="dxa"/>
            <w:tcBorders>
              <w:top w:val="single" w:sz="4" w:space="0" w:color="auto"/>
              <w:left w:val="single" w:sz="4" w:space="0" w:color="auto"/>
              <w:bottom w:val="single" w:sz="4" w:space="0" w:color="auto"/>
              <w:right w:val="single" w:sz="4" w:space="0" w:color="auto"/>
            </w:tcBorders>
            <w:vAlign w:val="center"/>
            <w:hideMark/>
          </w:tcPr>
          <w:p w14:paraId="21B655D4" w14:textId="77777777" w:rsidR="00BF5974" w:rsidRDefault="00BF5974">
            <w:pPr>
              <w:spacing w:line="256" w:lineRule="auto"/>
              <w:jc w:val="center"/>
              <w:rPr>
                <w:rFonts w:cs="Arial"/>
                <w:b/>
                <w:bCs/>
                <w:sz w:val="20"/>
                <w:lang w:val="es-ES" w:eastAsia="en-US"/>
              </w:rPr>
            </w:pPr>
            <w:r>
              <w:rPr>
                <w:rFonts w:cs="Arial"/>
                <w:b/>
                <w:bCs/>
                <w:sz w:val="20"/>
                <w:lang w:val="es-ES" w:eastAsia="en-US"/>
              </w:rPr>
              <w:t>Asignación Presupuestal</w:t>
            </w:r>
          </w:p>
        </w:tc>
      </w:tr>
      <w:tr w:rsidR="00BF5974" w14:paraId="6F5B4B53" w14:textId="77777777" w:rsidTr="00BF5974">
        <w:trPr>
          <w:trHeight w:val="227"/>
          <w:jc w:val="right"/>
        </w:trPr>
        <w:tc>
          <w:tcPr>
            <w:tcW w:w="1076" w:type="dxa"/>
            <w:tcBorders>
              <w:top w:val="single" w:sz="4" w:space="0" w:color="auto"/>
              <w:left w:val="single" w:sz="4" w:space="0" w:color="auto"/>
              <w:bottom w:val="single" w:sz="4" w:space="0" w:color="auto"/>
              <w:right w:val="single" w:sz="4" w:space="0" w:color="auto"/>
            </w:tcBorders>
            <w:hideMark/>
          </w:tcPr>
          <w:p w14:paraId="18AFB285" w14:textId="77777777" w:rsidR="00BF5974" w:rsidRDefault="00BF5974">
            <w:pPr>
              <w:spacing w:line="256" w:lineRule="auto"/>
              <w:jc w:val="center"/>
              <w:rPr>
                <w:rFonts w:cs="Arial"/>
                <w:sz w:val="20"/>
                <w:lang w:val="es-ES" w:eastAsia="en-US"/>
              </w:rPr>
            </w:pPr>
            <w:r>
              <w:rPr>
                <w:sz w:val="20"/>
                <w:szCs w:val="20"/>
                <w:lang w:val="es-ES" w:eastAsia="en-US"/>
              </w:rPr>
              <w:t>010000</w:t>
            </w:r>
          </w:p>
        </w:tc>
        <w:tc>
          <w:tcPr>
            <w:tcW w:w="5453" w:type="dxa"/>
            <w:tcBorders>
              <w:top w:val="single" w:sz="4" w:space="0" w:color="auto"/>
              <w:left w:val="single" w:sz="4" w:space="0" w:color="auto"/>
              <w:bottom w:val="single" w:sz="4" w:space="0" w:color="auto"/>
              <w:right w:val="single" w:sz="4" w:space="0" w:color="auto"/>
            </w:tcBorders>
            <w:vAlign w:val="center"/>
            <w:hideMark/>
          </w:tcPr>
          <w:p w14:paraId="27605349" w14:textId="77777777" w:rsidR="00BF5974" w:rsidRDefault="00BF5974">
            <w:pPr>
              <w:spacing w:line="256" w:lineRule="auto"/>
              <w:rPr>
                <w:rFonts w:cs="Arial"/>
                <w:sz w:val="20"/>
                <w:lang w:val="es-ES" w:eastAsia="en-US"/>
              </w:rPr>
            </w:pPr>
            <w:r>
              <w:rPr>
                <w:rFonts w:cs="Arial"/>
                <w:sz w:val="20"/>
                <w:lang w:val="es-ES" w:eastAsia="en-US"/>
              </w:rPr>
              <w:t>Servicios Personales.</w:t>
            </w:r>
          </w:p>
        </w:tc>
        <w:tc>
          <w:tcPr>
            <w:tcW w:w="1496" w:type="dxa"/>
            <w:tcBorders>
              <w:top w:val="single" w:sz="4" w:space="0" w:color="auto"/>
              <w:left w:val="single" w:sz="4" w:space="0" w:color="auto"/>
              <w:bottom w:val="single" w:sz="4" w:space="0" w:color="auto"/>
              <w:right w:val="single" w:sz="4" w:space="0" w:color="auto"/>
            </w:tcBorders>
            <w:noWrap/>
            <w:vAlign w:val="center"/>
            <w:hideMark/>
          </w:tcPr>
          <w:p w14:paraId="3567EF7C"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87,570,284</w:t>
            </w:r>
          </w:p>
        </w:tc>
      </w:tr>
      <w:tr w:rsidR="00BF5974" w14:paraId="7A616E84" w14:textId="77777777" w:rsidTr="00BF5974">
        <w:trPr>
          <w:trHeight w:val="227"/>
          <w:jc w:val="right"/>
        </w:trPr>
        <w:tc>
          <w:tcPr>
            <w:tcW w:w="1076" w:type="dxa"/>
            <w:tcBorders>
              <w:top w:val="single" w:sz="4" w:space="0" w:color="auto"/>
              <w:left w:val="single" w:sz="4" w:space="0" w:color="auto"/>
              <w:bottom w:val="single" w:sz="4" w:space="0" w:color="auto"/>
              <w:right w:val="single" w:sz="4" w:space="0" w:color="auto"/>
            </w:tcBorders>
            <w:hideMark/>
          </w:tcPr>
          <w:p w14:paraId="1C65A2D8" w14:textId="77777777" w:rsidR="00BF5974" w:rsidRDefault="00BF5974">
            <w:pPr>
              <w:spacing w:line="256" w:lineRule="auto"/>
              <w:jc w:val="center"/>
              <w:rPr>
                <w:rFonts w:cs="Arial"/>
                <w:sz w:val="20"/>
                <w:lang w:val="es-ES" w:eastAsia="en-US"/>
              </w:rPr>
            </w:pPr>
            <w:r>
              <w:rPr>
                <w:sz w:val="20"/>
                <w:szCs w:val="20"/>
                <w:lang w:val="es-ES" w:eastAsia="en-US"/>
              </w:rPr>
              <w:t>020000</w:t>
            </w:r>
          </w:p>
        </w:tc>
        <w:tc>
          <w:tcPr>
            <w:tcW w:w="5453" w:type="dxa"/>
            <w:tcBorders>
              <w:top w:val="single" w:sz="4" w:space="0" w:color="auto"/>
              <w:left w:val="single" w:sz="4" w:space="0" w:color="auto"/>
              <w:bottom w:val="single" w:sz="4" w:space="0" w:color="auto"/>
              <w:right w:val="single" w:sz="4" w:space="0" w:color="auto"/>
            </w:tcBorders>
            <w:vAlign w:val="center"/>
            <w:hideMark/>
          </w:tcPr>
          <w:p w14:paraId="0224FD55" w14:textId="77777777" w:rsidR="00BF5974" w:rsidRDefault="00BF5974">
            <w:pPr>
              <w:spacing w:line="256" w:lineRule="auto"/>
              <w:rPr>
                <w:rFonts w:cs="Arial"/>
                <w:sz w:val="20"/>
                <w:lang w:val="es-ES" w:eastAsia="en-US"/>
              </w:rPr>
            </w:pPr>
            <w:r>
              <w:rPr>
                <w:rFonts w:cs="Arial"/>
                <w:sz w:val="20"/>
                <w:lang w:val="es-ES" w:eastAsia="en-US"/>
              </w:rPr>
              <w:t>Materiales y Suministros.</w:t>
            </w:r>
          </w:p>
        </w:tc>
        <w:tc>
          <w:tcPr>
            <w:tcW w:w="1496" w:type="dxa"/>
            <w:tcBorders>
              <w:top w:val="single" w:sz="4" w:space="0" w:color="auto"/>
              <w:left w:val="single" w:sz="4" w:space="0" w:color="auto"/>
              <w:bottom w:val="single" w:sz="4" w:space="0" w:color="auto"/>
              <w:right w:val="single" w:sz="4" w:space="0" w:color="auto"/>
            </w:tcBorders>
            <w:noWrap/>
            <w:vAlign w:val="center"/>
            <w:hideMark/>
          </w:tcPr>
          <w:p w14:paraId="60175695"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1,569,500</w:t>
            </w:r>
          </w:p>
        </w:tc>
      </w:tr>
      <w:tr w:rsidR="00BF5974" w14:paraId="3B756EDA" w14:textId="77777777" w:rsidTr="00BF5974">
        <w:trPr>
          <w:trHeight w:val="227"/>
          <w:jc w:val="right"/>
        </w:trPr>
        <w:tc>
          <w:tcPr>
            <w:tcW w:w="1076" w:type="dxa"/>
            <w:tcBorders>
              <w:top w:val="single" w:sz="4" w:space="0" w:color="auto"/>
              <w:left w:val="single" w:sz="4" w:space="0" w:color="auto"/>
              <w:bottom w:val="single" w:sz="4" w:space="0" w:color="auto"/>
              <w:right w:val="single" w:sz="4" w:space="0" w:color="auto"/>
            </w:tcBorders>
            <w:hideMark/>
          </w:tcPr>
          <w:p w14:paraId="06D9AD60" w14:textId="77777777" w:rsidR="00BF5974" w:rsidRDefault="00BF5974">
            <w:pPr>
              <w:spacing w:line="256" w:lineRule="auto"/>
              <w:jc w:val="center"/>
              <w:rPr>
                <w:rFonts w:cs="Arial"/>
                <w:sz w:val="20"/>
                <w:lang w:val="es-ES" w:eastAsia="en-US"/>
              </w:rPr>
            </w:pPr>
            <w:r>
              <w:rPr>
                <w:sz w:val="20"/>
                <w:szCs w:val="20"/>
                <w:lang w:val="es-ES" w:eastAsia="en-US"/>
              </w:rPr>
              <w:t>030000</w:t>
            </w:r>
          </w:p>
        </w:tc>
        <w:tc>
          <w:tcPr>
            <w:tcW w:w="5453" w:type="dxa"/>
            <w:tcBorders>
              <w:top w:val="single" w:sz="4" w:space="0" w:color="auto"/>
              <w:left w:val="single" w:sz="4" w:space="0" w:color="auto"/>
              <w:bottom w:val="single" w:sz="4" w:space="0" w:color="auto"/>
              <w:right w:val="single" w:sz="4" w:space="0" w:color="auto"/>
            </w:tcBorders>
            <w:vAlign w:val="center"/>
            <w:hideMark/>
          </w:tcPr>
          <w:p w14:paraId="67DCF33F" w14:textId="77777777" w:rsidR="00BF5974" w:rsidRDefault="00BF5974">
            <w:pPr>
              <w:spacing w:line="256" w:lineRule="auto"/>
              <w:rPr>
                <w:rFonts w:cs="Arial"/>
                <w:sz w:val="20"/>
                <w:lang w:val="es-ES" w:eastAsia="en-US"/>
              </w:rPr>
            </w:pPr>
            <w:r>
              <w:rPr>
                <w:rFonts w:cs="Arial"/>
                <w:sz w:val="20"/>
                <w:lang w:val="es-ES" w:eastAsia="en-US"/>
              </w:rPr>
              <w:t>Servicios Generales.</w:t>
            </w:r>
          </w:p>
        </w:tc>
        <w:tc>
          <w:tcPr>
            <w:tcW w:w="1496" w:type="dxa"/>
            <w:tcBorders>
              <w:top w:val="single" w:sz="4" w:space="0" w:color="auto"/>
              <w:left w:val="single" w:sz="4" w:space="0" w:color="auto"/>
              <w:bottom w:val="single" w:sz="4" w:space="0" w:color="auto"/>
              <w:right w:val="single" w:sz="4" w:space="0" w:color="auto"/>
            </w:tcBorders>
            <w:noWrap/>
            <w:vAlign w:val="center"/>
            <w:hideMark/>
          </w:tcPr>
          <w:p w14:paraId="226C9AA5"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8,908,000</w:t>
            </w:r>
          </w:p>
        </w:tc>
      </w:tr>
      <w:tr w:rsidR="00BF5974" w14:paraId="64D89011" w14:textId="77777777" w:rsidTr="00BF5974">
        <w:trPr>
          <w:trHeight w:val="227"/>
          <w:jc w:val="right"/>
        </w:trPr>
        <w:tc>
          <w:tcPr>
            <w:tcW w:w="1076" w:type="dxa"/>
            <w:tcBorders>
              <w:top w:val="single" w:sz="4" w:space="0" w:color="auto"/>
              <w:left w:val="single" w:sz="4" w:space="0" w:color="auto"/>
              <w:bottom w:val="single" w:sz="4" w:space="0" w:color="auto"/>
              <w:right w:val="single" w:sz="4" w:space="0" w:color="auto"/>
            </w:tcBorders>
            <w:hideMark/>
          </w:tcPr>
          <w:p w14:paraId="232A82E7" w14:textId="77777777" w:rsidR="00BF5974" w:rsidRDefault="00BF5974">
            <w:pPr>
              <w:spacing w:line="256" w:lineRule="auto"/>
              <w:jc w:val="center"/>
              <w:rPr>
                <w:rFonts w:cs="Arial"/>
                <w:sz w:val="20"/>
                <w:lang w:val="es-ES" w:eastAsia="en-US"/>
              </w:rPr>
            </w:pPr>
            <w:r>
              <w:rPr>
                <w:sz w:val="20"/>
                <w:szCs w:val="20"/>
                <w:lang w:val="es-ES" w:eastAsia="en-US"/>
              </w:rPr>
              <w:t>040000</w:t>
            </w:r>
          </w:p>
        </w:tc>
        <w:tc>
          <w:tcPr>
            <w:tcW w:w="5453" w:type="dxa"/>
            <w:tcBorders>
              <w:top w:val="single" w:sz="4" w:space="0" w:color="auto"/>
              <w:left w:val="single" w:sz="4" w:space="0" w:color="auto"/>
              <w:bottom w:val="single" w:sz="4" w:space="0" w:color="auto"/>
              <w:right w:val="single" w:sz="4" w:space="0" w:color="auto"/>
            </w:tcBorders>
            <w:vAlign w:val="center"/>
            <w:hideMark/>
          </w:tcPr>
          <w:p w14:paraId="30ECAC5D" w14:textId="77777777" w:rsidR="00BF5974" w:rsidRDefault="00BF5974">
            <w:pPr>
              <w:spacing w:line="256" w:lineRule="auto"/>
              <w:rPr>
                <w:rFonts w:cs="Arial"/>
                <w:sz w:val="20"/>
                <w:lang w:val="es-ES" w:eastAsia="en-US"/>
              </w:rPr>
            </w:pPr>
            <w:r>
              <w:rPr>
                <w:rFonts w:cs="Arial"/>
                <w:sz w:val="20"/>
                <w:lang w:val="es-ES" w:eastAsia="en-US"/>
              </w:rPr>
              <w:t>Transferencias, Asignaciones, Subsidios y Otras Ayudas.</w:t>
            </w:r>
          </w:p>
        </w:tc>
        <w:tc>
          <w:tcPr>
            <w:tcW w:w="1496" w:type="dxa"/>
            <w:tcBorders>
              <w:top w:val="single" w:sz="4" w:space="0" w:color="auto"/>
              <w:left w:val="single" w:sz="4" w:space="0" w:color="auto"/>
              <w:bottom w:val="single" w:sz="4" w:space="0" w:color="auto"/>
              <w:right w:val="single" w:sz="4" w:space="0" w:color="auto"/>
            </w:tcBorders>
            <w:noWrap/>
            <w:vAlign w:val="center"/>
            <w:hideMark/>
          </w:tcPr>
          <w:p w14:paraId="029D3A77"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26,794,716</w:t>
            </w:r>
          </w:p>
        </w:tc>
      </w:tr>
      <w:tr w:rsidR="00BF5974" w14:paraId="55C2F581" w14:textId="77777777" w:rsidTr="00BF5974">
        <w:trPr>
          <w:trHeight w:val="227"/>
          <w:jc w:val="right"/>
        </w:trPr>
        <w:tc>
          <w:tcPr>
            <w:tcW w:w="1076" w:type="dxa"/>
            <w:tcBorders>
              <w:top w:val="single" w:sz="4" w:space="0" w:color="auto"/>
              <w:left w:val="single" w:sz="4" w:space="0" w:color="auto"/>
              <w:bottom w:val="single" w:sz="4" w:space="0" w:color="auto"/>
              <w:right w:val="single" w:sz="4" w:space="0" w:color="auto"/>
            </w:tcBorders>
            <w:hideMark/>
          </w:tcPr>
          <w:p w14:paraId="631BB5CA" w14:textId="77777777" w:rsidR="00BF5974" w:rsidRDefault="00BF5974">
            <w:pPr>
              <w:spacing w:line="256" w:lineRule="auto"/>
              <w:jc w:val="center"/>
              <w:rPr>
                <w:rFonts w:cs="Arial"/>
                <w:sz w:val="20"/>
                <w:lang w:val="es-ES" w:eastAsia="en-US"/>
              </w:rPr>
            </w:pPr>
            <w:r>
              <w:rPr>
                <w:sz w:val="20"/>
                <w:szCs w:val="20"/>
                <w:lang w:val="es-ES" w:eastAsia="en-US"/>
              </w:rPr>
              <w:t>050000</w:t>
            </w:r>
          </w:p>
        </w:tc>
        <w:tc>
          <w:tcPr>
            <w:tcW w:w="5453" w:type="dxa"/>
            <w:tcBorders>
              <w:top w:val="single" w:sz="4" w:space="0" w:color="auto"/>
              <w:left w:val="single" w:sz="4" w:space="0" w:color="auto"/>
              <w:bottom w:val="single" w:sz="4" w:space="0" w:color="auto"/>
              <w:right w:val="single" w:sz="4" w:space="0" w:color="auto"/>
            </w:tcBorders>
            <w:vAlign w:val="center"/>
            <w:hideMark/>
          </w:tcPr>
          <w:p w14:paraId="391A0084" w14:textId="77777777" w:rsidR="00BF5974" w:rsidRDefault="00BF5974">
            <w:pPr>
              <w:spacing w:line="256" w:lineRule="auto"/>
              <w:rPr>
                <w:rFonts w:cs="Arial"/>
                <w:sz w:val="20"/>
                <w:lang w:val="es-ES" w:eastAsia="en-US"/>
              </w:rPr>
            </w:pPr>
            <w:r>
              <w:rPr>
                <w:rFonts w:cs="Arial"/>
                <w:sz w:val="20"/>
                <w:lang w:val="es-ES" w:eastAsia="en-US"/>
              </w:rPr>
              <w:t>Bienes Muebles, Inmuebles e Intangibles.</w:t>
            </w:r>
          </w:p>
        </w:tc>
        <w:tc>
          <w:tcPr>
            <w:tcW w:w="1496" w:type="dxa"/>
            <w:tcBorders>
              <w:top w:val="single" w:sz="4" w:space="0" w:color="auto"/>
              <w:left w:val="single" w:sz="4" w:space="0" w:color="auto"/>
              <w:bottom w:val="single" w:sz="4" w:space="0" w:color="auto"/>
              <w:right w:val="single" w:sz="4" w:space="0" w:color="auto"/>
            </w:tcBorders>
            <w:noWrap/>
            <w:vAlign w:val="center"/>
            <w:hideMark/>
          </w:tcPr>
          <w:p w14:paraId="3592A4A4"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157,500</w:t>
            </w:r>
          </w:p>
        </w:tc>
      </w:tr>
      <w:tr w:rsidR="00BF5974" w14:paraId="6714C062" w14:textId="77777777" w:rsidTr="00BF5974">
        <w:trPr>
          <w:trHeight w:val="227"/>
          <w:jc w:val="right"/>
        </w:trPr>
        <w:tc>
          <w:tcPr>
            <w:tcW w:w="1076" w:type="dxa"/>
            <w:tcBorders>
              <w:top w:val="single" w:sz="4" w:space="0" w:color="auto"/>
              <w:left w:val="single" w:sz="4" w:space="0" w:color="auto"/>
              <w:bottom w:val="single" w:sz="4" w:space="0" w:color="auto"/>
              <w:right w:val="single" w:sz="4" w:space="0" w:color="auto"/>
            </w:tcBorders>
            <w:vAlign w:val="center"/>
            <w:hideMark/>
          </w:tcPr>
          <w:p w14:paraId="33512C1B" w14:textId="77777777" w:rsidR="00BF5974" w:rsidRDefault="00BF5974">
            <w:pPr>
              <w:rPr>
                <w:rFonts w:cs="Arial"/>
                <w:sz w:val="20"/>
                <w:szCs w:val="20"/>
                <w:lang w:val="es-ES" w:eastAsia="en-US"/>
              </w:rPr>
            </w:pPr>
          </w:p>
        </w:tc>
        <w:tc>
          <w:tcPr>
            <w:tcW w:w="5453" w:type="dxa"/>
            <w:tcBorders>
              <w:top w:val="single" w:sz="4" w:space="0" w:color="auto"/>
              <w:left w:val="single" w:sz="4" w:space="0" w:color="auto"/>
              <w:bottom w:val="single" w:sz="4" w:space="0" w:color="auto"/>
              <w:right w:val="single" w:sz="4" w:space="0" w:color="auto"/>
            </w:tcBorders>
            <w:vAlign w:val="center"/>
            <w:hideMark/>
          </w:tcPr>
          <w:p w14:paraId="4C15E445" w14:textId="77777777" w:rsidR="00BF5974" w:rsidRDefault="00BF5974">
            <w:pPr>
              <w:spacing w:line="256" w:lineRule="auto"/>
              <w:jc w:val="center"/>
              <w:rPr>
                <w:rFonts w:cs="Arial"/>
                <w:b/>
                <w:bCs/>
                <w:sz w:val="20"/>
                <w:lang w:val="es-ES" w:eastAsia="en-US"/>
              </w:rPr>
            </w:pPr>
            <w:r>
              <w:rPr>
                <w:rFonts w:cs="Arial"/>
                <w:b/>
                <w:bCs/>
                <w:sz w:val="20"/>
                <w:lang w:val="es-ES" w:eastAsia="en-US"/>
              </w:rPr>
              <w:t>Total</w:t>
            </w:r>
          </w:p>
        </w:tc>
        <w:tc>
          <w:tcPr>
            <w:tcW w:w="1496" w:type="dxa"/>
            <w:tcBorders>
              <w:top w:val="single" w:sz="4" w:space="0" w:color="auto"/>
              <w:left w:val="single" w:sz="4" w:space="0" w:color="auto"/>
              <w:bottom w:val="single" w:sz="4" w:space="0" w:color="auto"/>
              <w:right w:val="single" w:sz="4" w:space="0" w:color="auto"/>
            </w:tcBorders>
            <w:vAlign w:val="center"/>
            <w:hideMark/>
          </w:tcPr>
          <w:p w14:paraId="7EE30A72" w14:textId="77777777" w:rsidR="00BF5974" w:rsidRDefault="00BF5974">
            <w:pPr>
              <w:spacing w:line="256" w:lineRule="auto"/>
              <w:ind w:left="708" w:hanging="708"/>
              <w:jc w:val="right"/>
              <w:rPr>
                <w:rFonts w:cs="Arial"/>
                <w:b/>
                <w:bCs/>
                <w:sz w:val="20"/>
                <w:lang w:val="es-ES" w:eastAsia="en-US"/>
              </w:rPr>
            </w:pPr>
            <w:r>
              <w:rPr>
                <w:rFonts w:cs="Arial"/>
                <w:b/>
                <w:bCs/>
                <w:color w:val="000000"/>
                <w:sz w:val="20"/>
                <w:szCs w:val="20"/>
                <w:lang w:val="es-ES" w:eastAsia="en-US"/>
              </w:rPr>
              <w:t>125,000,000</w:t>
            </w:r>
          </w:p>
        </w:tc>
      </w:tr>
    </w:tbl>
    <w:p w14:paraId="22254AF1" w14:textId="77777777" w:rsidR="00BF5974" w:rsidRDefault="00BF5974" w:rsidP="00BF5974">
      <w:pPr>
        <w:keepNext/>
        <w:keepLines/>
        <w:jc w:val="center"/>
        <w:outlineLvl w:val="1"/>
        <w:rPr>
          <w:rFonts w:eastAsia="Times New Roman" w:cs="Arial"/>
          <w:b/>
          <w:lang w:val="es-ES"/>
        </w:rPr>
      </w:pPr>
    </w:p>
    <w:p w14:paraId="0BB8C324" w14:textId="77777777" w:rsidR="00BF5974" w:rsidRDefault="00BF5974" w:rsidP="00BF5974">
      <w:pPr>
        <w:rPr>
          <w:rFonts w:cs="Arial"/>
          <w:lang w:val="es-ES"/>
        </w:rPr>
      </w:pPr>
      <w:r>
        <w:rPr>
          <w:rFonts w:cs="Arial"/>
        </w:rPr>
        <w:t xml:space="preserve">En el </w:t>
      </w:r>
      <w:bookmarkStart w:id="89" w:name="_Hlk180921681"/>
      <w:r>
        <w:rPr>
          <w:rFonts w:cs="Arial"/>
          <w:b/>
          <w:lang w:val="es-ES"/>
        </w:rPr>
        <w:t xml:space="preserve">Anexo </w:t>
      </w:r>
      <w:bookmarkStart w:id="90" w:name="_Hlk180423807"/>
      <w:r>
        <w:rPr>
          <w:rFonts w:cs="Arial"/>
          <w:b/>
          <w:lang w:val="es-ES"/>
        </w:rPr>
        <w:t xml:space="preserve">4 Clasificación por Objeto del Gasto del H. Congreso del Estado </w:t>
      </w:r>
      <w:bookmarkEnd w:id="89"/>
      <w:bookmarkEnd w:id="90"/>
      <w:r>
        <w:rPr>
          <w:rFonts w:cs="Arial"/>
          <w:lang w:val="es-ES"/>
        </w:rPr>
        <w:t>del presente Decreto, se detallan las asignaciones presupuestales al Poder Legislativo, de acuerdo a la Clasificación por Objeto del Gasto a nivel de Capítulo, Concepto, Partida Genérica y Partida Específica.</w:t>
      </w:r>
    </w:p>
    <w:p w14:paraId="4A22E969" w14:textId="77777777" w:rsidR="00BF5974" w:rsidRDefault="00BF5974" w:rsidP="00BF5974">
      <w:pPr>
        <w:rPr>
          <w:rFonts w:cs="Arial"/>
          <w:lang w:val="es-ES"/>
        </w:rPr>
      </w:pPr>
    </w:p>
    <w:p w14:paraId="386136DD" w14:textId="77777777" w:rsidR="00BF5974" w:rsidRDefault="00BF5974" w:rsidP="00BF5974">
      <w:pPr>
        <w:rPr>
          <w:rFonts w:cs="Arial"/>
          <w:lang w:val="es-ES"/>
        </w:rPr>
      </w:pPr>
      <w:r>
        <w:rPr>
          <w:rFonts w:cs="Arial"/>
          <w:b/>
          <w:lang w:val="es-ES"/>
        </w:rPr>
        <w:t>Artículo 21</w:t>
      </w:r>
      <w:r>
        <w:rPr>
          <w:rFonts w:cs="Arial"/>
          <w:lang w:val="es-ES"/>
        </w:rPr>
        <w:t xml:space="preserve">. La asignación prevista para el </w:t>
      </w:r>
      <w:r>
        <w:rPr>
          <w:rFonts w:cs="Arial"/>
          <w:bCs/>
          <w:lang w:val="es-ES"/>
        </w:rPr>
        <w:t>Poder Judicial del Estado</w:t>
      </w:r>
      <w:r>
        <w:rPr>
          <w:rFonts w:cs="Arial"/>
          <w:lang w:val="es-ES"/>
        </w:rPr>
        <w:t xml:space="preserve"> para el Ejercicio Fiscal 2025, </w:t>
      </w:r>
      <w:r>
        <w:rPr>
          <w:rFonts w:eastAsia="Times New Roman" w:cs="Arial"/>
        </w:rPr>
        <w:t>tendrá la siguiente distribución a nivel de Capítulo de gasto:</w:t>
      </w:r>
    </w:p>
    <w:p w14:paraId="04828E56" w14:textId="77777777" w:rsidR="00BF5974" w:rsidRDefault="00BF5974" w:rsidP="00BF5974">
      <w:pPr>
        <w:keepNext/>
        <w:keepLines/>
        <w:outlineLvl w:val="2"/>
        <w:rPr>
          <w:rFonts w:eastAsia="Times New Roman" w:cs="Arial"/>
          <w:b/>
          <w:szCs w:val="24"/>
          <w:lang w:val="es-ES" w:eastAsia="en-US"/>
        </w:rPr>
      </w:pPr>
    </w:p>
    <w:p w14:paraId="1F9B28C0" w14:textId="77777777" w:rsidR="00BF5974" w:rsidRDefault="00BF5974" w:rsidP="00BF5974">
      <w:pPr>
        <w:jc w:val="center"/>
        <w:rPr>
          <w:rFonts w:eastAsia="Times New Roman" w:cs="Arial"/>
          <w:b/>
          <w:sz w:val="20"/>
          <w:lang w:val="es-ES"/>
        </w:rPr>
      </w:pPr>
      <w:bookmarkStart w:id="91" w:name="_Toc522869251"/>
      <w:bookmarkStart w:id="92" w:name="_Toc526757462"/>
      <w:bookmarkStart w:id="93" w:name="_Toc22021896"/>
      <w:bookmarkStart w:id="94" w:name="_Toc22983167"/>
      <w:r>
        <w:rPr>
          <w:rFonts w:eastAsia="Times New Roman" w:cs="Arial"/>
          <w:b/>
          <w:sz w:val="20"/>
          <w:lang w:val="es-ES"/>
        </w:rPr>
        <w:t xml:space="preserve">Tabla 17. Poder Judicial del Estado </w:t>
      </w:r>
      <w:r>
        <w:rPr>
          <w:rFonts w:eastAsia="Times New Roman" w:cs="Arial"/>
          <w:b/>
          <w:sz w:val="20"/>
          <w:lang w:val="es-ES"/>
        </w:rPr>
        <w:br/>
        <w:t>(Objeto del Gasto)</w:t>
      </w:r>
      <w:bookmarkEnd w:id="91"/>
      <w:bookmarkEnd w:id="92"/>
      <w:bookmarkEnd w:id="93"/>
      <w:bookmarkEnd w:id="94"/>
    </w:p>
    <w:tbl>
      <w:tblPr>
        <w:tblW w:w="819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94"/>
        <w:gridCol w:w="1520"/>
      </w:tblGrid>
      <w:tr w:rsidR="00BF5974" w14:paraId="30B5425C" w14:textId="77777777" w:rsidTr="00BF5974">
        <w:trPr>
          <w:trHeight w:val="20"/>
          <w:jc w:val="right"/>
        </w:trPr>
        <w:tc>
          <w:tcPr>
            <w:tcW w:w="1276" w:type="dxa"/>
            <w:tcBorders>
              <w:top w:val="single" w:sz="4" w:space="0" w:color="auto"/>
              <w:left w:val="single" w:sz="4" w:space="0" w:color="auto"/>
              <w:bottom w:val="single" w:sz="4" w:space="0" w:color="auto"/>
              <w:right w:val="single" w:sz="4" w:space="0" w:color="auto"/>
            </w:tcBorders>
            <w:vAlign w:val="center"/>
            <w:hideMark/>
          </w:tcPr>
          <w:p w14:paraId="1E77075F" w14:textId="77777777" w:rsidR="00BF5974" w:rsidRDefault="00BF5974">
            <w:pPr>
              <w:spacing w:line="256" w:lineRule="auto"/>
              <w:jc w:val="center"/>
              <w:rPr>
                <w:rFonts w:cs="Arial"/>
                <w:b/>
                <w:bCs/>
                <w:sz w:val="20"/>
                <w:lang w:val="es-ES" w:eastAsia="en-US"/>
              </w:rPr>
            </w:pPr>
            <w:r>
              <w:rPr>
                <w:rFonts w:cs="Arial"/>
                <w:b/>
                <w:bCs/>
                <w:sz w:val="20"/>
                <w:lang w:val="es-ES" w:eastAsia="en-US"/>
              </w:rPr>
              <w:t>Capítulo</w:t>
            </w:r>
          </w:p>
        </w:tc>
        <w:tc>
          <w:tcPr>
            <w:tcW w:w="5391" w:type="dxa"/>
            <w:tcBorders>
              <w:top w:val="single" w:sz="4" w:space="0" w:color="auto"/>
              <w:left w:val="single" w:sz="4" w:space="0" w:color="auto"/>
              <w:bottom w:val="single" w:sz="4" w:space="0" w:color="auto"/>
              <w:right w:val="single" w:sz="4" w:space="0" w:color="auto"/>
            </w:tcBorders>
            <w:vAlign w:val="center"/>
            <w:hideMark/>
          </w:tcPr>
          <w:p w14:paraId="57629523" w14:textId="77777777" w:rsidR="00BF5974" w:rsidRDefault="00BF5974">
            <w:pPr>
              <w:spacing w:line="256" w:lineRule="auto"/>
              <w:jc w:val="center"/>
              <w:rPr>
                <w:rFonts w:cs="Arial"/>
                <w:b/>
                <w:bCs/>
                <w:sz w:val="20"/>
                <w:lang w:val="es-ES" w:eastAsia="en-US"/>
              </w:rPr>
            </w:pPr>
            <w:r>
              <w:rPr>
                <w:rFonts w:cs="Arial"/>
                <w:b/>
                <w:bCs/>
                <w:sz w:val="20"/>
                <w:lang w:val="es-ES" w:eastAsia="en-US"/>
              </w:rPr>
              <w:t>Concepto</w:t>
            </w:r>
          </w:p>
        </w:tc>
        <w:tc>
          <w:tcPr>
            <w:tcW w:w="1519" w:type="dxa"/>
            <w:tcBorders>
              <w:top w:val="single" w:sz="4" w:space="0" w:color="auto"/>
              <w:left w:val="single" w:sz="4" w:space="0" w:color="auto"/>
              <w:bottom w:val="single" w:sz="4" w:space="0" w:color="auto"/>
              <w:right w:val="single" w:sz="4" w:space="0" w:color="auto"/>
            </w:tcBorders>
            <w:vAlign w:val="center"/>
            <w:hideMark/>
          </w:tcPr>
          <w:p w14:paraId="7C004072" w14:textId="77777777" w:rsidR="00BF5974" w:rsidRDefault="00BF5974">
            <w:pPr>
              <w:spacing w:line="256" w:lineRule="auto"/>
              <w:jc w:val="center"/>
              <w:rPr>
                <w:rFonts w:cs="Arial"/>
                <w:b/>
                <w:bCs/>
                <w:sz w:val="20"/>
                <w:lang w:val="es-ES" w:eastAsia="en-US"/>
              </w:rPr>
            </w:pPr>
            <w:r>
              <w:rPr>
                <w:rFonts w:cs="Arial"/>
                <w:b/>
                <w:bCs/>
                <w:sz w:val="20"/>
                <w:lang w:val="es-ES" w:eastAsia="en-US"/>
              </w:rPr>
              <w:t>Asignación Presupuestal</w:t>
            </w:r>
          </w:p>
        </w:tc>
      </w:tr>
      <w:tr w:rsidR="00BF5974" w14:paraId="0BB23144" w14:textId="77777777" w:rsidTr="00BF5974">
        <w:trPr>
          <w:trHeight w:val="20"/>
          <w:jc w:val="right"/>
        </w:trPr>
        <w:tc>
          <w:tcPr>
            <w:tcW w:w="1276" w:type="dxa"/>
            <w:tcBorders>
              <w:top w:val="single" w:sz="4" w:space="0" w:color="auto"/>
              <w:left w:val="single" w:sz="4" w:space="0" w:color="auto"/>
              <w:bottom w:val="single" w:sz="4" w:space="0" w:color="auto"/>
              <w:right w:val="single" w:sz="4" w:space="0" w:color="auto"/>
            </w:tcBorders>
            <w:hideMark/>
          </w:tcPr>
          <w:p w14:paraId="34BFA175" w14:textId="77777777" w:rsidR="00BF5974" w:rsidRDefault="00BF5974">
            <w:pPr>
              <w:spacing w:line="256" w:lineRule="auto"/>
              <w:jc w:val="center"/>
              <w:rPr>
                <w:rFonts w:cs="Arial"/>
                <w:sz w:val="20"/>
                <w:lang w:val="es-ES" w:eastAsia="en-US"/>
              </w:rPr>
            </w:pPr>
            <w:r>
              <w:rPr>
                <w:sz w:val="20"/>
                <w:szCs w:val="20"/>
                <w:lang w:val="es-ES" w:eastAsia="en-US"/>
              </w:rPr>
              <w:t>010000000</w:t>
            </w:r>
          </w:p>
        </w:tc>
        <w:tc>
          <w:tcPr>
            <w:tcW w:w="5391" w:type="dxa"/>
            <w:tcBorders>
              <w:top w:val="single" w:sz="4" w:space="0" w:color="auto"/>
              <w:left w:val="single" w:sz="4" w:space="0" w:color="auto"/>
              <w:bottom w:val="single" w:sz="4" w:space="0" w:color="auto"/>
              <w:right w:val="single" w:sz="4" w:space="0" w:color="auto"/>
            </w:tcBorders>
            <w:vAlign w:val="center"/>
            <w:hideMark/>
          </w:tcPr>
          <w:p w14:paraId="36A1DDC5" w14:textId="77777777" w:rsidR="00BF5974" w:rsidRDefault="00BF5974">
            <w:pPr>
              <w:spacing w:line="256" w:lineRule="auto"/>
              <w:rPr>
                <w:rFonts w:cs="Arial"/>
                <w:sz w:val="20"/>
                <w:lang w:val="es-ES" w:eastAsia="en-US"/>
              </w:rPr>
            </w:pPr>
            <w:r>
              <w:rPr>
                <w:rFonts w:cs="Arial"/>
                <w:sz w:val="20"/>
                <w:lang w:val="es-ES" w:eastAsia="en-US"/>
              </w:rPr>
              <w:t>Servicios Personales.</w:t>
            </w:r>
          </w:p>
        </w:tc>
        <w:tc>
          <w:tcPr>
            <w:tcW w:w="1519" w:type="dxa"/>
            <w:tcBorders>
              <w:top w:val="single" w:sz="4" w:space="0" w:color="auto"/>
              <w:left w:val="single" w:sz="4" w:space="0" w:color="auto"/>
              <w:bottom w:val="single" w:sz="4" w:space="0" w:color="auto"/>
              <w:right w:val="single" w:sz="4" w:space="0" w:color="auto"/>
            </w:tcBorders>
            <w:noWrap/>
            <w:vAlign w:val="center"/>
            <w:hideMark/>
          </w:tcPr>
          <w:p w14:paraId="7AC5A75A"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183,956,310</w:t>
            </w:r>
          </w:p>
        </w:tc>
      </w:tr>
      <w:tr w:rsidR="00BF5974" w14:paraId="171D9499" w14:textId="77777777" w:rsidTr="00BF5974">
        <w:trPr>
          <w:trHeight w:val="20"/>
          <w:jc w:val="right"/>
        </w:trPr>
        <w:tc>
          <w:tcPr>
            <w:tcW w:w="1276" w:type="dxa"/>
            <w:tcBorders>
              <w:top w:val="single" w:sz="4" w:space="0" w:color="auto"/>
              <w:left w:val="single" w:sz="4" w:space="0" w:color="auto"/>
              <w:bottom w:val="single" w:sz="4" w:space="0" w:color="auto"/>
              <w:right w:val="single" w:sz="4" w:space="0" w:color="auto"/>
            </w:tcBorders>
            <w:hideMark/>
          </w:tcPr>
          <w:p w14:paraId="4E18C40F" w14:textId="77777777" w:rsidR="00BF5974" w:rsidRDefault="00BF5974">
            <w:pPr>
              <w:spacing w:line="256" w:lineRule="auto"/>
              <w:jc w:val="center"/>
              <w:rPr>
                <w:rFonts w:cs="Arial"/>
                <w:sz w:val="20"/>
                <w:lang w:val="es-ES" w:eastAsia="en-US"/>
              </w:rPr>
            </w:pPr>
            <w:r>
              <w:rPr>
                <w:sz w:val="20"/>
                <w:szCs w:val="20"/>
                <w:lang w:val="es-ES" w:eastAsia="en-US"/>
              </w:rPr>
              <w:t>020000000</w:t>
            </w:r>
          </w:p>
        </w:tc>
        <w:tc>
          <w:tcPr>
            <w:tcW w:w="5391" w:type="dxa"/>
            <w:tcBorders>
              <w:top w:val="single" w:sz="4" w:space="0" w:color="auto"/>
              <w:left w:val="single" w:sz="4" w:space="0" w:color="auto"/>
              <w:bottom w:val="single" w:sz="4" w:space="0" w:color="auto"/>
              <w:right w:val="single" w:sz="4" w:space="0" w:color="auto"/>
            </w:tcBorders>
            <w:vAlign w:val="center"/>
            <w:hideMark/>
          </w:tcPr>
          <w:p w14:paraId="272662CB" w14:textId="77777777" w:rsidR="00BF5974" w:rsidRDefault="00BF5974">
            <w:pPr>
              <w:spacing w:line="256" w:lineRule="auto"/>
              <w:rPr>
                <w:rFonts w:cs="Arial"/>
                <w:sz w:val="20"/>
                <w:lang w:val="es-ES" w:eastAsia="en-US"/>
              </w:rPr>
            </w:pPr>
            <w:r>
              <w:rPr>
                <w:rFonts w:cs="Arial"/>
                <w:sz w:val="20"/>
                <w:lang w:val="es-ES" w:eastAsia="en-US"/>
              </w:rPr>
              <w:t>Materiales y Suministros.</w:t>
            </w:r>
          </w:p>
        </w:tc>
        <w:tc>
          <w:tcPr>
            <w:tcW w:w="1519" w:type="dxa"/>
            <w:tcBorders>
              <w:top w:val="single" w:sz="4" w:space="0" w:color="auto"/>
              <w:left w:val="single" w:sz="4" w:space="0" w:color="auto"/>
              <w:bottom w:val="single" w:sz="4" w:space="0" w:color="auto"/>
              <w:right w:val="single" w:sz="4" w:space="0" w:color="auto"/>
            </w:tcBorders>
            <w:noWrap/>
            <w:vAlign w:val="center"/>
            <w:hideMark/>
          </w:tcPr>
          <w:p w14:paraId="06A8DC71"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8,481,720</w:t>
            </w:r>
          </w:p>
        </w:tc>
      </w:tr>
      <w:tr w:rsidR="00BF5974" w14:paraId="391220CD" w14:textId="77777777" w:rsidTr="00BF5974">
        <w:trPr>
          <w:trHeight w:val="20"/>
          <w:jc w:val="right"/>
        </w:trPr>
        <w:tc>
          <w:tcPr>
            <w:tcW w:w="1276" w:type="dxa"/>
            <w:tcBorders>
              <w:top w:val="single" w:sz="4" w:space="0" w:color="auto"/>
              <w:left w:val="single" w:sz="4" w:space="0" w:color="auto"/>
              <w:bottom w:val="single" w:sz="4" w:space="0" w:color="auto"/>
              <w:right w:val="single" w:sz="4" w:space="0" w:color="auto"/>
            </w:tcBorders>
            <w:hideMark/>
          </w:tcPr>
          <w:p w14:paraId="64DA783D" w14:textId="77777777" w:rsidR="00BF5974" w:rsidRDefault="00BF5974">
            <w:pPr>
              <w:spacing w:line="256" w:lineRule="auto"/>
              <w:jc w:val="center"/>
              <w:rPr>
                <w:rFonts w:cs="Arial"/>
                <w:sz w:val="20"/>
                <w:lang w:val="es-ES" w:eastAsia="en-US"/>
              </w:rPr>
            </w:pPr>
            <w:r>
              <w:rPr>
                <w:sz w:val="20"/>
                <w:szCs w:val="20"/>
                <w:lang w:val="es-ES" w:eastAsia="en-US"/>
              </w:rPr>
              <w:t>030000000</w:t>
            </w:r>
          </w:p>
        </w:tc>
        <w:tc>
          <w:tcPr>
            <w:tcW w:w="5391" w:type="dxa"/>
            <w:tcBorders>
              <w:top w:val="single" w:sz="4" w:space="0" w:color="auto"/>
              <w:left w:val="single" w:sz="4" w:space="0" w:color="auto"/>
              <w:bottom w:val="single" w:sz="4" w:space="0" w:color="auto"/>
              <w:right w:val="single" w:sz="4" w:space="0" w:color="auto"/>
            </w:tcBorders>
            <w:vAlign w:val="center"/>
            <w:hideMark/>
          </w:tcPr>
          <w:p w14:paraId="2C43A104" w14:textId="77777777" w:rsidR="00BF5974" w:rsidRDefault="00BF5974">
            <w:pPr>
              <w:spacing w:line="256" w:lineRule="auto"/>
              <w:rPr>
                <w:rFonts w:cs="Arial"/>
                <w:sz w:val="20"/>
                <w:lang w:val="es-ES" w:eastAsia="en-US"/>
              </w:rPr>
            </w:pPr>
            <w:r>
              <w:rPr>
                <w:rFonts w:cs="Arial"/>
                <w:sz w:val="20"/>
                <w:lang w:val="es-ES" w:eastAsia="en-US"/>
              </w:rPr>
              <w:t>Servicios Generales.</w:t>
            </w:r>
          </w:p>
        </w:tc>
        <w:tc>
          <w:tcPr>
            <w:tcW w:w="1519" w:type="dxa"/>
            <w:tcBorders>
              <w:top w:val="single" w:sz="4" w:space="0" w:color="auto"/>
              <w:left w:val="single" w:sz="4" w:space="0" w:color="auto"/>
              <w:bottom w:val="single" w:sz="4" w:space="0" w:color="auto"/>
              <w:right w:val="single" w:sz="4" w:space="0" w:color="auto"/>
            </w:tcBorders>
            <w:noWrap/>
            <w:vAlign w:val="center"/>
            <w:hideMark/>
          </w:tcPr>
          <w:p w14:paraId="3984DCA9"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8,296,700</w:t>
            </w:r>
          </w:p>
        </w:tc>
      </w:tr>
      <w:tr w:rsidR="00BF5974" w14:paraId="033704F5" w14:textId="77777777" w:rsidTr="00BF5974">
        <w:trPr>
          <w:trHeight w:val="20"/>
          <w:jc w:val="right"/>
        </w:trPr>
        <w:tc>
          <w:tcPr>
            <w:tcW w:w="1276" w:type="dxa"/>
            <w:tcBorders>
              <w:top w:val="single" w:sz="4" w:space="0" w:color="auto"/>
              <w:left w:val="single" w:sz="4" w:space="0" w:color="auto"/>
              <w:bottom w:val="single" w:sz="4" w:space="0" w:color="auto"/>
              <w:right w:val="single" w:sz="4" w:space="0" w:color="auto"/>
            </w:tcBorders>
            <w:hideMark/>
          </w:tcPr>
          <w:p w14:paraId="07813769" w14:textId="77777777" w:rsidR="00BF5974" w:rsidRDefault="00BF5974">
            <w:pPr>
              <w:spacing w:line="256" w:lineRule="auto"/>
              <w:jc w:val="center"/>
              <w:rPr>
                <w:rFonts w:cs="Arial"/>
                <w:sz w:val="20"/>
                <w:lang w:val="es-ES" w:eastAsia="en-US"/>
              </w:rPr>
            </w:pPr>
            <w:r>
              <w:rPr>
                <w:sz w:val="20"/>
                <w:szCs w:val="20"/>
                <w:lang w:val="es-ES" w:eastAsia="en-US"/>
              </w:rPr>
              <w:t>040000000</w:t>
            </w:r>
          </w:p>
        </w:tc>
        <w:tc>
          <w:tcPr>
            <w:tcW w:w="5391" w:type="dxa"/>
            <w:tcBorders>
              <w:top w:val="single" w:sz="4" w:space="0" w:color="auto"/>
              <w:left w:val="single" w:sz="4" w:space="0" w:color="auto"/>
              <w:bottom w:val="single" w:sz="4" w:space="0" w:color="auto"/>
              <w:right w:val="single" w:sz="4" w:space="0" w:color="auto"/>
            </w:tcBorders>
            <w:vAlign w:val="center"/>
            <w:hideMark/>
          </w:tcPr>
          <w:p w14:paraId="03376FF2" w14:textId="77777777" w:rsidR="00BF5974" w:rsidRDefault="00BF5974">
            <w:pPr>
              <w:spacing w:line="256" w:lineRule="auto"/>
              <w:rPr>
                <w:rFonts w:cs="Arial"/>
                <w:sz w:val="20"/>
                <w:lang w:val="es-ES" w:eastAsia="en-US"/>
              </w:rPr>
            </w:pPr>
            <w:r>
              <w:rPr>
                <w:rFonts w:cs="Arial"/>
                <w:sz w:val="20"/>
                <w:lang w:val="es-ES" w:eastAsia="en-US"/>
              </w:rPr>
              <w:t>Transferencias, Asignaciones, Subsidios y Otras Ayudas.</w:t>
            </w:r>
          </w:p>
        </w:tc>
        <w:tc>
          <w:tcPr>
            <w:tcW w:w="1519" w:type="dxa"/>
            <w:tcBorders>
              <w:top w:val="single" w:sz="4" w:space="0" w:color="auto"/>
              <w:left w:val="single" w:sz="4" w:space="0" w:color="auto"/>
              <w:bottom w:val="single" w:sz="4" w:space="0" w:color="auto"/>
              <w:right w:val="single" w:sz="4" w:space="0" w:color="auto"/>
            </w:tcBorders>
            <w:noWrap/>
            <w:vAlign w:val="center"/>
            <w:hideMark/>
          </w:tcPr>
          <w:p w14:paraId="00CE3E41"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70,737,970</w:t>
            </w:r>
          </w:p>
        </w:tc>
      </w:tr>
      <w:tr w:rsidR="00BF5974" w14:paraId="35A86EB8" w14:textId="77777777" w:rsidTr="00BF5974">
        <w:trPr>
          <w:trHeight w:val="20"/>
          <w:jc w:val="right"/>
        </w:trPr>
        <w:tc>
          <w:tcPr>
            <w:tcW w:w="1276" w:type="dxa"/>
            <w:tcBorders>
              <w:top w:val="single" w:sz="4" w:space="0" w:color="auto"/>
              <w:left w:val="single" w:sz="4" w:space="0" w:color="auto"/>
              <w:bottom w:val="single" w:sz="4" w:space="0" w:color="auto"/>
              <w:right w:val="single" w:sz="4" w:space="0" w:color="auto"/>
            </w:tcBorders>
            <w:hideMark/>
          </w:tcPr>
          <w:p w14:paraId="70C5DE19" w14:textId="77777777" w:rsidR="00BF5974" w:rsidRDefault="00BF5974">
            <w:pPr>
              <w:spacing w:line="256" w:lineRule="auto"/>
              <w:jc w:val="center"/>
              <w:rPr>
                <w:rFonts w:cs="Arial"/>
                <w:sz w:val="20"/>
                <w:lang w:val="es-ES" w:eastAsia="en-US"/>
              </w:rPr>
            </w:pPr>
            <w:r>
              <w:rPr>
                <w:sz w:val="20"/>
                <w:szCs w:val="20"/>
                <w:lang w:val="es-ES" w:eastAsia="en-US"/>
              </w:rPr>
              <w:t>050000000</w:t>
            </w:r>
          </w:p>
        </w:tc>
        <w:tc>
          <w:tcPr>
            <w:tcW w:w="5391" w:type="dxa"/>
            <w:tcBorders>
              <w:top w:val="single" w:sz="4" w:space="0" w:color="auto"/>
              <w:left w:val="single" w:sz="4" w:space="0" w:color="auto"/>
              <w:bottom w:val="single" w:sz="4" w:space="0" w:color="auto"/>
              <w:right w:val="single" w:sz="4" w:space="0" w:color="auto"/>
            </w:tcBorders>
            <w:vAlign w:val="center"/>
            <w:hideMark/>
          </w:tcPr>
          <w:p w14:paraId="71E64D83" w14:textId="77777777" w:rsidR="00BF5974" w:rsidRDefault="00BF5974">
            <w:pPr>
              <w:spacing w:line="256" w:lineRule="auto"/>
              <w:rPr>
                <w:rFonts w:cs="Arial"/>
                <w:sz w:val="20"/>
                <w:lang w:val="es-ES" w:eastAsia="en-US"/>
              </w:rPr>
            </w:pPr>
            <w:r>
              <w:rPr>
                <w:rFonts w:cs="Arial"/>
                <w:sz w:val="20"/>
                <w:lang w:val="es-ES" w:eastAsia="en-US"/>
              </w:rPr>
              <w:t>Bienes Muebles, Inmuebles e Intangibles.</w:t>
            </w:r>
          </w:p>
        </w:tc>
        <w:tc>
          <w:tcPr>
            <w:tcW w:w="1519" w:type="dxa"/>
            <w:tcBorders>
              <w:top w:val="single" w:sz="4" w:space="0" w:color="auto"/>
              <w:left w:val="single" w:sz="4" w:space="0" w:color="auto"/>
              <w:bottom w:val="single" w:sz="4" w:space="0" w:color="auto"/>
              <w:right w:val="single" w:sz="4" w:space="0" w:color="auto"/>
            </w:tcBorders>
            <w:noWrap/>
            <w:vAlign w:val="center"/>
            <w:hideMark/>
          </w:tcPr>
          <w:p w14:paraId="2B389B3E" w14:textId="77777777" w:rsidR="00BF5974" w:rsidRDefault="00BF5974">
            <w:pPr>
              <w:spacing w:line="256" w:lineRule="auto"/>
              <w:jc w:val="right"/>
              <w:rPr>
                <w:rFonts w:cs="Arial"/>
                <w:sz w:val="20"/>
                <w:lang w:val="es-ES" w:eastAsia="en-US"/>
              </w:rPr>
            </w:pPr>
            <w:r>
              <w:rPr>
                <w:rFonts w:cs="Arial"/>
                <w:color w:val="000000"/>
                <w:sz w:val="20"/>
                <w:szCs w:val="20"/>
                <w:lang w:val="es-ES" w:eastAsia="en-US"/>
              </w:rPr>
              <w:t>8,900</w:t>
            </w:r>
          </w:p>
        </w:tc>
      </w:tr>
      <w:tr w:rsidR="00BF5974" w14:paraId="6C70BFBF" w14:textId="77777777" w:rsidTr="00BF5974">
        <w:trPr>
          <w:trHeight w:val="20"/>
          <w:jc w:val="right"/>
        </w:trPr>
        <w:tc>
          <w:tcPr>
            <w:tcW w:w="1276" w:type="dxa"/>
            <w:tcBorders>
              <w:top w:val="single" w:sz="4" w:space="0" w:color="auto"/>
              <w:left w:val="single" w:sz="4" w:space="0" w:color="auto"/>
              <w:bottom w:val="single" w:sz="4" w:space="0" w:color="auto"/>
              <w:right w:val="single" w:sz="4" w:space="0" w:color="auto"/>
            </w:tcBorders>
            <w:vAlign w:val="center"/>
            <w:hideMark/>
          </w:tcPr>
          <w:p w14:paraId="19AC507A" w14:textId="77777777" w:rsidR="00BF5974" w:rsidRDefault="00BF5974">
            <w:pPr>
              <w:rPr>
                <w:rFonts w:cs="Arial"/>
                <w:sz w:val="20"/>
                <w:lang w:val="es-ES" w:eastAsia="en-US"/>
              </w:rPr>
            </w:pPr>
          </w:p>
        </w:tc>
        <w:tc>
          <w:tcPr>
            <w:tcW w:w="5391" w:type="dxa"/>
            <w:tcBorders>
              <w:top w:val="single" w:sz="4" w:space="0" w:color="auto"/>
              <w:left w:val="single" w:sz="4" w:space="0" w:color="auto"/>
              <w:bottom w:val="single" w:sz="4" w:space="0" w:color="auto"/>
              <w:right w:val="single" w:sz="4" w:space="0" w:color="auto"/>
            </w:tcBorders>
            <w:vAlign w:val="center"/>
            <w:hideMark/>
          </w:tcPr>
          <w:p w14:paraId="029824AD" w14:textId="77777777" w:rsidR="00BF5974" w:rsidRDefault="00BF5974">
            <w:pPr>
              <w:spacing w:line="256" w:lineRule="auto"/>
              <w:jc w:val="center"/>
              <w:rPr>
                <w:rFonts w:cs="Arial"/>
                <w:b/>
                <w:bCs/>
                <w:sz w:val="20"/>
                <w:lang w:val="es-ES" w:eastAsia="en-US"/>
              </w:rPr>
            </w:pPr>
            <w:r>
              <w:rPr>
                <w:rFonts w:cs="Arial"/>
                <w:b/>
                <w:bCs/>
                <w:sz w:val="20"/>
                <w:lang w:val="es-ES" w:eastAsia="en-US"/>
              </w:rPr>
              <w:t>Total</w:t>
            </w:r>
          </w:p>
        </w:tc>
        <w:tc>
          <w:tcPr>
            <w:tcW w:w="1519" w:type="dxa"/>
            <w:tcBorders>
              <w:top w:val="single" w:sz="4" w:space="0" w:color="auto"/>
              <w:left w:val="single" w:sz="4" w:space="0" w:color="auto"/>
              <w:bottom w:val="single" w:sz="4" w:space="0" w:color="auto"/>
              <w:right w:val="single" w:sz="4" w:space="0" w:color="auto"/>
            </w:tcBorders>
            <w:vAlign w:val="center"/>
            <w:hideMark/>
          </w:tcPr>
          <w:p w14:paraId="21C3B7D9" w14:textId="77777777" w:rsidR="00BF5974" w:rsidRDefault="00BF5974">
            <w:pPr>
              <w:spacing w:line="256" w:lineRule="auto"/>
              <w:jc w:val="right"/>
              <w:rPr>
                <w:rFonts w:cs="Arial"/>
                <w:b/>
                <w:bCs/>
                <w:sz w:val="20"/>
                <w:szCs w:val="20"/>
                <w:lang w:val="es-ES" w:eastAsia="en-US"/>
              </w:rPr>
            </w:pPr>
            <w:r>
              <w:rPr>
                <w:rFonts w:cs="Arial"/>
                <w:b/>
                <w:bCs/>
                <w:color w:val="000000"/>
                <w:sz w:val="20"/>
                <w:szCs w:val="20"/>
                <w:lang w:val="es-ES" w:eastAsia="en-US"/>
              </w:rPr>
              <w:t>271,481,600</w:t>
            </w:r>
          </w:p>
        </w:tc>
      </w:tr>
    </w:tbl>
    <w:p w14:paraId="3C78F0E8" w14:textId="77777777" w:rsidR="00BF5974" w:rsidRDefault="00BF5974" w:rsidP="00BF5974">
      <w:pPr>
        <w:rPr>
          <w:rFonts w:cs="Arial"/>
          <w:lang w:val="es-ES"/>
        </w:rPr>
      </w:pPr>
    </w:p>
    <w:p w14:paraId="06BECB21" w14:textId="77777777" w:rsidR="00BF5974" w:rsidRDefault="00BF5974" w:rsidP="00BF5974">
      <w:pPr>
        <w:rPr>
          <w:rFonts w:cs="Arial"/>
          <w:lang w:val="es-ES"/>
        </w:rPr>
      </w:pPr>
      <w:r>
        <w:rPr>
          <w:rFonts w:cs="Arial"/>
          <w:lang w:val="es-ES"/>
        </w:rPr>
        <w:t xml:space="preserve">En el </w:t>
      </w:r>
      <w:bookmarkStart w:id="95" w:name="_Hlk180423821"/>
      <w:r>
        <w:rPr>
          <w:rFonts w:cs="Arial"/>
          <w:b/>
          <w:lang w:val="es-ES"/>
        </w:rPr>
        <w:t>Anexo 5 Clasificación por Objeto del Gasto del Poder Judicial</w:t>
      </w:r>
      <w:r>
        <w:rPr>
          <w:rFonts w:cs="Arial"/>
          <w:lang w:val="es-ES"/>
        </w:rPr>
        <w:t xml:space="preserve"> </w:t>
      </w:r>
      <w:bookmarkEnd w:id="95"/>
      <w:r>
        <w:rPr>
          <w:rFonts w:cs="Arial"/>
          <w:lang w:val="es-ES"/>
        </w:rPr>
        <w:t xml:space="preserve">del presente Decreto, se presenta la Clasificación por Objeto del Gasto a nivel de Capítulo, Concepto, Partida Genérica y Partida Específica, de las asignaciones previstas para el Poder Judicial del Estado. </w:t>
      </w:r>
    </w:p>
    <w:p w14:paraId="28F1BA97" w14:textId="77777777" w:rsidR="00BF5974" w:rsidRDefault="00BF5974" w:rsidP="00BF5974">
      <w:pPr>
        <w:jc w:val="center"/>
        <w:rPr>
          <w:rFonts w:eastAsia="Times New Roman" w:cs="Arial"/>
          <w:b/>
          <w:lang w:val="es-ES"/>
        </w:rPr>
      </w:pPr>
      <w:r>
        <w:rPr>
          <w:rFonts w:eastAsia="Times New Roman" w:cs="Arial"/>
          <w:b/>
          <w:lang w:val="es-ES"/>
        </w:rPr>
        <w:lastRenderedPageBreak/>
        <w:t>CAPÍTULO IV</w:t>
      </w:r>
    </w:p>
    <w:p w14:paraId="5C8FF218" w14:textId="77777777" w:rsidR="00BF5974" w:rsidRDefault="00BF5974" w:rsidP="00BF5974">
      <w:pPr>
        <w:keepNext/>
        <w:keepLines/>
        <w:jc w:val="center"/>
        <w:outlineLvl w:val="0"/>
        <w:rPr>
          <w:rFonts w:eastAsia="Times New Roman" w:cs="Arial"/>
          <w:b/>
          <w:szCs w:val="32"/>
          <w:lang w:val="es-ES"/>
        </w:rPr>
      </w:pPr>
      <w:bookmarkStart w:id="96" w:name="_Toc22021965"/>
      <w:bookmarkStart w:id="97" w:name="_Toc22983218"/>
      <w:r>
        <w:rPr>
          <w:rFonts w:eastAsia="Times New Roman" w:cs="Arial"/>
          <w:b/>
          <w:szCs w:val="32"/>
          <w:lang w:val="es-ES"/>
        </w:rPr>
        <w:t xml:space="preserve">DE LAS PREVISIONES PARA LOS ÓRGANOS AUTÓNOMOS ELECTORALES Y </w:t>
      </w:r>
      <w:r>
        <w:rPr>
          <w:rFonts w:eastAsia="Times New Roman" w:cs="Arial"/>
          <w:b/>
          <w:szCs w:val="32"/>
          <w:lang w:val="es-ES"/>
        </w:rPr>
        <w:br/>
        <w:t>DEL FINANCIAMIENTO A PARTIDOS POLÍTICOS</w:t>
      </w:r>
      <w:bookmarkEnd w:id="96"/>
      <w:bookmarkEnd w:id="97"/>
    </w:p>
    <w:p w14:paraId="19476840" w14:textId="77777777" w:rsidR="00BF5974" w:rsidRDefault="00BF5974" w:rsidP="00BF5974">
      <w:pPr>
        <w:jc w:val="left"/>
        <w:rPr>
          <w:rFonts w:eastAsia="Calibri" w:cs="Arial"/>
          <w:lang w:val="es-ES" w:eastAsia="en-US"/>
        </w:rPr>
      </w:pPr>
    </w:p>
    <w:p w14:paraId="63771772" w14:textId="77777777" w:rsidR="00BF5974" w:rsidRDefault="00BF5974" w:rsidP="00BF5974">
      <w:pPr>
        <w:rPr>
          <w:rFonts w:cs="Arial"/>
          <w:lang w:val="es-ES"/>
        </w:rPr>
      </w:pPr>
      <w:r>
        <w:rPr>
          <w:rFonts w:cs="Arial"/>
          <w:b/>
          <w:lang w:val="es-ES"/>
        </w:rPr>
        <w:t>Artículo 22.</w:t>
      </w:r>
      <w:r>
        <w:rPr>
          <w:rFonts w:cs="Arial"/>
          <w:lang w:val="es-ES"/>
        </w:rPr>
        <w:t xml:space="preserve"> La asignación presupuestal para los </w:t>
      </w:r>
      <w:r>
        <w:rPr>
          <w:rFonts w:cs="Arial"/>
          <w:bCs/>
          <w:lang w:val="es-ES"/>
        </w:rPr>
        <w:t>Órganos Autónomos Electorales</w:t>
      </w:r>
      <w:r>
        <w:rPr>
          <w:rFonts w:cs="Arial"/>
          <w:lang w:val="es-ES"/>
        </w:rPr>
        <w:t xml:space="preserve"> en el Ejercicio Fiscal 2025 es la siguiente:</w:t>
      </w:r>
    </w:p>
    <w:p w14:paraId="6ACB5318" w14:textId="77777777" w:rsidR="00BF5974" w:rsidRDefault="00BF5974" w:rsidP="00BF5974">
      <w:pPr>
        <w:rPr>
          <w:rFonts w:cs="Arial"/>
          <w:lang w:val="es-ES"/>
        </w:rPr>
      </w:pPr>
    </w:p>
    <w:tbl>
      <w:tblPr>
        <w:tblW w:w="81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5382"/>
        <w:gridCol w:w="1474"/>
      </w:tblGrid>
      <w:tr w:rsidR="00BF5974" w14:paraId="4537A602" w14:textId="77777777" w:rsidTr="00BF5974">
        <w:trPr>
          <w:trHeight w:val="405"/>
          <w:tblHeader/>
          <w:jc w:val="right"/>
        </w:trPr>
        <w:tc>
          <w:tcPr>
            <w:tcW w:w="8137" w:type="dxa"/>
            <w:gridSpan w:val="3"/>
            <w:tcBorders>
              <w:top w:val="nil"/>
              <w:left w:val="nil"/>
              <w:bottom w:val="single" w:sz="4" w:space="0" w:color="auto"/>
              <w:right w:val="nil"/>
            </w:tcBorders>
            <w:vAlign w:val="center"/>
            <w:hideMark/>
          </w:tcPr>
          <w:p w14:paraId="153FA207" w14:textId="77777777" w:rsidR="00BF5974" w:rsidRDefault="00BF5974">
            <w:pPr>
              <w:spacing w:line="256" w:lineRule="auto"/>
              <w:jc w:val="center"/>
              <w:rPr>
                <w:rFonts w:cs="Arial"/>
                <w:b/>
                <w:bCs/>
                <w:sz w:val="20"/>
                <w:lang w:val="es-ES" w:eastAsia="en-US"/>
              </w:rPr>
            </w:pPr>
            <w:bookmarkStart w:id="98" w:name="_Toc22983160"/>
            <w:bookmarkStart w:id="99" w:name="_Toc22021887"/>
            <w:bookmarkStart w:id="100" w:name="_Toc526757449"/>
            <w:bookmarkStart w:id="101" w:name="_Toc522869238"/>
            <w:r>
              <w:rPr>
                <w:rFonts w:eastAsia="Times New Roman" w:cs="Arial"/>
                <w:b/>
                <w:sz w:val="20"/>
                <w:lang w:val="es-ES" w:eastAsia="en-US"/>
              </w:rPr>
              <w:t xml:space="preserve">Tabla 18. </w:t>
            </w:r>
            <w:r>
              <w:rPr>
                <w:rFonts w:cs="Arial"/>
                <w:b/>
                <w:sz w:val="20"/>
                <w:lang w:val="es-ES" w:eastAsia="en-US"/>
              </w:rPr>
              <w:t>Órganos Autónomos Electorales</w:t>
            </w:r>
            <w:bookmarkEnd w:id="98"/>
            <w:bookmarkEnd w:id="99"/>
            <w:bookmarkEnd w:id="100"/>
            <w:bookmarkEnd w:id="101"/>
          </w:p>
        </w:tc>
      </w:tr>
      <w:tr w:rsidR="00BF5974" w14:paraId="6157C1D2" w14:textId="77777777" w:rsidTr="00BF5974">
        <w:trPr>
          <w:trHeight w:val="20"/>
          <w:jc w:val="right"/>
        </w:trPr>
        <w:tc>
          <w:tcPr>
            <w:tcW w:w="1275" w:type="dxa"/>
            <w:tcBorders>
              <w:top w:val="single" w:sz="4" w:space="0" w:color="auto"/>
              <w:left w:val="single" w:sz="4" w:space="0" w:color="auto"/>
              <w:bottom w:val="single" w:sz="4" w:space="0" w:color="auto"/>
              <w:right w:val="single" w:sz="4" w:space="0" w:color="auto"/>
            </w:tcBorders>
            <w:vAlign w:val="center"/>
            <w:hideMark/>
          </w:tcPr>
          <w:p w14:paraId="02E86ECD" w14:textId="77777777" w:rsidR="00BF5974" w:rsidRDefault="00BF5974">
            <w:pPr>
              <w:spacing w:line="256" w:lineRule="auto"/>
              <w:jc w:val="center"/>
              <w:rPr>
                <w:rFonts w:cs="Arial"/>
                <w:b/>
                <w:bCs/>
                <w:sz w:val="20"/>
                <w:lang w:val="es-ES" w:eastAsia="en-US"/>
              </w:rPr>
            </w:pPr>
            <w:r>
              <w:rPr>
                <w:rFonts w:cs="Arial"/>
                <w:b/>
                <w:bCs/>
                <w:sz w:val="20"/>
                <w:lang w:val="es-ES" w:eastAsia="en-US"/>
              </w:rPr>
              <w:t>Clave</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9EF5A4F" w14:textId="77777777" w:rsidR="00BF5974" w:rsidRDefault="00BF5974">
            <w:pPr>
              <w:spacing w:line="256" w:lineRule="auto"/>
              <w:jc w:val="center"/>
              <w:rPr>
                <w:rFonts w:cs="Arial"/>
                <w:b/>
                <w:bCs/>
                <w:sz w:val="20"/>
                <w:lang w:val="es-ES" w:eastAsia="en-US"/>
              </w:rPr>
            </w:pPr>
            <w:r>
              <w:rPr>
                <w:rFonts w:cs="Arial"/>
                <w:b/>
                <w:bCs/>
                <w:sz w:val="20"/>
                <w:lang w:val="es-ES" w:eastAsia="en-US"/>
              </w:rPr>
              <w:t>Concepto</w:t>
            </w:r>
          </w:p>
        </w:tc>
        <w:tc>
          <w:tcPr>
            <w:tcW w:w="1475" w:type="dxa"/>
            <w:tcBorders>
              <w:top w:val="single" w:sz="4" w:space="0" w:color="auto"/>
              <w:left w:val="single" w:sz="4" w:space="0" w:color="auto"/>
              <w:bottom w:val="single" w:sz="4" w:space="0" w:color="auto"/>
              <w:right w:val="single" w:sz="4" w:space="0" w:color="auto"/>
            </w:tcBorders>
            <w:vAlign w:val="center"/>
            <w:hideMark/>
          </w:tcPr>
          <w:p w14:paraId="5E684624" w14:textId="77777777" w:rsidR="00BF5974" w:rsidRDefault="00BF5974">
            <w:pPr>
              <w:spacing w:line="256" w:lineRule="auto"/>
              <w:jc w:val="center"/>
              <w:rPr>
                <w:rFonts w:cs="Arial"/>
                <w:b/>
                <w:bCs/>
                <w:sz w:val="20"/>
                <w:lang w:val="es-ES" w:eastAsia="en-US"/>
              </w:rPr>
            </w:pPr>
            <w:r>
              <w:rPr>
                <w:rFonts w:cs="Arial"/>
                <w:b/>
                <w:bCs/>
                <w:sz w:val="20"/>
                <w:lang w:val="es-ES" w:eastAsia="en-US"/>
              </w:rPr>
              <w:t>Asignación Presupuestal</w:t>
            </w:r>
          </w:p>
        </w:tc>
      </w:tr>
      <w:tr w:rsidR="00BF5974" w14:paraId="33A5BF81" w14:textId="77777777" w:rsidTr="00BF5974">
        <w:trPr>
          <w:trHeight w:val="20"/>
          <w:jc w:val="right"/>
        </w:trPr>
        <w:tc>
          <w:tcPr>
            <w:tcW w:w="1275" w:type="dxa"/>
            <w:tcBorders>
              <w:top w:val="single" w:sz="4" w:space="0" w:color="auto"/>
              <w:left w:val="single" w:sz="4" w:space="0" w:color="auto"/>
              <w:bottom w:val="single" w:sz="4" w:space="0" w:color="auto"/>
              <w:right w:val="single" w:sz="4" w:space="0" w:color="auto"/>
            </w:tcBorders>
            <w:vAlign w:val="center"/>
            <w:hideMark/>
          </w:tcPr>
          <w:p w14:paraId="7EB380F5" w14:textId="77777777" w:rsidR="00BF5974" w:rsidRDefault="00BF5974">
            <w:pPr>
              <w:spacing w:line="256" w:lineRule="auto"/>
              <w:jc w:val="center"/>
              <w:rPr>
                <w:rFonts w:cs="Arial"/>
                <w:sz w:val="20"/>
                <w:lang w:val="es-ES" w:eastAsia="en-US"/>
              </w:rPr>
            </w:pPr>
            <w:r>
              <w:rPr>
                <w:rFonts w:cs="Arial"/>
                <w:sz w:val="20"/>
                <w:lang w:val="es-ES" w:eastAsia="en-US"/>
              </w:rPr>
              <w:t>040104003</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76737E1" w14:textId="77777777" w:rsidR="00BF5974" w:rsidRDefault="00BF5974">
            <w:pPr>
              <w:spacing w:line="256" w:lineRule="auto"/>
              <w:rPr>
                <w:rFonts w:cs="Arial"/>
                <w:sz w:val="20"/>
                <w:lang w:val="es-ES" w:eastAsia="en-US"/>
              </w:rPr>
            </w:pPr>
            <w:r>
              <w:rPr>
                <w:rFonts w:cs="Arial"/>
                <w:sz w:val="20"/>
                <w:lang w:val="es-ES" w:eastAsia="en-US"/>
              </w:rPr>
              <w:t>Instituto Electoral del Estado.</w:t>
            </w:r>
          </w:p>
        </w:tc>
        <w:tc>
          <w:tcPr>
            <w:tcW w:w="1475" w:type="dxa"/>
            <w:tcBorders>
              <w:top w:val="single" w:sz="4" w:space="0" w:color="auto"/>
              <w:left w:val="single" w:sz="4" w:space="0" w:color="auto"/>
              <w:bottom w:val="single" w:sz="4" w:space="0" w:color="auto"/>
              <w:right w:val="single" w:sz="4" w:space="0" w:color="auto"/>
            </w:tcBorders>
            <w:noWrap/>
            <w:vAlign w:val="bottom"/>
            <w:hideMark/>
          </w:tcPr>
          <w:p w14:paraId="5DD79CC3"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107,430,304</w:t>
            </w:r>
          </w:p>
        </w:tc>
      </w:tr>
      <w:tr w:rsidR="00BF5974" w14:paraId="40063DD0" w14:textId="77777777" w:rsidTr="00BF5974">
        <w:trPr>
          <w:trHeight w:val="20"/>
          <w:jc w:val="right"/>
        </w:trPr>
        <w:tc>
          <w:tcPr>
            <w:tcW w:w="1275" w:type="dxa"/>
            <w:tcBorders>
              <w:top w:val="single" w:sz="4" w:space="0" w:color="auto"/>
              <w:left w:val="single" w:sz="4" w:space="0" w:color="auto"/>
              <w:bottom w:val="single" w:sz="4" w:space="0" w:color="auto"/>
              <w:right w:val="single" w:sz="4" w:space="0" w:color="auto"/>
            </w:tcBorders>
            <w:vAlign w:val="center"/>
            <w:hideMark/>
          </w:tcPr>
          <w:p w14:paraId="78B08975" w14:textId="77777777" w:rsidR="00BF5974" w:rsidRDefault="00BF5974">
            <w:pPr>
              <w:spacing w:line="256" w:lineRule="auto"/>
              <w:jc w:val="center"/>
              <w:rPr>
                <w:rFonts w:cs="Arial"/>
                <w:sz w:val="20"/>
                <w:lang w:val="es-ES" w:eastAsia="en-US"/>
              </w:rPr>
            </w:pPr>
            <w:r>
              <w:rPr>
                <w:rFonts w:cs="Arial"/>
                <w:sz w:val="20"/>
                <w:lang w:val="es-ES" w:eastAsia="en-US"/>
              </w:rPr>
              <w:t>040104006</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796464A" w14:textId="77777777" w:rsidR="00BF5974" w:rsidRDefault="00BF5974">
            <w:pPr>
              <w:spacing w:line="256" w:lineRule="auto"/>
              <w:rPr>
                <w:rFonts w:cs="Arial"/>
                <w:sz w:val="20"/>
                <w:lang w:val="es-ES" w:eastAsia="en-US"/>
              </w:rPr>
            </w:pPr>
            <w:r>
              <w:rPr>
                <w:rFonts w:cs="Arial"/>
                <w:sz w:val="20"/>
                <w:lang w:val="es-ES" w:eastAsia="en-US"/>
              </w:rPr>
              <w:t>Tribunal Electoral del Estado.</w:t>
            </w:r>
          </w:p>
        </w:tc>
        <w:tc>
          <w:tcPr>
            <w:tcW w:w="1475" w:type="dxa"/>
            <w:tcBorders>
              <w:top w:val="single" w:sz="4" w:space="0" w:color="auto"/>
              <w:left w:val="single" w:sz="4" w:space="0" w:color="auto"/>
              <w:bottom w:val="single" w:sz="4" w:space="0" w:color="auto"/>
              <w:right w:val="single" w:sz="4" w:space="0" w:color="auto"/>
            </w:tcBorders>
            <w:noWrap/>
            <w:vAlign w:val="bottom"/>
            <w:hideMark/>
          </w:tcPr>
          <w:p w14:paraId="4B13573B"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27,250,538</w:t>
            </w:r>
          </w:p>
        </w:tc>
      </w:tr>
    </w:tbl>
    <w:p w14:paraId="4A7E2410" w14:textId="77777777" w:rsidR="00BF5974" w:rsidRDefault="00BF5974" w:rsidP="00BF5974">
      <w:pPr>
        <w:rPr>
          <w:rFonts w:cs="Arial"/>
          <w:lang w:val="es-ES"/>
        </w:rPr>
      </w:pPr>
    </w:p>
    <w:p w14:paraId="643A48EF" w14:textId="77777777" w:rsidR="00BF5974" w:rsidRDefault="00BF5974" w:rsidP="00BF5974">
      <w:pPr>
        <w:rPr>
          <w:rFonts w:cs="Arial"/>
          <w:lang w:val="es-ES"/>
        </w:rPr>
      </w:pPr>
    </w:p>
    <w:p w14:paraId="2B0CF1D6" w14:textId="77777777" w:rsidR="00BF5974" w:rsidRDefault="00BF5974" w:rsidP="00BF5974">
      <w:pPr>
        <w:ind w:left="567" w:hanging="567"/>
        <w:rPr>
          <w:rFonts w:eastAsia="Times New Roman" w:cs="Arial"/>
        </w:rPr>
      </w:pPr>
      <w:r>
        <w:rPr>
          <w:rFonts w:eastAsia="Times New Roman" w:cs="Arial"/>
        </w:rPr>
        <w:t xml:space="preserve">I. </w:t>
      </w:r>
      <w:r>
        <w:rPr>
          <w:rFonts w:eastAsia="Times New Roman" w:cs="Arial"/>
        </w:rPr>
        <w:tab/>
        <w:t>La asignación presupuestal para el Instituto Electoral del Estado para el Ejercicio Fiscal 2025, se integra de la siguiente manera.</w:t>
      </w:r>
    </w:p>
    <w:p w14:paraId="2AA65FA2" w14:textId="77777777" w:rsidR="00BF5974" w:rsidRDefault="00BF5974" w:rsidP="00BF5974">
      <w:pPr>
        <w:ind w:left="567" w:hanging="567"/>
        <w:rPr>
          <w:rFonts w:eastAsia="Times New Roman" w:cs="Arial"/>
        </w:rPr>
      </w:pPr>
    </w:p>
    <w:p w14:paraId="4BAF88DE" w14:textId="77777777" w:rsidR="00BF5974" w:rsidRDefault="00BF5974" w:rsidP="00BF5974">
      <w:pPr>
        <w:jc w:val="center"/>
        <w:rPr>
          <w:rFonts w:eastAsia="Times New Roman" w:cs="Arial"/>
          <w:b/>
          <w:sz w:val="20"/>
          <w:lang w:val="es-ES"/>
        </w:rPr>
      </w:pPr>
      <w:bookmarkStart w:id="102" w:name="_Toc522869243"/>
      <w:bookmarkStart w:id="103" w:name="_Toc526757456"/>
      <w:bookmarkStart w:id="104" w:name="_Toc22021966"/>
      <w:bookmarkStart w:id="105" w:name="_Toc22983219"/>
      <w:r>
        <w:rPr>
          <w:rFonts w:eastAsia="Times New Roman" w:cs="Arial"/>
          <w:b/>
          <w:sz w:val="20"/>
          <w:lang w:val="es-ES"/>
        </w:rPr>
        <w:t xml:space="preserve">Tabla 19. </w:t>
      </w:r>
      <w:bookmarkEnd w:id="102"/>
      <w:bookmarkEnd w:id="103"/>
      <w:bookmarkEnd w:id="104"/>
      <w:bookmarkEnd w:id="105"/>
      <w:r>
        <w:rPr>
          <w:rFonts w:eastAsia="Times New Roman" w:cs="Arial"/>
          <w:b/>
          <w:sz w:val="20"/>
          <w:lang w:val="es-ES"/>
        </w:rPr>
        <w:t>Instituto Electoral del Estado</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473"/>
      </w:tblGrid>
      <w:tr w:rsidR="00BF5974" w14:paraId="22A88D78" w14:textId="77777777" w:rsidTr="00BF5974">
        <w:trPr>
          <w:trHeight w:val="227"/>
          <w:jc w:val="right"/>
        </w:trPr>
        <w:tc>
          <w:tcPr>
            <w:tcW w:w="6663" w:type="dxa"/>
            <w:tcBorders>
              <w:top w:val="single" w:sz="4" w:space="0" w:color="auto"/>
              <w:left w:val="single" w:sz="4" w:space="0" w:color="auto"/>
              <w:bottom w:val="single" w:sz="4" w:space="0" w:color="auto"/>
              <w:right w:val="single" w:sz="4" w:space="0" w:color="auto"/>
            </w:tcBorders>
            <w:vAlign w:val="center"/>
            <w:hideMark/>
          </w:tcPr>
          <w:p w14:paraId="28227D46" w14:textId="77777777" w:rsidR="00BF5974" w:rsidRDefault="00BF5974">
            <w:pPr>
              <w:spacing w:line="256" w:lineRule="auto"/>
              <w:jc w:val="center"/>
              <w:rPr>
                <w:rFonts w:cs="Arial"/>
                <w:b/>
                <w:sz w:val="20"/>
                <w:lang w:val="es-ES" w:eastAsia="en-US"/>
              </w:rPr>
            </w:pPr>
            <w:r>
              <w:rPr>
                <w:rFonts w:cs="Arial"/>
                <w:b/>
                <w:sz w:val="20"/>
                <w:lang w:val="es-ES" w:eastAsia="en-US"/>
              </w:rPr>
              <w:t>Concepto</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E2CAAFD" w14:textId="77777777" w:rsidR="00BF5974" w:rsidRDefault="00BF5974">
            <w:pPr>
              <w:spacing w:line="256" w:lineRule="auto"/>
              <w:jc w:val="center"/>
              <w:rPr>
                <w:rFonts w:cs="Arial"/>
                <w:b/>
                <w:sz w:val="20"/>
                <w:lang w:val="es-ES" w:eastAsia="en-US"/>
              </w:rPr>
            </w:pPr>
            <w:r>
              <w:rPr>
                <w:rFonts w:cs="Arial"/>
                <w:b/>
                <w:sz w:val="20"/>
                <w:lang w:val="es-ES" w:eastAsia="en-US"/>
              </w:rPr>
              <w:t>Asignación Presupuestal</w:t>
            </w:r>
          </w:p>
        </w:tc>
      </w:tr>
      <w:tr w:rsidR="00BF5974" w14:paraId="3CEA1D3C" w14:textId="77777777" w:rsidTr="00BF5974">
        <w:trPr>
          <w:trHeight w:val="227"/>
          <w:jc w:val="right"/>
        </w:trPr>
        <w:tc>
          <w:tcPr>
            <w:tcW w:w="6663" w:type="dxa"/>
            <w:tcBorders>
              <w:top w:val="single" w:sz="4" w:space="0" w:color="auto"/>
              <w:left w:val="single" w:sz="4" w:space="0" w:color="auto"/>
              <w:bottom w:val="single" w:sz="4" w:space="0" w:color="auto"/>
              <w:right w:val="single" w:sz="4" w:space="0" w:color="auto"/>
            </w:tcBorders>
            <w:vAlign w:val="center"/>
            <w:hideMark/>
          </w:tcPr>
          <w:p w14:paraId="3747FB1A" w14:textId="77777777" w:rsidR="00BF5974" w:rsidRDefault="00BF5974">
            <w:pPr>
              <w:spacing w:line="256" w:lineRule="auto"/>
              <w:rPr>
                <w:rFonts w:cs="Arial"/>
                <w:sz w:val="20"/>
                <w:lang w:val="es-ES" w:eastAsia="en-US"/>
              </w:rPr>
            </w:pPr>
            <w:r>
              <w:rPr>
                <w:rFonts w:eastAsia="Times New Roman" w:cs="Arial"/>
                <w:sz w:val="20"/>
                <w:lang w:val="es-ES" w:eastAsia="en-US"/>
              </w:rPr>
              <w:t>Transferencias al Instituto Electoral del Estado.</w:t>
            </w:r>
          </w:p>
        </w:tc>
        <w:tc>
          <w:tcPr>
            <w:tcW w:w="1473" w:type="dxa"/>
            <w:tcBorders>
              <w:top w:val="single" w:sz="4" w:space="0" w:color="auto"/>
              <w:left w:val="single" w:sz="4" w:space="0" w:color="auto"/>
              <w:bottom w:val="single" w:sz="4" w:space="0" w:color="auto"/>
              <w:right w:val="single" w:sz="4" w:space="0" w:color="auto"/>
            </w:tcBorders>
            <w:vAlign w:val="center"/>
            <w:hideMark/>
          </w:tcPr>
          <w:p w14:paraId="5F78EB5C" w14:textId="77777777" w:rsidR="00BF5974" w:rsidRDefault="00BF5974">
            <w:pPr>
              <w:spacing w:line="256" w:lineRule="auto"/>
              <w:jc w:val="right"/>
              <w:rPr>
                <w:rFonts w:cs="Arial"/>
                <w:sz w:val="20"/>
                <w:highlight w:val="yellow"/>
                <w:lang w:val="es-ES" w:eastAsia="en-US"/>
              </w:rPr>
            </w:pPr>
            <w:r>
              <w:rPr>
                <w:rFonts w:cs="Arial"/>
                <w:color w:val="000000"/>
                <w:sz w:val="20"/>
                <w:szCs w:val="20"/>
                <w:lang w:val="es-ES" w:eastAsia="en-US"/>
              </w:rPr>
              <w:t xml:space="preserve">64,475,194 </w:t>
            </w:r>
          </w:p>
        </w:tc>
      </w:tr>
      <w:tr w:rsidR="00BF5974" w14:paraId="7D0D67FA" w14:textId="77777777" w:rsidTr="00BF5974">
        <w:trPr>
          <w:trHeight w:val="227"/>
          <w:jc w:val="right"/>
        </w:trPr>
        <w:tc>
          <w:tcPr>
            <w:tcW w:w="6663" w:type="dxa"/>
            <w:tcBorders>
              <w:top w:val="single" w:sz="4" w:space="0" w:color="auto"/>
              <w:left w:val="single" w:sz="4" w:space="0" w:color="auto"/>
              <w:bottom w:val="single" w:sz="4" w:space="0" w:color="auto"/>
              <w:right w:val="single" w:sz="4" w:space="0" w:color="auto"/>
            </w:tcBorders>
            <w:vAlign w:val="center"/>
            <w:hideMark/>
          </w:tcPr>
          <w:p w14:paraId="7C706773" w14:textId="77777777" w:rsidR="00BF5974" w:rsidRDefault="00BF5974">
            <w:pPr>
              <w:spacing w:line="256" w:lineRule="auto"/>
              <w:rPr>
                <w:rFonts w:cs="Arial"/>
                <w:sz w:val="20"/>
                <w:lang w:val="es-ES" w:eastAsia="en-US"/>
              </w:rPr>
            </w:pPr>
            <w:r>
              <w:rPr>
                <w:rFonts w:cs="Arial"/>
                <w:sz w:val="20"/>
                <w:lang w:val="es-ES" w:eastAsia="en-US"/>
              </w:rPr>
              <w:t>Financiamiento Público Ordinario a Partidos Políticos.</w:t>
            </w:r>
          </w:p>
        </w:tc>
        <w:tc>
          <w:tcPr>
            <w:tcW w:w="1473" w:type="dxa"/>
            <w:tcBorders>
              <w:top w:val="single" w:sz="4" w:space="0" w:color="auto"/>
              <w:left w:val="single" w:sz="4" w:space="0" w:color="auto"/>
              <w:bottom w:val="single" w:sz="4" w:space="0" w:color="auto"/>
              <w:right w:val="single" w:sz="4" w:space="0" w:color="auto"/>
            </w:tcBorders>
            <w:vAlign w:val="center"/>
            <w:hideMark/>
          </w:tcPr>
          <w:p w14:paraId="7F3DB31D" w14:textId="77777777" w:rsidR="00BF5974" w:rsidRDefault="00BF5974">
            <w:pPr>
              <w:spacing w:line="256" w:lineRule="auto"/>
              <w:jc w:val="right"/>
              <w:rPr>
                <w:rFonts w:cs="Arial"/>
                <w:sz w:val="20"/>
                <w:lang w:val="es-ES" w:eastAsia="en-US"/>
              </w:rPr>
            </w:pPr>
            <w:r>
              <w:rPr>
                <w:rFonts w:cs="Arial"/>
                <w:color w:val="000000"/>
                <w:sz w:val="20"/>
                <w:szCs w:val="20"/>
                <w:lang w:val="es-ES" w:eastAsia="en-US"/>
              </w:rPr>
              <w:t xml:space="preserve">42,955,110 </w:t>
            </w:r>
          </w:p>
        </w:tc>
      </w:tr>
      <w:tr w:rsidR="00BF5974" w14:paraId="5816825B" w14:textId="77777777" w:rsidTr="00BF5974">
        <w:trPr>
          <w:trHeight w:val="227"/>
          <w:jc w:val="right"/>
        </w:trPr>
        <w:tc>
          <w:tcPr>
            <w:tcW w:w="6663" w:type="dxa"/>
            <w:tcBorders>
              <w:top w:val="single" w:sz="4" w:space="0" w:color="auto"/>
              <w:left w:val="single" w:sz="4" w:space="0" w:color="auto"/>
              <w:bottom w:val="single" w:sz="4" w:space="0" w:color="auto"/>
              <w:right w:val="single" w:sz="4" w:space="0" w:color="auto"/>
            </w:tcBorders>
            <w:vAlign w:val="center"/>
            <w:hideMark/>
          </w:tcPr>
          <w:p w14:paraId="065AD92F" w14:textId="77777777" w:rsidR="00BF5974" w:rsidRDefault="00BF5974">
            <w:pPr>
              <w:spacing w:line="256" w:lineRule="auto"/>
              <w:jc w:val="center"/>
              <w:rPr>
                <w:rFonts w:cs="Arial"/>
                <w:b/>
                <w:sz w:val="20"/>
                <w:lang w:val="es-ES" w:eastAsia="en-US"/>
              </w:rPr>
            </w:pPr>
            <w:r>
              <w:rPr>
                <w:rFonts w:cs="Arial"/>
                <w:b/>
                <w:sz w:val="20"/>
                <w:lang w:val="es-ES" w:eastAsia="en-US"/>
              </w:rPr>
              <w:t>Total</w:t>
            </w:r>
          </w:p>
        </w:tc>
        <w:tc>
          <w:tcPr>
            <w:tcW w:w="1473" w:type="dxa"/>
            <w:tcBorders>
              <w:top w:val="single" w:sz="4" w:space="0" w:color="auto"/>
              <w:left w:val="single" w:sz="4" w:space="0" w:color="auto"/>
              <w:bottom w:val="single" w:sz="4" w:space="0" w:color="auto"/>
              <w:right w:val="single" w:sz="4" w:space="0" w:color="auto"/>
            </w:tcBorders>
            <w:vAlign w:val="bottom"/>
            <w:hideMark/>
          </w:tcPr>
          <w:p w14:paraId="664AA12F" w14:textId="77777777" w:rsidR="00BF5974" w:rsidRDefault="00BF5974">
            <w:pPr>
              <w:spacing w:line="256" w:lineRule="auto"/>
              <w:jc w:val="right"/>
              <w:rPr>
                <w:rFonts w:cs="Arial"/>
                <w:b/>
                <w:bCs/>
                <w:sz w:val="20"/>
                <w:lang w:val="es-ES" w:eastAsia="en-US"/>
              </w:rPr>
            </w:pPr>
            <w:r>
              <w:rPr>
                <w:rFonts w:cs="Arial"/>
                <w:b/>
                <w:bCs/>
                <w:color w:val="000000"/>
                <w:sz w:val="20"/>
                <w:szCs w:val="20"/>
                <w:lang w:val="es-ES" w:eastAsia="en-US"/>
              </w:rPr>
              <w:t>107,430,304</w:t>
            </w:r>
          </w:p>
        </w:tc>
      </w:tr>
    </w:tbl>
    <w:p w14:paraId="7293C7AE" w14:textId="77777777" w:rsidR="00BF5974" w:rsidRDefault="00BF5974" w:rsidP="00BF5974">
      <w:pPr>
        <w:rPr>
          <w:rFonts w:eastAsia="Times New Roman" w:cs="Arial"/>
          <w:lang w:val="es-ES"/>
        </w:rPr>
      </w:pPr>
    </w:p>
    <w:p w14:paraId="2A604A42" w14:textId="77777777" w:rsidR="00BF5974" w:rsidRDefault="00BF5974" w:rsidP="00BF5974">
      <w:pPr>
        <w:rPr>
          <w:rFonts w:cs="Arial"/>
          <w:lang w:val="es-ES"/>
        </w:rPr>
      </w:pPr>
      <w:r>
        <w:rPr>
          <w:rFonts w:cs="Arial"/>
          <w:lang w:val="es-ES"/>
        </w:rPr>
        <w:t>En atención a lo dispuesto en la Ley de Presupuesto, el Código Electoral del Estado de Colima y demás ordenamientos aplicables, los órganos autónomos electorales administrarán y ejercerán en forma autónoma los recursos aprobados en el presente Decreto.</w:t>
      </w:r>
    </w:p>
    <w:p w14:paraId="4B0D9D1E" w14:textId="77777777" w:rsidR="00BF5974" w:rsidRDefault="00BF5974" w:rsidP="00BF5974">
      <w:pPr>
        <w:rPr>
          <w:rFonts w:cs="Arial"/>
          <w:lang w:val="es-ES"/>
        </w:rPr>
      </w:pPr>
    </w:p>
    <w:p w14:paraId="64516B40" w14:textId="77777777" w:rsidR="00BF5974" w:rsidRDefault="00BF5974" w:rsidP="00BF5974">
      <w:pPr>
        <w:jc w:val="center"/>
        <w:rPr>
          <w:rFonts w:eastAsia="Times New Roman" w:cs="Arial"/>
          <w:b/>
          <w:lang w:val="es-ES"/>
        </w:rPr>
      </w:pPr>
      <w:bookmarkStart w:id="106" w:name="_Toc22021899"/>
      <w:bookmarkStart w:id="107" w:name="_Toc22983169"/>
      <w:r>
        <w:rPr>
          <w:rFonts w:eastAsia="Times New Roman" w:cs="Arial"/>
          <w:b/>
          <w:lang w:val="es-ES"/>
        </w:rPr>
        <w:t xml:space="preserve">CAPÍTULO </w:t>
      </w:r>
      <w:bookmarkEnd w:id="106"/>
      <w:bookmarkEnd w:id="107"/>
      <w:r>
        <w:rPr>
          <w:rFonts w:eastAsia="Times New Roman" w:cs="Arial"/>
          <w:b/>
          <w:lang w:val="es-ES"/>
        </w:rPr>
        <w:t>V</w:t>
      </w:r>
    </w:p>
    <w:p w14:paraId="228C70E9" w14:textId="77777777" w:rsidR="00BF5974" w:rsidRDefault="00BF5974" w:rsidP="00BF5974">
      <w:pPr>
        <w:keepNext/>
        <w:keepLines/>
        <w:jc w:val="center"/>
        <w:outlineLvl w:val="0"/>
        <w:rPr>
          <w:rFonts w:eastAsia="Times New Roman" w:cs="Arial"/>
          <w:b/>
          <w:szCs w:val="32"/>
          <w:lang w:val="es-ES"/>
        </w:rPr>
      </w:pPr>
      <w:bookmarkStart w:id="108" w:name="_Toc22021900"/>
      <w:bookmarkStart w:id="109" w:name="_Toc22983170"/>
      <w:r>
        <w:rPr>
          <w:rFonts w:eastAsia="Times New Roman" w:cs="Arial"/>
          <w:b/>
          <w:szCs w:val="32"/>
          <w:lang w:val="es-ES"/>
        </w:rPr>
        <w:t>ADMINISTRACIÓN PÚBLICA CENTRALIZADA Y DESCENTRALIZADA</w:t>
      </w:r>
      <w:bookmarkEnd w:id="108"/>
      <w:bookmarkEnd w:id="109"/>
    </w:p>
    <w:p w14:paraId="00D45B63" w14:textId="77777777" w:rsidR="00BF5974" w:rsidRDefault="00BF5974" w:rsidP="00BF5974">
      <w:pPr>
        <w:tabs>
          <w:tab w:val="left" w:pos="484"/>
        </w:tabs>
        <w:rPr>
          <w:rFonts w:cs="Arial"/>
          <w:lang w:val="es-ES"/>
        </w:rPr>
      </w:pPr>
    </w:p>
    <w:p w14:paraId="6DC2960A" w14:textId="77777777" w:rsidR="00BF5974" w:rsidRDefault="00BF5974" w:rsidP="00BF5974">
      <w:pPr>
        <w:rPr>
          <w:rFonts w:eastAsia="Times New Roman" w:cs="Arial"/>
        </w:rPr>
      </w:pPr>
      <w:r>
        <w:rPr>
          <w:rFonts w:cs="Arial"/>
          <w:b/>
          <w:lang w:val="es-ES"/>
        </w:rPr>
        <w:t>Artículo 23</w:t>
      </w:r>
      <w:r>
        <w:rPr>
          <w:rFonts w:cs="Arial"/>
          <w:lang w:val="es-ES"/>
        </w:rPr>
        <w:t xml:space="preserve">. </w:t>
      </w:r>
      <w:r>
        <w:rPr>
          <w:rFonts w:eastAsia="Times New Roman" w:cs="Arial"/>
        </w:rPr>
        <w:t xml:space="preserve">Las erogaciones previstas en el Ejercicio Fiscal 2025 para </w:t>
      </w:r>
      <w:r>
        <w:rPr>
          <w:rFonts w:eastAsia="Times New Roman" w:cs="Arial"/>
          <w:bCs/>
        </w:rPr>
        <w:t>la Administración Pública Centralizada, Transferencias y Ramos Generales</w:t>
      </w:r>
      <w:r>
        <w:rPr>
          <w:rFonts w:eastAsia="Times New Roman" w:cs="Arial"/>
        </w:rPr>
        <w:t xml:space="preserve"> se distribuyen de la siguiente forma:</w:t>
      </w:r>
    </w:p>
    <w:p w14:paraId="5D02FCDC" w14:textId="77777777" w:rsidR="00BF5974" w:rsidRDefault="00BF5974" w:rsidP="00BF5974">
      <w:pPr>
        <w:rPr>
          <w:rFonts w:eastAsia="Times New Roman" w:cs="Arial"/>
        </w:rPr>
      </w:pPr>
    </w:p>
    <w:p w14:paraId="56AB79A2" w14:textId="77777777" w:rsidR="00BF5974" w:rsidRDefault="00BF5974" w:rsidP="00BF5974">
      <w:pPr>
        <w:ind w:left="284" w:hanging="284"/>
        <w:rPr>
          <w:rFonts w:eastAsia="Times New Roman" w:cs="Arial"/>
        </w:rPr>
      </w:pPr>
      <w:r>
        <w:rPr>
          <w:rFonts w:eastAsia="Times New Roman" w:cs="Arial"/>
        </w:rPr>
        <w:t>I.</w:t>
      </w:r>
      <w:r>
        <w:rPr>
          <w:rFonts w:eastAsia="Times New Roman" w:cs="Arial"/>
        </w:rPr>
        <w:tab/>
        <w:t>Las asignaciones previstas en el presupuesto de egresos para la Administración</w:t>
      </w:r>
      <w:r>
        <w:rPr>
          <w:rFonts w:eastAsia="Times New Roman" w:cs="Arial"/>
          <w:bCs/>
        </w:rPr>
        <w:t xml:space="preserve"> Pública Centralizada</w:t>
      </w:r>
      <w:r>
        <w:rPr>
          <w:rFonts w:eastAsia="Times New Roman" w:cs="Arial"/>
        </w:rPr>
        <w:t>, se distribuyen de la siguiente manera:</w:t>
      </w:r>
    </w:p>
    <w:p w14:paraId="0B662368" w14:textId="77777777" w:rsidR="00BF5974" w:rsidRDefault="00BF5974" w:rsidP="00BF5974">
      <w:pPr>
        <w:keepNext/>
        <w:keepLines/>
        <w:outlineLvl w:val="2"/>
        <w:rPr>
          <w:rFonts w:eastAsia="Times New Roman" w:cs="Arial"/>
          <w:b/>
          <w:szCs w:val="24"/>
          <w:lang w:val="es-ES" w:eastAsia="en-US"/>
        </w:rPr>
      </w:pPr>
    </w:p>
    <w:tbl>
      <w:tblPr>
        <w:tblW w:w="89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414"/>
        <w:gridCol w:w="1700"/>
      </w:tblGrid>
      <w:tr w:rsidR="00BF5974" w14:paraId="1F63F3D7" w14:textId="77777777" w:rsidTr="00BF5974">
        <w:trPr>
          <w:trHeight w:val="227"/>
          <w:tblHeader/>
          <w:jc w:val="right"/>
        </w:trPr>
        <w:tc>
          <w:tcPr>
            <w:tcW w:w="8931" w:type="dxa"/>
            <w:gridSpan w:val="3"/>
            <w:tcBorders>
              <w:top w:val="nil"/>
              <w:left w:val="nil"/>
              <w:bottom w:val="single" w:sz="4" w:space="0" w:color="auto"/>
              <w:right w:val="nil"/>
            </w:tcBorders>
            <w:vAlign w:val="center"/>
            <w:hideMark/>
          </w:tcPr>
          <w:p w14:paraId="6869014E" w14:textId="77777777" w:rsidR="00BF5974" w:rsidRDefault="00BF5974">
            <w:pPr>
              <w:spacing w:line="256" w:lineRule="auto"/>
              <w:jc w:val="center"/>
              <w:rPr>
                <w:rFonts w:cs="Arial"/>
                <w:b/>
                <w:bCs/>
                <w:sz w:val="20"/>
                <w:lang w:val="es-ES" w:eastAsia="en-US"/>
              </w:rPr>
            </w:pPr>
            <w:bookmarkStart w:id="110" w:name="_Toc22983171"/>
            <w:bookmarkStart w:id="111" w:name="_Toc22021902"/>
            <w:r>
              <w:rPr>
                <w:rFonts w:eastAsia="Times New Roman" w:cs="Arial"/>
                <w:b/>
                <w:sz w:val="20"/>
                <w:lang w:val="es-ES" w:eastAsia="en-US"/>
              </w:rPr>
              <w:t>Tabla 20. Administración Pública Centralizada</w:t>
            </w:r>
            <w:bookmarkEnd w:id="110"/>
            <w:bookmarkEnd w:id="111"/>
          </w:p>
        </w:tc>
      </w:tr>
      <w:tr w:rsidR="00BF5974" w14:paraId="073552CD" w14:textId="77777777" w:rsidTr="00BF5974">
        <w:trPr>
          <w:trHeight w:val="227"/>
          <w:tblHeader/>
          <w:jc w:val="right"/>
        </w:trPr>
        <w:tc>
          <w:tcPr>
            <w:tcW w:w="817" w:type="dxa"/>
            <w:tcBorders>
              <w:top w:val="single" w:sz="4" w:space="0" w:color="auto"/>
              <w:left w:val="single" w:sz="4" w:space="0" w:color="auto"/>
              <w:bottom w:val="single" w:sz="4" w:space="0" w:color="auto"/>
              <w:right w:val="single" w:sz="4" w:space="0" w:color="auto"/>
            </w:tcBorders>
            <w:vAlign w:val="center"/>
            <w:hideMark/>
          </w:tcPr>
          <w:p w14:paraId="588E452A" w14:textId="77777777" w:rsidR="00BF5974" w:rsidRDefault="00BF5974">
            <w:pPr>
              <w:spacing w:line="256" w:lineRule="auto"/>
              <w:jc w:val="center"/>
              <w:rPr>
                <w:rFonts w:cs="Arial"/>
                <w:b/>
                <w:bCs/>
                <w:sz w:val="20"/>
                <w:szCs w:val="20"/>
                <w:lang w:val="es-ES" w:eastAsia="en-US"/>
              </w:rPr>
            </w:pPr>
            <w:r>
              <w:rPr>
                <w:rFonts w:cs="Arial"/>
                <w:b/>
                <w:bCs/>
                <w:sz w:val="20"/>
                <w:szCs w:val="20"/>
                <w:lang w:val="es-ES" w:eastAsia="en-US"/>
              </w:rPr>
              <w:t>Clave</w:t>
            </w:r>
          </w:p>
        </w:tc>
        <w:tc>
          <w:tcPr>
            <w:tcW w:w="6414" w:type="dxa"/>
            <w:tcBorders>
              <w:top w:val="single" w:sz="4" w:space="0" w:color="auto"/>
              <w:left w:val="single" w:sz="4" w:space="0" w:color="auto"/>
              <w:bottom w:val="single" w:sz="4" w:space="0" w:color="auto"/>
              <w:right w:val="single" w:sz="4" w:space="0" w:color="auto"/>
            </w:tcBorders>
            <w:vAlign w:val="center"/>
            <w:hideMark/>
          </w:tcPr>
          <w:p w14:paraId="65002FBA" w14:textId="77777777" w:rsidR="00BF5974" w:rsidRDefault="00BF5974">
            <w:pPr>
              <w:spacing w:line="256" w:lineRule="auto"/>
              <w:jc w:val="center"/>
              <w:rPr>
                <w:rFonts w:cs="Arial"/>
                <w:b/>
                <w:bCs/>
                <w:sz w:val="20"/>
                <w:szCs w:val="20"/>
                <w:lang w:val="es-ES" w:eastAsia="en-US"/>
              </w:rPr>
            </w:pPr>
            <w:r>
              <w:rPr>
                <w:rFonts w:cs="Arial"/>
                <w:b/>
                <w:bCs/>
                <w:sz w:val="20"/>
                <w:szCs w:val="20"/>
                <w:lang w:val="es-ES" w:eastAsia="en-US"/>
              </w:rPr>
              <w:t>Unidad Presupuestal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333D9BF" w14:textId="77777777" w:rsidR="00BF5974" w:rsidRDefault="00BF5974">
            <w:pPr>
              <w:spacing w:line="256" w:lineRule="auto"/>
              <w:jc w:val="center"/>
              <w:rPr>
                <w:rFonts w:cs="Arial"/>
                <w:b/>
                <w:bCs/>
                <w:sz w:val="20"/>
                <w:szCs w:val="20"/>
                <w:lang w:val="es-ES" w:eastAsia="en-US"/>
              </w:rPr>
            </w:pPr>
            <w:r>
              <w:rPr>
                <w:rFonts w:cs="Arial"/>
                <w:b/>
                <w:bCs/>
                <w:sz w:val="20"/>
                <w:szCs w:val="20"/>
                <w:lang w:val="es-ES" w:eastAsia="en-US"/>
              </w:rPr>
              <w:t>Asignación Presupuestal</w:t>
            </w:r>
          </w:p>
        </w:tc>
      </w:tr>
      <w:tr w:rsidR="00C27413" w14:paraId="5DE5D38E" w14:textId="77777777" w:rsidTr="0051429E">
        <w:trPr>
          <w:trHeight w:val="227"/>
          <w:jc w:val="right"/>
        </w:trPr>
        <w:tc>
          <w:tcPr>
            <w:tcW w:w="817" w:type="dxa"/>
            <w:tcBorders>
              <w:top w:val="single" w:sz="4" w:space="0" w:color="auto"/>
              <w:left w:val="single" w:sz="4" w:space="0" w:color="auto"/>
              <w:bottom w:val="single" w:sz="4" w:space="0" w:color="auto"/>
              <w:right w:val="single" w:sz="4" w:space="0" w:color="auto"/>
            </w:tcBorders>
            <w:vAlign w:val="center"/>
            <w:hideMark/>
          </w:tcPr>
          <w:p w14:paraId="23B630DB" w14:textId="77777777" w:rsidR="00C27413" w:rsidRDefault="00C27413" w:rsidP="00C27413">
            <w:pPr>
              <w:spacing w:line="256" w:lineRule="auto"/>
              <w:jc w:val="center"/>
              <w:rPr>
                <w:rFonts w:cs="Arial"/>
                <w:sz w:val="18"/>
                <w:szCs w:val="18"/>
                <w:lang w:val="es-ES" w:eastAsia="en-US"/>
              </w:rPr>
            </w:pPr>
            <w:r>
              <w:rPr>
                <w:rFonts w:cs="Arial"/>
                <w:sz w:val="18"/>
                <w:szCs w:val="18"/>
                <w:lang w:val="es-ES" w:eastAsia="en-US"/>
              </w:rPr>
              <w:t>010000</w:t>
            </w:r>
          </w:p>
        </w:tc>
        <w:tc>
          <w:tcPr>
            <w:tcW w:w="6414" w:type="dxa"/>
            <w:tcBorders>
              <w:top w:val="single" w:sz="4" w:space="0" w:color="auto"/>
              <w:left w:val="single" w:sz="4" w:space="0" w:color="auto"/>
              <w:bottom w:val="single" w:sz="4" w:space="0" w:color="auto"/>
              <w:right w:val="single" w:sz="4" w:space="0" w:color="auto"/>
            </w:tcBorders>
            <w:vAlign w:val="center"/>
            <w:hideMark/>
          </w:tcPr>
          <w:p w14:paraId="1F7D05BF" w14:textId="77777777" w:rsidR="00C27413" w:rsidRDefault="00C27413" w:rsidP="00C27413">
            <w:pPr>
              <w:spacing w:line="256" w:lineRule="auto"/>
              <w:rPr>
                <w:rFonts w:cs="Arial"/>
                <w:sz w:val="18"/>
                <w:szCs w:val="18"/>
                <w:lang w:val="es-ES" w:eastAsia="en-US"/>
              </w:rPr>
            </w:pPr>
            <w:r>
              <w:rPr>
                <w:rFonts w:cs="Arial"/>
                <w:color w:val="000000"/>
                <w:sz w:val="18"/>
                <w:szCs w:val="18"/>
                <w:lang w:val="es-ES" w:eastAsia="en-US"/>
              </w:rPr>
              <w:t>Oficina de la Gubernatura.</w:t>
            </w:r>
          </w:p>
        </w:tc>
        <w:tc>
          <w:tcPr>
            <w:tcW w:w="1700" w:type="dxa"/>
            <w:tcBorders>
              <w:top w:val="single" w:sz="4" w:space="0" w:color="auto"/>
              <w:left w:val="single" w:sz="4" w:space="0" w:color="auto"/>
              <w:bottom w:val="single" w:sz="4" w:space="0" w:color="auto"/>
              <w:right w:val="single" w:sz="4" w:space="0" w:color="auto"/>
            </w:tcBorders>
            <w:noWrap/>
            <w:vAlign w:val="center"/>
            <w:hideMark/>
          </w:tcPr>
          <w:p w14:paraId="1A522F1B" w14:textId="0EF5316D" w:rsidR="00C27413" w:rsidRDefault="00C27413" w:rsidP="00C27413">
            <w:pPr>
              <w:spacing w:line="256" w:lineRule="auto"/>
              <w:jc w:val="right"/>
              <w:rPr>
                <w:rFonts w:cs="Arial"/>
                <w:sz w:val="18"/>
                <w:szCs w:val="18"/>
                <w:lang w:val="es-ES" w:eastAsia="en-US"/>
              </w:rPr>
            </w:pPr>
            <w:r>
              <w:rPr>
                <w:rFonts w:cs="Arial"/>
                <w:color w:val="000000"/>
                <w:sz w:val="18"/>
                <w:szCs w:val="18"/>
              </w:rPr>
              <w:t xml:space="preserve">95,842,291 </w:t>
            </w:r>
          </w:p>
        </w:tc>
      </w:tr>
      <w:tr w:rsidR="00C27413" w14:paraId="76DEA891" w14:textId="77777777" w:rsidTr="0051429E">
        <w:trPr>
          <w:trHeight w:val="227"/>
          <w:jc w:val="right"/>
        </w:trPr>
        <w:tc>
          <w:tcPr>
            <w:tcW w:w="817" w:type="dxa"/>
            <w:tcBorders>
              <w:top w:val="single" w:sz="4" w:space="0" w:color="auto"/>
              <w:left w:val="single" w:sz="4" w:space="0" w:color="auto"/>
              <w:bottom w:val="single" w:sz="4" w:space="0" w:color="auto"/>
              <w:right w:val="single" w:sz="4" w:space="0" w:color="auto"/>
            </w:tcBorders>
            <w:vAlign w:val="center"/>
            <w:hideMark/>
          </w:tcPr>
          <w:p w14:paraId="54F1E9FE" w14:textId="77777777" w:rsidR="00C27413" w:rsidRDefault="00C27413" w:rsidP="00C27413">
            <w:pPr>
              <w:spacing w:line="256" w:lineRule="auto"/>
              <w:jc w:val="center"/>
              <w:rPr>
                <w:rFonts w:cs="Arial"/>
                <w:sz w:val="18"/>
                <w:szCs w:val="18"/>
                <w:lang w:val="es-ES" w:eastAsia="en-US"/>
              </w:rPr>
            </w:pPr>
            <w:r>
              <w:rPr>
                <w:rFonts w:cs="Arial"/>
                <w:sz w:val="18"/>
                <w:szCs w:val="18"/>
                <w:lang w:val="es-ES" w:eastAsia="en-US"/>
              </w:rPr>
              <w:t>020000</w:t>
            </w:r>
          </w:p>
        </w:tc>
        <w:tc>
          <w:tcPr>
            <w:tcW w:w="6414" w:type="dxa"/>
            <w:tcBorders>
              <w:top w:val="single" w:sz="4" w:space="0" w:color="auto"/>
              <w:left w:val="single" w:sz="4" w:space="0" w:color="auto"/>
              <w:bottom w:val="single" w:sz="4" w:space="0" w:color="auto"/>
              <w:right w:val="single" w:sz="4" w:space="0" w:color="auto"/>
            </w:tcBorders>
            <w:vAlign w:val="center"/>
            <w:hideMark/>
          </w:tcPr>
          <w:p w14:paraId="5FAA9554" w14:textId="77777777" w:rsidR="00C27413" w:rsidRDefault="00C27413" w:rsidP="00C27413">
            <w:pPr>
              <w:spacing w:line="256" w:lineRule="auto"/>
              <w:rPr>
                <w:rFonts w:cs="Arial"/>
                <w:sz w:val="18"/>
                <w:szCs w:val="18"/>
                <w:lang w:val="es-ES" w:eastAsia="en-US"/>
              </w:rPr>
            </w:pPr>
            <w:r>
              <w:rPr>
                <w:rFonts w:cs="Arial"/>
                <w:color w:val="000000"/>
                <w:sz w:val="18"/>
                <w:szCs w:val="18"/>
                <w:lang w:val="es-ES" w:eastAsia="en-US"/>
              </w:rPr>
              <w:t>Secretaría General de Gobierno.</w:t>
            </w:r>
          </w:p>
        </w:tc>
        <w:tc>
          <w:tcPr>
            <w:tcW w:w="1700" w:type="dxa"/>
            <w:tcBorders>
              <w:top w:val="single" w:sz="4" w:space="0" w:color="auto"/>
              <w:left w:val="single" w:sz="4" w:space="0" w:color="auto"/>
              <w:bottom w:val="single" w:sz="4" w:space="0" w:color="auto"/>
              <w:right w:val="single" w:sz="4" w:space="0" w:color="auto"/>
            </w:tcBorders>
            <w:noWrap/>
            <w:vAlign w:val="center"/>
            <w:hideMark/>
          </w:tcPr>
          <w:p w14:paraId="2E2FB279" w14:textId="6F75EAAD" w:rsidR="00C27413" w:rsidRDefault="00C27413" w:rsidP="00C27413">
            <w:pPr>
              <w:spacing w:line="256" w:lineRule="auto"/>
              <w:jc w:val="right"/>
              <w:rPr>
                <w:rFonts w:cs="Arial"/>
                <w:sz w:val="18"/>
                <w:szCs w:val="18"/>
                <w:lang w:val="es-ES" w:eastAsia="en-US"/>
              </w:rPr>
            </w:pPr>
            <w:r>
              <w:rPr>
                <w:rFonts w:cs="Arial"/>
                <w:color w:val="000000"/>
                <w:sz w:val="18"/>
                <w:szCs w:val="18"/>
              </w:rPr>
              <w:t xml:space="preserve">669,142,145 </w:t>
            </w:r>
          </w:p>
        </w:tc>
      </w:tr>
      <w:tr w:rsidR="00C27413" w14:paraId="63D448C9" w14:textId="77777777" w:rsidTr="0051429E">
        <w:trPr>
          <w:trHeight w:val="227"/>
          <w:jc w:val="right"/>
        </w:trPr>
        <w:tc>
          <w:tcPr>
            <w:tcW w:w="817" w:type="dxa"/>
            <w:tcBorders>
              <w:top w:val="single" w:sz="4" w:space="0" w:color="auto"/>
              <w:left w:val="single" w:sz="4" w:space="0" w:color="auto"/>
              <w:bottom w:val="single" w:sz="4" w:space="0" w:color="auto"/>
              <w:right w:val="single" w:sz="4" w:space="0" w:color="auto"/>
            </w:tcBorders>
            <w:vAlign w:val="center"/>
            <w:hideMark/>
          </w:tcPr>
          <w:p w14:paraId="56F5AFFF" w14:textId="77777777" w:rsidR="00C27413" w:rsidRDefault="00C27413" w:rsidP="00C27413">
            <w:pPr>
              <w:spacing w:line="256" w:lineRule="auto"/>
              <w:jc w:val="center"/>
              <w:rPr>
                <w:rFonts w:cs="Arial"/>
                <w:sz w:val="18"/>
                <w:szCs w:val="18"/>
                <w:lang w:val="es-ES" w:eastAsia="en-US"/>
              </w:rPr>
            </w:pPr>
            <w:r>
              <w:rPr>
                <w:rFonts w:cs="Arial"/>
                <w:sz w:val="18"/>
                <w:szCs w:val="18"/>
                <w:lang w:val="es-ES" w:eastAsia="en-US"/>
              </w:rPr>
              <w:t>030000</w:t>
            </w:r>
          </w:p>
        </w:tc>
        <w:tc>
          <w:tcPr>
            <w:tcW w:w="6414" w:type="dxa"/>
            <w:tcBorders>
              <w:top w:val="single" w:sz="4" w:space="0" w:color="auto"/>
              <w:left w:val="single" w:sz="4" w:space="0" w:color="auto"/>
              <w:bottom w:val="single" w:sz="4" w:space="0" w:color="auto"/>
              <w:right w:val="single" w:sz="4" w:space="0" w:color="auto"/>
            </w:tcBorders>
            <w:vAlign w:val="center"/>
            <w:hideMark/>
          </w:tcPr>
          <w:p w14:paraId="2A6DA414" w14:textId="77777777" w:rsidR="00C27413" w:rsidRDefault="00C27413" w:rsidP="00C27413">
            <w:pPr>
              <w:spacing w:line="256" w:lineRule="auto"/>
              <w:rPr>
                <w:rFonts w:cs="Arial"/>
                <w:sz w:val="18"/>
                <w:szCs w:val="18"/>
                <w:lang w:val="es-ES" w:eastAsia="en-US"/>
              </w:rPr>
            </w:pPr>
            <w:r>
              <w:rPr>
                <w:rFonts w:cs="Arial"/>
                <w:color w:val="000000"/>
                <w:sz w:val="18"/>
                <w:szCs w:val="18"/>
                <w:lang w:val="es-ES" w:eastAsia="en-US"/>
              </w:rPr>
              <w:t>Secretaría de Planeación, Finanzas y Administración.</w:t>
            </w:r>
          </w:p>
        </w:tc>
        <w:tc>
          <w:tcPr>
            <w:tcW w:w="1700" w:type="dxa"/>
            <w:tcBorders>
              <w:top w:val="single" w:sz="4" w:space="0" w:color="auto"/>
              <w:left w:val="single" w:sz="4" w:space="0" w:color="auto"/>
              <w:bottom w:val="single" w:sz="4" w:space="0" w:color="auto"/>
              <w:right w:val="single" w:sz="4" w:space="0" w:color="auto"/>
            </w:tcBorders>
            <w:noWrap/>
            <w:vAlign w:val="center"/>
            <w:hideMark/>
          </w:tcPr>
          <w:p w14:paraId="4B3C4FF5" w14:textId="19B8E503" w:rsidR="00C27413" w:rsidRDefault="00C27413" w:rsidP="00C27413">
            <w:pPr>
              <w:spacing w:line="256" w:lineRule="auto"/>
              <w:jc w:val="right"/>
              <w:rPr>
                <w:rFonts w:cs="Arial"/>
                <w:sz w:val="18"/>
                <w:szCs w:val="18"/>
                <w:lang w:val="es-ES" w:eastAsia="en-US"/>
              </w:rPr>
            </w:pPr>
            <w:r>
              <w:rPr>
                <w:rFonts w:cs="Arial"/>
                <w:color w:val="000000"/>
                <w:sz w:val="18"/>
                <w:szCs w:val="18"/>
              </w:rPr>
              <w:t xml:space="preserve">459,320,644 </w:t>
            </w:r>
          </w:p>
        </w:tc>
      </w:tr>
      <w:tr w:rsidR="00C27413" w14:paraId="64632065" w14:textId="77777777" w:rsidTr="0051429E">
        <w:trPr>
          <w:trHeight w:val="227"/>
          <w:jc w:val="right"/>
        </w:trPr>
        <w:tc>
          <w:tcPr>
            <w:tcW w:w="817" w:type="dxa"/>
            <w:tcBorders>
              <w:top w:val="single" w:sz="4" w:space="0" w:color="auto"/>
              <w:left w:val="single" w:sz="4" w:space="0" w:color="auto"/>
              <w:bottom w:val="single" w:sz="4" w:space="0" w:color="auto"/>
              <w:right w:val="single" w:sz="4" w:space="0" w:color="auto"/>
            </w:tcBorders>
            <w:vAlign w:val="center"/>
            <w:hideMark/>
          </w:tcPr>
          <w:p w14:paraId="61F93E9A" w14:textId="77777777" w:rsidR="00C27413" w:rsidRDefault="00C27413" w:rsidP="00C27413">
            <w:pPr>
              <w:spacing w:line="256" w:lineRule="auto"/>
              <w:jc w:val="center"/>
              <w:rPr>
                <w:rFonts w:cs="Arial"/>
                <w:sz w:val="18"/>
                <w:szCs w:val="18"/>
                <w:lang w:val="es-ES" w:eastAsia="en-US"/>
              </w:rPr>
            </w:pPr>
            <w:r>
              <w:rPr>
                <w:rFonts w:cs="Arial"/>
                <w:sz w:val="18"/>
                <w:szCs w:val="18"/>
                <w:lang w:val="es-ES" w:eastAsia="en-US"/>
              </w:rPr>
              <w:t>040000</w:t>
            </w:r>
          </w:p>
        </w:tc>
        <w:tc>
          <w:tcPr>
            <w:tcW w:w="6414" w:type="dxa"/>
            <w:tcBorders>
              <w:top w:val="single" w:sz="4" w:space="0" w:color="auto"/>
              <w:left w:val="single" w:sz="4" w:space="0" w:color="auto"/>
              <w:bottom w:val="single" w:sz="4" w:space="0" w:color="auto"/>
              <w:right w:val="single" w:sz="4" w:space="0" w:color="auto"/>
            </w:tcBorders>
            <w:vAlign w:val="center"/>
            <w:hideMark/>
          </w:tcPr>
          <w:p w14:paraId="31E39641" w14:textId="77777777" w:rsidR="00C27413" w:rsidRDefault="00C27413" w:rsidP="00C27413">
            <w:pPr>
              <w:spacing w:line="256" w:lineRule="auto"/>
              <w:rPr>
                <w:rFonts w:cs="Arial"/>
                <w:sz w:val="18"/>
                <w:szCs w:val="18"/>
                <w:lang w:val="es-ES" w:eastAsia="en-US"/>
              </w:rPr>
            </w:pPr>
            <w:r>
              <w:rPr>
                <w:rFonts w:cs="Arial"/>
                <w:color w:val="000000"/>
                <w:sz w:val="18"/>
                <w:szCs w:val="18"/>
                <w:lang w:val="es-ES" w:eastAsia="en-US"/>
              </w:rPr>
              <w:t>Secretaría de Bienestar, Inclusión Social y Mujeres.</w:t>
            </w:r>
          </w:p>
        </w:tc>
        <w:tc>
          <w:tcPr>
            <w:tcW w:w="1700" w:type="dxa"/>
            <w:tcBorders>
              <w:top w:val="single" w:sz="4" w:space="0" w:color="auto"/>
              <w:left w:val="single" w:sz="4" w:space="0" w:color="auto"/>
              <w:bottom w:val="single" w:sz="4" w:space="0" w:color="auto"/>
              <w:right w:val="single" w:sz="4" w:space="0" w:color="auto"/>
            </w:tcBorders>
            <w:noWrap/>
            <w:vAlign w:val="center"/>
            <w:hideMark/>
          </w:tcPr>
          <w:p w14:paraId="0307FC35" w14:textId="653668CC" w:rsidR="00C27413" w:rsidRDefault="00C27413" w:rsidP="00C27413">
            <w:pPr>
              <w:spacing w:line="256" w:lineRule="auto"/>
              <w:jc w:val="right"/>
              <w:rPr>
                <w:rFonts w:cs="Arial"/>
                <w:sz w:val="18"/>
                <w:szCs w:val="18"/>
                <w:lang w:val="es-ES" w:eastAsia="en-US"/>
              </w:rPr>
            </w:pPr>
            <w:r>
              <w:rPr>
                <w:rFonts w:cs="Arial"/>
                <w:color w:val="000000"/>
                <w:sz w:val="18"/>
                <w:szCs w:val="18"/>
              </w:rPr>
              <w:t xml:space="preserve">985,365,515 </w:t>
            </w:r>
          </w:p>
        </w:tc>
      </w:tr>
      <w:tr w:rsidR="00C27413" w14:paraId="1443EA70" w14:textId="77777777" w:rsidTr="0051429E">
        <w:trPr>
          <w:trHeight w:val="227"/>
          <w:jc w:val="right"/>
        </w:trPr>
        <w:tc>
          <w:tcPr>
            <w:tcW w:w="817" w:type="dxa"/>
            <w:tcBorders>
              <w:top w:val="single" w:sz="4" w:space="0" w:color="auto"/>
              <w:left w:val="single" w:sz="4" w:space="0" w:color="auto"/>
              <w:bottom w:val="single" w:sz="4" w:space="0" w:color="auto"/>
              <w:right w:val="single" w:sz="4" w:space="0" w:color="auto"/>
            </w:tcBorders>
            <w:vAlign w:val="center"/>
            <w:hideMark/>
          </w:tcPr>
          <w:p w14:paraId="49DEA3CD" w14:textId="77777777" w:rsidR="00C27413" w:rsidRDefault="00C27413" w:rsidP="00C27413">
            <w:pPr>
              <w:spacing w:line="256" w:lineRule="auto"/>
              <w:jc w:val="center"/>
              <w:rPr>
                <w:rFonts w:cs="Arial"/>
                <w:sz w:val="18"/>
                <w:szCs w:val="18"/>
                <w:lang w:val="es-ES" w:eastAsia="en-US"/>
              </w:rPr>
            </w:pPr>
            <w:r>
              <w:rPr>
                <w:rFonts w:cs="Arial"/>
                <w:sz w:val="18"/>
                <w:szCs w:val="18"/>
                <w:lang w:val="es-ES" w:eastAsia="en-US"/>
              </w:rPr>
              <w:t>050000</w:t>
            </w:r>
          </w:p>
        </w:tc>
        <w:tc>
          <w:tcPr>
            <w:tcW w:w="6414" w:type="dxa"/>
            <w:tcBorders>
              <w:top w:val="single" w:sz="4" w:space="0" w:color="auto"/>
              <w:left w:val="single" w:sz="4" w:space="0" w:color="auto"/>
              <w:bottom w:val="single" w:sz="4" w:space="0" w:color="auto"/>
              <w:right w:val="single" w:sz="4" w:space="0" w:color="auto"/>
            </w:tcBorders>
            <w:vAlign w:val="center"/>
            <w:hideMark/>
          </w:tcPr>
          <w:p w14:paraId="7D3EC988" w14:textId="77777777" w:rsidR="00C27413" w:rsidRDefault="00C27413" w:rsidP="00C27413">
            <w:pPr>
              <w:spacing w:line="256" w:lineRule="auto"/>
              <w:rPr>
                <w:rFonts w:cs="Arial"/>
                <w:sz w:val="18"/>
                <w:szCs w:val="18"/>
                <w:lang w:val="es-ES" w:eastAsia="en-US"/>
              </w:rPr>
            </w:pPr>
            <w:r>
              <w:rPr>
                <w:rFonts w:cs="Arial"/>
                <w:color w:val="000000"/>
                <w:sz w:val="18"/>
                <w:szCs w:val="18"/>
                <w:lang w:val="es-ES" w:eastAsia="en-US"/>
              </w:rPr>
              <w:t>Secretaría de Infraestructura, Desarrollo Urbano y Movilidad.</w:t>
            </w:r>
          </w:p>
        </w:tc>
        <w:tc>
          <w:tcPr>
            <w:tcW w:w="1700" w:type="dxa"/>
            <w:tcBorders>
              <w:top w:val="single" w:sz="4" w:space="0" w:color="auto"/>
              <w:left w:val="single" w:sz="4" w:space="0" w:color="auto"/>
              <w:bottom w:val="single" w:sz="4" w:space="0" w:color="auto"/>
              <w:right w:val="single" w:sz="4" w:space="0" w:color="auto"/>
            </w:tcBorders>
            <w:noWrap/>
            <w:vAlign w:val="center"/>
            <w:hideMark/>
          </w:tcPr>
          <w:p w14:paraId="6CC67358" w14:textId="735F499A" w:rsidR="00C27413" w:rsidRDefault="00C27413" w:rsidP="00C27413">
            <w:pPr>
              <w:spacing w:line="256" w:lineRule="auto"/>
              <w:jc w:val="right"/>
              <w:rPr>
                <w:rFonts w:cs="Arial"/>
                <w:sz w:val="18"/>
                <w:szCs w:val="18"/>
                <w:lang w:val="es-ES" w:eastAsia="en-US"/>
              </w:rPr>
            </w:pPr>
            <w:r>
              <w:rPr>
                <w:rFonts w:cs="Arial"/>
                <w:color w:val="000000"/>
                <w:sz w:val="18"/>
                <w:szCs w:val="18"/>
              </w:rPr>
              <w:t xml:space="preserve">632,898,230 </w:t>
            </w:r>
          </w:p>
        </w:tc>
      </w:tr>
      <w:tr w:rsidR="00C27413" w14:paraId="3C41192B" w14:textId="77777777" w:rsidTr="0051429E">
        <w:trPr>
          <w:trHeight w:val="227"/>
          <w:jc w:val="right"/>
        </w:trPr>
        <w:tc>
          <w:tcPr>
            <w:tcW w:w="817" w:type="dxa"/>
            <w:tcBorders>
              <w:top w:val="single" w:sz="4" w:space="0" w:color="auto"/>
              <w:left w:val="single" w:sz="4" w:space="0" w:color="auto"/>
              <w:bottom w:val="single" w:sz="4" w:space="0" w:color="auto"/>
              <w:right w:val="single" w:sz="4" w:space="0" w:color="auto"/>
            </w:tcBorders>
            <w:vAlign w:val="center"/>
            <w:hideMark/>
          </w:tcPr>
          <w:p w14:paraId="0C857AB8" w14:textId="77777777" w:rsidR="00C27413" w:rsidRDefault="00C27413" w:rsidP="00C27413">
            <w:pPr>
              <w:spacing w:line="256" w:lineRule="auto"/>
              <w:jc w:val="center"/>
              <w:rPr>
                <w:rFonts w:cs="Arial"/>
                <w:sz w:val="18"/>
                <w:szCs w:val="18"/>
                <w:lang w:val="es-ES" w:eastAsia="en-US"/>
              </w:rPr>
            </w:pPr>
            <w:r>
              <w:rPr>
                <w:rFonts w:cs="Arial"/>
                <w:sz w:val="18"/>
                <w:szCs w:val="18"/>
                <w:lang w:val="es-ES" w:eastAsia="en-US"/>
              </w:rPr>
              <w:t>060000</w:t>
            </w:r>
          </w:p>
        </w:tc>
        <w:tc>
          <w:tcPr>
            <w:tcW w:w="6414" w:type="dxa"/>
            <w:tcBorders>
              <w:top w:val="single" w:sz="4" w:space="0" w:color="auto"/>
              <w:left w:val="single" w:sz="4" w:space="0" w:color="auto"/>
              <w:bottom w:val="single" w:sz="4" w:space="0" w:color="auto"/>
              <w:right w:val="single" w:sz="4" w:space="0" w:color="auto"/>
            </w:tcBorders>
            <w:vAlign w:val="center"/>
            <w:hideMark/>
          </w:tcPr>
          <w:p w14:paraId="77C1A8E0" w14:textId="77777777" w:rsidR="00C27413" w:rsidRDefault="00C27413" w:rsidP="00C27413">
            <w:pPr>
              <w:spacing w:line="256" w:lineRule="auto"/>
              <w:rPr>
                <w:rFonts w:cs="Arial"/>
                <w:sz w:val="18"/>
                <w:szCs w:val="18"/>
                <w:lang w:val="es-ES" w:eastAsia="en-US"/>
              </w:rPr>
            </w:pPr>
            <w:r>
              <w:rPr>
                <w:rFonts w:cs="Arial"/>
                <w:color w:val="000000"/>
                <w:sz w:val="18"/>
                <w:szCs w:val="18"/>
                <w:lang w:val="es-ES" w:eastAsia="en-US"/>
              </w:rPr>
              <w:t>Secretaría de Educación y Cultura.</w:t>
            </w:r>
          </w:p>
        </w:tc>
        <w:tc>
          <w:tcPr>
            <w:tcW w:w="1700" w:type="dxa"/>
            <w:tcBorders>
              <w:top w:val="single" w:sz="4" w:space="0" w:color="auto"/>
              <w:left w:val="single" w:sz="4" w:space="0" w:color="auto"/>
              <w:bottom w:val="single" w:sz="4" w:space="0" w:color="auto"/>
              <w:right w:val="single" w:sz="4" w:space="0" w:color="auto"/>
            </w:tcBorders>
            <w:noWrap/>
            <w:vAlign w:val="center"/>
            <w:hideMark/>
          </w:tcPr>
          <w:p w14:paraId="5B7896E1" w14:textId="29977D93" w:rsidR="00C27413" w:rsidRDefault="00C27413" w:rsidP="00C27413">
            <w:pPr>
              <w:spacing w:line="256" w:lineRule="auto"/>
              <w:jc w:val="right"/>
              <w:rPr>
                <w:rFonts w:cs="Arial"/>
                <w:sz w:val="18"/>
                <w:szCs w:val="18"/>
                <w:lang w:val="es-ES" w:eastAsia="en-US"/>
              </w:rPr>
            </w:pPr>
            <w:r>
              <w:rPr>
                <w:rFonts w:cs="Arial"/>
                <w:color w:val="000000"/>
                <w:sz w:val="18"/>
                <w:szCs w:val="18"/>
              </w:rPr>
              <w:t xml:space="preserve">9,073,126,006 </w:t>
            </w:r>
          </w:p>
        </w:tc>
      </w:tr>
      <w:tr w:rsidR="00C27413" w14:paraId="6BA241C1" w14:textId="77777777" w:rsidTr="0051429E">
        <w:trPr>
          <w:trHeight w:val="227"/>
          <w:jc w:val="right"/>
        </w:trPr>
        <w:tc>
          <w:tcPr>
            <w:tcW w:w="817" w:type="dxa"/>
            <w:tcBorders>
              <w:top w:val="single" w:sz="4" w:space="0" w:color="auto"/>
              <w:left w:val="single" w:sz="4" w:space="0" w:color="auto"/>
              <w:bottom w:val="single" w:sz="4" w:space="0" w:color="auto"/>
              <w:right w:val="single" w:sz="4" w:space="0" w:color="auto"/>
            </w:tcBorders>
            <w:vAlign w:val="center"/>
            <w:hideMark/>
          </w:tcPr>
          <w:p w14:paraId="286F61E3" w14:textId="77777777" w:rsidR="00C27413" w:rsidRDefault="00C27413" w:rsidP="00C27413">
            <w:pPr>
              <w:spacing w:line="256" w:lineRule="auto"/>
              <w:jc w:val="center"/>
              <w:rPr>
                <w:rFonts w:cs="Arial"/>
                <w:sz w:val="18"/>
                <w:szCs w:val="18"/>
                <w:lang w:val="es-ES" w:eastAsia="en-US"/>
              </w:rPr>
            </w:pPr>
            <w:r>
              <w:rPr>
                <w:rFonts w:cs="Arial"/>
                <w:sz w:val="18"/>
                <w:szCs w:val="18"/>
                <w:lang w:val="es-ES" w:eastAsia="en-US"/>
              </w:rPr>
              <w:t>070000</w:t>
            </w:r>
          </w:p>
        </w:tc>
        <w:tc>
          <w:tcPr>
            <w:tcW w:w="6414" w:type="dxa"/>
            <w:tcBorders>
              <w:top w:val="single" w:sz="4" w:space="0" w:color="auto"/>
              <w:left w:val="single" w:sz="4" w:space="0" w:color="auto"/>
              <w:bottom w:val="single" w:sz="4" w:space="0" w:color="auto"/>
              <w:right w:val="single" w:sz="4" w:space="0" w:color="auto"/>
            </w:tcBorders>
            <w:vAlign w:val="center"/>
            <w:hideMark/>
          </w:tcPr>
          <w:p w14:paraId="540AFE15" w14:textId="77777777" w:rsidR="00C27413" w:rsidRDefault="00C27413" w:rsidP="00C27413">
            <w:pPr>
              <w:spacing w:line="256" w:lineRule="auto"/>
              <w:rPr>
                <w:rFonts w:cs="Arial"/>
                <w:sz w:val="18"/>
                <w:szCs w:val="18"/>
                <w:lang w:val="es-ES" w:eastAsia="en-US"/>
              </w:rPr>
            </w:pPr>
            <w:r>
              <w:rPr>
                <w:rFonts w:cs="Arial"/>
                <w:color w:val="000000"/>
                <w:sz w:val="18"/>
                <w:szCs w:val="18"/>
                <w:lang w:val="es-ES" w:eastAsia="en-US"/>
              </w:rPr>
              <w:t>Secretaría de Salud.</w:t>
            </w:r>
          </w:p>
        </w:tc>
        <w:tc>
          <w:tcPr>
            <w:tcW w:w="1700" w:type="dxa"/>
            <w:tcBorders>
              <w:top w:val="single" w:sz="4" w:space="0" w:color="auto"/>
              <w:left w:val="single" w:sz="4" w:space="0" w:color="auto"/>
              <w:bottom w:val="single" w:sz="4" w:space="0" w:color="auto"/>
              <w:right w:val="single" w:sz="4" w:space="0" w:color="auto"/>
            </w:tcBorders>
            <w:noWrap/>
            <w:vAlign w:val="center"/>
            <w:hideMark/>
          </w:tcPr>
          <w:p w14:paraId="44C24372" w14:textId="33B94825" w:rsidR="00C27413" w:rsidRDefault="00C27413" w:rsidP="00C27413">
            <w:pPr>
              <w:spacing w:line="256" w:lineRule="auto"/>
              <w:jc w:val="right"/>
              <w:rPr>
                <w:rFonts w:cs="Arial"/>
                <w:sz w:val="18"/>
                <w:szCs w:val="18"/>
                <w:lang w:val="es-ES" w:eastAsia="en-US"/>
              </w:rPr>
            </w:pPr>
            <w:r>
              <w:rPr>
                <w:rFonts w:cs="Arial"/>
                <w:color w:val="000000"/>
                <w:sz w:val="18"/>
                <w:szCs w:val="18"/>
              </w:rPr>
              <w:t xml:space="preserve">2,505,979,102 </w:t>
            </w:r>
          </w:p>
        </w:tc>
      </w:tr>
      <w:tr w:rsidR="00C27413" w14:paraId="198E2A8F" w14:textId="77777777" w:rsidTr="0051429E">
        <w:trPr>
          <w:trHeight w:val="227"/>
          <w:jc w:val="right"/>
        </w:trPr>
        <w:tc>
          <w:tcPr>
            <w:tcW w:w="817" w:type="dxa"/>
            <w:tcBorders>
              <w:top w:val="single" w:sz="4" w:space="0" w:color="auto"/>
              <w:left w:val="single" w:sz="4" w:space="0" w:color="auto"/>
              <w:bottom w:val="single" w:sz="4" w:space="0" w:color="auto"/>
              <w:right w:val="single" w:sz="4" w:space="0" w:color="auto"/>
            </w:tcBorders>
            <w:vAlign w:val="center"/>
            <w:hideMark/>
          </w:tcPr>
          <w:p w14:paraId="4AC1850B" w14:textId="77777777" w:rsidR="00C27413" w:rsidRDefault="00C27413" w:rsidP="00C27413">
            <w:pPr>
              <w:spacing w:line="256" w:lineRule="auto"/>
              <w:jc w:val="center"/>
              <w:rPr>
                <w:rFonts w:cs="Arial"/>
                <w:sz w:val="18"/>
                <w:szCs w:val="18"/>
                <w:lang w:val="es-ES" w:eastAsia="en-US"/>
              </w:rPr>
            </w:pPr>
            <w:r>
              <w:rPr>
                <w:rFonts w:cs="Arial"/>
                <w:sz w:val="18"/>
                <w:szCs w:val="18"/>
                <w:lang w:val="es-ES" w:eastAsia="en-US"/>
              </w:rPr>
              <w:t>080000</w:t>
            </w:r>
          </w:p>
        </w:tc>
        <w:tc>
          <w:tcPr>
            <w:tcW w:w="6414" w:type="dxa"/>
            <w:tcBorders>
              <w:top w:val="single" w:sz="4" w:space="0" w:color="auto"/>
              <w:left w:val="single" w:sz="4" w:space="0" w:color="auto"/>
              <w:bottom w:val="single" w:sz="4" w:space="0" w:color="auto"/>
              <w:right w:val="single" w:sz="4" w:space="0" w:color="auto"/>
            </w:tcBorders>
            <w:vAlign w:val="center"/>
            <w:hideMark/>
          </w:tcPr>
          <w:p w14:paraId="7D19E19E" w14:textId="77777777" w:rsidR="00C27413" w:rsidRDefault="00C27413" w:rsidP="00C27413">
            <w:pPr>
              <w:spacing w:line="256" w:lineRule="auto"/>
              <w:rPr>
                <w:rFonts w:cs="Arial"/>
                <w:sz w:val="18"/>
                <w:szCs w:val="18"/>
                <w:lang w:val="es-ES" w:eastAsia="en-US"/>
              </w:rPr>
            </w:pPr>
            <w:r>
              <w:rPr>
                <w:rFonts w:cs="Arial"/>
                <w:color w:val="000000"/>
                <w:sz w:val="18"/>
                <w:szCs w:val="18"/>
                <w:lang w:val="es-ES" w:eastAsia="en-US"/>
              </w:rPr>
              <w:t>Secretaría de Desarrollo Económico.</w:t>
            </w:r>
          </w:p>
        </w:tc>
        <w:tc>
          <w:tcPr>
            <w:tcW w:w="1700" w:type="dxa"/>
            <w:tcBorders>
              <w:top w:val="single" w:sz="4" w:space="0" w:color="auto"/>
              <w:left w:val="single" w:sz="4" w:space="0" w:color="auto"/>
              <w:bottom w:val="single" w:sz="4" w:space="0" w:color="auto"/>
              <w:right w:val="single" w:sz="4" w:space="0" w:color="auto"/>
            </w:tcBorders>
            <w:noWrap/>
            <w:vAlign w:val="center"/>
            <w:hideMark/>
          </w:tcPr>
          <w:p w14:paraId="64F15671" w14:textId="661181D0" w:rsidR="00C27413" w:rsidRDefault="00C27413" w:rsidP="00C27413">
            <w:pPr>
              <w:spacing w:line="256" w:lineRule="auto"/>
              <w:jc w:val="right"/>
              <w:rPr>
                <w:rFonts w:cs="Arial"/>
                <w:sz w:val="18"/>
                <w:szCs w:val="18"/>
                <w:lang w:val="es-ES" w:eastAsia="en-US"/>
              </w:rPr>
            </w:pPr>
            <w:r>
              <w:rPr>
                <w:rFonts w:cs="Arial"/>
                <w:color w:val="000000"/>
                <w:sz w:val="18"/>
                <w:szCs w:val="18"/>
              </w:rPr>
              <w:t xml:space="preserve">273,455,660 </w:t>
            </w:r>
          </w:p>
        </w:tc>
      </w:tr>
      <w:tr w:rsidR="00C27413" w14:paraId="23A0FE5A" w14:textId="77777777" w:rsidTr="0051429E">
        <w:trPr>
          <w:trHeight w:val="227"/>
          <w:jc w:val="right"/>
        </w:trPr>
        <w:tc>
          <w:tcPr>
            <w:tcW w:w="817" w:type="dxa"/>
            <w:tcBorders>
              <w:top w:val="single" w:sz="4" w:space="0" w:color="auto"/>
              <w:left w:val="single" w:sz="4" w:space="0" w:color="auto"/>
              <w:bottom w:val="single" w:sz="4" w:space="0" w:color="auto"/>
              <w:right w:val="single" w:sz="4" w:space="0" w:color="auto"/>
            </w:tcBorders>
            <w:vAlign w:val="center"/>
            <w:hideMark/>
          </w:tcPr>
          <w:p w14:paraId="7E036CF0" w14:textId="77777777" w:rsidR="00C27413" w:rsidRDefault="00C27413" w:rsidP="00C27413">
            <w:pPr>
              <w:spacing w:line="256" w:lineRule="auto"/>
              <w:jc w:val="center"/>
              <w:rPr>
                <w:rFonts w:cs="Arial"/>
                <w:sz w:val="18"/>
                <w:szCs w:val="18"/>
                <w:lang w:val="es-ES" w:eastAsia="en-US"/>
              </w:rPr>
            </w:pPr>
            <w:r>
              <w:rPr>
                <w:rFonts w:cs="Arial"/>
                <w:sz w:val="18"/>
                <w:szCs w:val="18"/>
                <w:lang w:val="es-ES" w:eastAsia="en-US"/>
              </w:rPr>
              <w:t>090000</w:t>
            </w:r>
          </w:p>
        </w:tc>
        <w:tc>
          <w:tcPr>
            <w:tcW w:w="6414" w:type="dxa"/>
            <w:tcBorders>
              <w:top w:val="single" w:sz="4" w:space="0" w:color="auto"/>
              <w:left w:val="single" w:sz="4" w:space="0" w:color="auto"/>
              <w:bottom w:val="single" w:sz="4" w:space="0" w:color="auto"/>
              <w:right w:val="single" w:sz="4" w:space="0" w:color="auto"/>
            </w:tcBorders>
            <w:vAlign w:val="center"/>
            <w:hideMark/>
          </w:tcPr>
          <w:p w14:paraId="64772DD8" w14:textId="77777777" w:rsidR="00C27413" w:rsidRDefault="00C27413" w:rsidP="00C27413">
            <w:pPr>
              <w:spacing w:line="256" w:lineRule="auto"/>
              <w:rPr>
                <w:rFonts w:cs="Arial"/>
                <w:sz w:val="18"/>
                <w:szCs w:val="18"/>
                <w:lang w:val="es-ES" w:eastAsia="en-US"/>
              </w:rPr>
            </w:pPr>
            <w:r>
              <w:rPr>
                <w:rFonts w:cs="Arial"/>
                <w:color w:val="000000"/>
                <w:sz w:val="18"/>
                <w:szCs w:val="18"/>
                <w:lang w:val="es-ES" w:eastAsia="en-US"/>
              </w:rPr>
              <w:t>Contraloría General del Estado.</w:t>
            </w:r>
          </w:p>
        </w:tc>
        <w:tc>
          <w:tcPr>
            <w:tcW w:w="1700" w:type="dxa"/>
            <w:tcBorders>
              <w:top w:val="single" w:sz="4" w:space="0" w:color="auto"/>
              <w:left w:val="single" w:sz="4" w:space="0" w:color="auto"/>
              <w:bottom w:val="single" w:sz="4" w:space="0" w:color="auto"/>
              <w:right w:val="single" w:sz="4" w:space="0" w:color="auto"/>
            </w:tcBorders>
            <w:noWrap/>
            <w:vAlign w:val="center"/>
            <w:hideMark/>
          </w:tcPr>
          <w:p w14:paraId="4B269EA5" w14:textId="48AE089D" w:rsidR="00C27413" w:rsidRDefault="00C27413" w:rsidP="00C27413">
            <w:pPr>
              <w:spacing w:line="256" w:lineRule="auto"/>
              <w:jc w:val="right"/>
              <w:rPr>
                <w:rFonts w:cs="Arial"/>
                <w:sz w:val="18"/>
                <w:szCs w:val="18"/>
                <w:lang w:val="es-ES" w:eastAsia="en-US"/>
              </w:rPr>
            </w:pPr>
            <w:r>
              <w:rPr>
                <w:rFonts w:cs="Arial"/>
                <w:color w:val="000000"/>
                <w:sz w:val="18"/>
                <w:szCs w:val="18"/>
              </w:rPr>
              <w:t xml:space="preserve">28,614,931 </w:t>
            </w:r>
          </w:p>
        </w:tc>
      </w:tr>
      <w:tr w:rsidR="00C27413" w14:paraId="6C98C43A" w14:textId="77777777" w:rsidTr="0051429E">
        <w:trPr>
          <w:trHeight w:val="227"/>
          <w:jc w:val="right"/>
        </w:trPr>
        <w:tc>
          <w:tcPr>
            <w:tcW w:w="817" w:type="dxa"/>
            <w:tcBorders>
              <w:top w:val="single" w:sz="4" w:space="0" w:color="auto"/>
              <w:left w:val="single" w:sz="4" w:space="0" w:color="auto"/>
              <w:bottom w:val="single" w:sz="4" w:space="0" w:color="auto"/>
              <w:right w:val="single" w:sz="4" w:space="0" w:color="auto"/>
            </w:tcBorders>
            <w:vAlign w:val="center"/>
            <w:hideMark/>
          </w:tcPr>
          <w:p w14:paraId="724A9770" w14:textId="77777777" w:rsidR="00C27413" w:rsidRDefault="00C27413" w:rsidP="00C27413">
            <w:pPr>
              <w:spacing w:line="256" w:lineRule="auto"/>
              <w:jc w:val="center"/>
              <w:rPr>
                <w:rFonts w:cs="Arial"/>
                <w:sz w:val="18"/>
                <w:szCs w:val="18"/>
                <w:lang w:val="es-ES" w:eastAsia="en-US"/>
              </w:rPr>
            </w:pPr>
            <w:r>
              <w:rPr>
                <w:rFonts w:cs="Arial"/>
                <w:sz w:val="18"/>
                <w:szCs w:val="18"/>
                <w:lang w:val="es-ES" w:eastAsia="en-US"/>
              </w:rPr>
              <w:t>100000</w:t>
            </w:r>
          </w:p>
        </w:tc>
        <w:tc>
          <w:tcPr>
            <w:tcW w:w="6414" w:type="dxa"/>
            <w:tcBorders>
              <w:top w:val="single" w:sz="4" w:space="0" w:color="auto"/>
              <w:left w:val="single" w:sz="4" w:space="0" w:color="auto"/>
              <w:bottom w:val="single" w:sz="4" w:space="0" w:color="auto"/>
              <w:right w:val="single" w:sz="4" w:space="0" w:color="auto"/>
            </w:tcBorders>
            <w:vAlign w:val="center"/>
            <w:hideMark/>
          </w:tcPr>
          <w:p w14:paraId="32A08E3D" w14:textId="77777777" w:rsidR="00C27413" w:rsidRDefault="00C27413" w:rsidP="00C27413">
            <w:pPr>
              <w:spacing w:line="256" w:lineRule="auto"/>
              <w:rPr>
                <w:rFonts w:cs="Arial"/>
                <w:sz w:val="18"/>
                <w:szCs w:val="18"/>
                <w:lang w:val="es-ES" w:eastAsia="en-US"/>
              </w:rPr>
            </w:pPr>
            <w:r>
              <w:rPr>
                <w:rFonts w:cs="Arial"/>
                <w:color w:val="000000"/>
                <w:sz w:val="18"/>
                <w:szCs w:val="18"/>
                <w:lang w:val="es-ES" w:eastAsia="en-US"/>
              </w:rPr>
              <w:t>Secretaría de Seguridad Pública.</w:t>
            </w:r>
          </w:p>
        </w:tc>
        <w:tc>
          <w:tcPr>
            <w:tcW w:w="1700" w:type="dxa"/>
            <w:tcBorders>
              <w:top w:val="single" w:sz="4" w:space="0" w:color="auto"/>
              <w:left w:val="single" w:sz="4" w:space="0" w:color="auto"/>
              <w:bottom w:val="single" w:sz="4" w:space="0" w:color="auto"/>
              <w:right w:val="single" w:sz="4" w:space="0" w:color="auto"/>
            </w:tcBorders>
            <w:noWrap/>
            <w:vAlign w:val="center"/>
            <w:hideMark/>
          </w:tcPr>
          <w:p w14:paraId="547D7906" w14:textId="578D5922" w:rsidR="00C27413" w:rsidRDefault="00C27413" w:rsidP="00C27413">
            <w:pPr>
              <w:spacing w:line="256" w:lineRule="auto"/>
              <w:jc w:val="right"/>
              <w:rPr>
                <w:rFonts w:cs="Arial"/>
                <w:sz w:val="18"/>
                <w:szCs w:val="18"/>
                <w:lang w:val="es-ES" w:eastAsia="en-US"/>
              </w:rPr>
            </w:pPr>
            <w:r>
              <w:rPr>
                <w:rFonts w:cs="Arial"/>
                <w:color w:val="000000"/>
                <w:sz w:val="18"/>
                <w:szCs w:val="18"/>
              </w:rPr>
              <w:t xml:space="preserve">746,880,260 </w:t>
            </w:r>
          </w:p>
        </w:tc>
      </w:tr>
      <w:tr w:rsidR="00C27413" w14:paraId="04C64C95" w14:textId="77777777" w:rsidTr="0051429E">
        <w:trPr>
          <w:trHeight w:val="227"/>
          <w:jc w:val="right"/>
        </w:trPr>
        <w:tc>
          <w:tcPr>
            <w:tcW w:w="817" w:type="dxa"/>
            <w:tcBorders>
              <w:top w:val="single" w:sz="4" w:space="0" w:color="auto"/>
              <w:left w:val="single" w:sz="4" w:space="0" w:color="auto"/>
              <w:bottom w:val="single" w:sz="4" w:space="0" w:color="auto"/>
              <w:right w:val="single" w:sz="4" w:space="0" w:color="auto"/>
            </w:tcBorders>
            <w:vAlign w:val="center"/>
            <w:hideMark/>
          </w:tcPr>
          <w:p w14:paraId="3BACD83C" w14:textId="77777777" w:rsidR="00C27413" w:rsidRDefault="00C27413" w:rsidP="00C27413">
            <w:pPr>
              <w:spacing w:line="256" w:lineRule="auto"/>
              <w:jc w:val="center"/>
              <w:rPr>
                <w:rFonts w:cs="Arial"/>
                <w:sz w:val="18"/>
                <w:szCs w:val="18"/>
                <w:lang w:val="es-ES" w:eastAsia="en-US"/>
              </w:rPr>
            </w:pPr>
            <w:r>
              <w:rPr>
                <w:rFonts w:cs="Arial"/>
                <w:sz w:val="18"/>
                <w:szCs w:val="18"/>
                <w:lang w:val="es-ES" w:eastAsia="en-US"/>
              </w:rPr>
              <w:t>110000</w:t>
            </w:r>
          </w:p>
        </w:tc>
        <w:tc>
          <w:tcPr>
            <w:tcW w:w="6414" w:type="dxa"/>
            <w:tcBorders>
              <w:top w:val="single" w:sz="4" w:space="0" w:color="auto"/>
              <w:left w:val="single" w:sz="4" w:space="0" w:color="auto"/>
              <w:bottom w:val="single" w:sz="4" w:space="0" w:color="auto"/>
              <w:right w:val="single" w:sz="4" w:space="0" w:color="auto"/>
            </w:tcBorders>
            <w:vAlign w:val="center"/>
            <w:hideMark/>
          </w:tcPr>
          <w:p w14:paraId="70F056AD" w14:textId="77777777" w:rsidR="00C27413" w:rsidRDefault="00C27413" w:rsidP="00C27413">
            <w:pPr>
              <w:spacing w:line="256" w:lineRule="auto"/>
              <w:rPr>
                <w:rFonts w:cs="Arial"/>
                <w:sz w:val="18"/>
                <w:szCs w:val="18"/>
                <w:lang w:val="es-ES" w:eastAsia="en-US"/>
              </w:rPr>
            </w:pPr>
            <w:r>
              <w:rPr>
                <w:rFonts w:cs="Arial"/>
                <w:color w:val="000000"/>
                <w:sz w:val="18"/>
                <w:szCs w:val="18"/>
                <w:lang w:val="es-ES" w:eastAsia="en-US"/>
              </w:rPr>
              <w:t>Consejería Jurídica del Poder Ejecutivo.</w:t>
            </w:r>
          </w:p>
        </w:tc>
        <w:tc>
          <w:tcPr>
            <w:tcW w:w="1700" w:type="dxa"/>
            <w:tcBorders>
              <w:top w:val="single" w:sz="4" w:space="0" w:color="auto"/>
              <w:left w:val="single" w:sz="4" w:space="0" w:color="auto"/>
              <w:bottom w:val="single" w:sz="4" w:space="0" w:color="auto"/>
              <w:right w:val="single" w:sz="4" w:space="0" w:color="auto"/>
            </w:tcBorders>
            <w:noWrap/>
            <w:vAlign w:val="center"/>
            <w:hideMark/>
          </w:tcPr>
          <w:p w14:paraId="4F3A25BB" w14:textId="64A14EFB" w:rsidR="00C27413" w:rsidRDefault="00C27413" w:rsidP="00C27413">
            <w:pPr>
              <w:spacing w:line="256" w:lineRule="auto"/>
              <w:jc w:val="right"/>
              <w:rPr>
                <w:rFonts w:cs="Arial"/>
                <w:sz w:val="18"/>
                <w:szCs w:val="18"/>
                <w:lang w:val="es-ES" w:eastAsia="en-US"/>
              </w:rPr>
            </w:pPr>
            <w:r>
              <w:rPr>
                <w:rFonts w:cs="Arial"/>
                <w:color w:val="000000"/>
                <w:sz w:val="18"/>
                <w:szCs w:val="18"/>
              </w:rPr>
              <w:t xml:space="preserve">36,294,439 </w:t>
            </w:r>
          </w:p>
        </w:tc>
      </w:tr>
      <w:tr w:rsidR="00C27413" w14:paraId="694CCDAE" w14:textId="77777777" w:rsidTr="0051429E">
        <w:trPr>
          <w:trHeight w:val="227"/>
          <w:jc w:val="right"/>
        </w:trPr>
        <w:tc>
          <w:tcPr>
            <w:tcW w:w="817" w:type="dxa"/>
            <w:tcBorders>
              <w:top w:val="single" w:sz="4" w:space="0" w:color="auto"/>
              <w:left w:val="single" w:sz="4" w:space="0" w:color="auto"/>
              <w:bottom w:val="single" w:sz="4" w:space="0" w:color="auto"/>
              <w:right w:val="single" w:sz="4" w:space="0" w:color="auto"/>
            </w:tcBorders>
            <w:vAlign w:val="center"/>
            <w:hideMark/>
          </w:tcPr>
          <w:p w14:paraId="467494D8" w14:textId="77777777" w:rsidR="00C27413" w:rsidRDefault="00C27413" w:rsidP="00C27413">
            <w:pPr>
              <w:spacing w:line="256" w:lineRule="auto"/>
              <w:jc w:val="center"/>
              <w:rPr>
                <w:rFonts w:cs="Arial"/>
                <w:sz w:val="18"/>
                <w:szCs w:val="18"/>
                <w:lang w:val="es-ES" w:eastAsia="en-US"/>
              </w:rPr>
            </w:pPr>
            <w:r>
              <w:rPr>
                <w:rFonts w:cs="Arial"/>
                <w:sz w:val="18"/>
                <w:szCs w:val="18"/>
                <w:lang w:val="es-ES" w:eastAsia="en-US"/>
              </w:rPr>
              <w:t>120000</w:t>
            </w:r>
          </w:p>
        </w:tc>
        <w:tc>
          <w:tcPr>
            <w:tcW w:w="6414" w:type="dxa"/>
            <w:tcBorders>
              <w:top w:val="single" w:sz="4" w:space="0" w:color="auto"/>
              <w:left w:val="single" w:sz="4" w:space="0" w:color="auto"/>
              <w:bottom w:val="single" w:sz="4" w:space="0" w:color="auto"/>
              <w:right w:val="single" w:sz="4" w:space="0" w:color="auto"/>
            </w:tcBorders>
            <w:vAlign w:val="center"/>
            <w:hideMark/>
          </w:tcPr>
          <w:p w14:paraId="017EFC76" w14:textId="77777777" w:rsidR="00C27413" w:rsidRDefault="00C27413" w:rsidP="00C27413">
            <w:pPr>
              <w:spacing w:line="256" w:lineRule="auto"/>
              <w:rPr>
                <w:rFonts w:cs="Arial"/>
                <w:sz w:val="18"/>
                <w:szCs w:val="18"/>
                <w:lang w:val="es-ES" w:eastAsia="en-US"/>
              </w:rPr>
            </w:pPr>
            <w:r>
              <w:rPr>
                <w:rFonts w:cs="Arial"/>
                <w:color w:val="000000"/>
                <w:sz w:val="18"/>
                <w:szCs w:val="18"/>
                <w:lang w:val="es-ES" w:eastAsia="en-US"/>
              </w:rPr>
              <w:t>Transferencias, Asignaciones, Subsidios y Otras Ayudas.</w:t>
            </w:r>
          </w:p>
        </w:tc>
        <w:tc>
          <w:tcPr>
            <w:tcW w:w="1700" w:type="dxa"/>
            <w:tcBorders>
              <w:top w:val="single" w:sz="4" w:space="0" w:color="auto"/>
              <w:left w:val="single" w:sz="4" w:space="0" w:color="auto"/>
              <w:bottom w:val="single" w:sz="4" w:space="0" w:color="auto"/>
              <w:right w:val="single" w:sz="4" w:space="0" w:color="auto"/>
            </w:tcBorders>
            <w:noWrap/>
            <w:vAlign w:val="center"/>
            <w:hideMark/>
          </w:tcPr>
          <w:p w14:paraId="7FA7F41C" w14:textId="1B5FE706" w:rsidR="00C27413" w:rsidRDefault="00C27413" w:rsidP="00C27413">
            <w:pPr>
              <w:spacing w:line="256" w:lineRule="auto"/>
              <w:jc w:val="right"/>
              <w:rPr>
                <w:rFonts w:cs="Arial"/>
                <w:sz w:val="18"/>
                <w:szCs w:val="18"/>
                <w:lang w:val="es-ES" w:eastAsia="en-US"/>
              </w:rPr>
            </w:pPr>
            <w:r>
              <w:rPr>
                <w:rFonts w:cs="Arial"/>
                <w:color w:val="000000"/>
                <w:sz w:val="18"/>
                <w:szCs w:val="18"/>
              </w:rPr>
              <w:t xml:space="preserve">3,235,208,463 </w:t>
            </w:r>
          </w:p>
        </w:tc>
      </w:tr>
      <w:tr w:rsidR="00C27413" w14:paraId="7CA2EBB2" w14:textId="77777777" w:rsidTr="0051429E">
        <w:trPr>
          <w:trHeight w:val="227"/>
          <w:jc w:val="right"/>
        </w:trPr>
        <w:tc>
          <w:tcPr>
            <w:tcW w:w="817" w:type="dxa"/>
            <w:tcBorders>
              <w:top w:val="single" w:sz="4" w:space="0" w:color="auto"/>
              <w:left w:val="single" w:sz="4" w:space="0" w:color="auto"/>
              <w:bottom w:val="single" w:sz="4" w:space="0" w:color="auto"/>
              <w:right w:val="single" w:sz="4" w:space="0" w:color="auto"/>
            </w:tcBorders>
            <w:vAlign w:val="center"/>
            <w:hideMark/>
          </w:tcPr>
          <w:p w14:paraId="427B8D2A" w14:textId="77777777" w:rsidR="00C27413" w:rsidRDefault="00C27413" w:rsidP="00C27413">
            <w:pPr>
              <w:spacing w:line="256" w:lineRule="auto"/>
              <w:jc w:val="center"/>
              <w:rPr>
                <w:rFonts w:cs="Arial"/>
                <w:sz w:val="18"/>
                <w:szCs w:val="18"/>
                <w:lang w:val="es-ES" w:eastAsia="en-US"/>
              </w:rPr>
            </w:pPr>
            <w:r>
              <w:rPr>
                <w:rFonts w:cs="Arial"/>
                <w:sz w:val="18"/>
                <w:szCs w:val="18"/>
                <w:lang w:val="es-ES" w:eastAsia="en-US"/>
              </w:rPr>
              <w:t>130000</w:t>
            </w:r>
          </w:p>
        </w:tc>
        <w:tc>
          <w:tcPr>
            <w:tcW w:w="6414" w:type="dxa"/>
            <w:tcBorders>
              <w:top w:val="single" w:sz="4" w:space="0" w:color="auto"/>
              <w:left w:val="single" w:sz="4" w:space="0" w:color="auto"/>
              <w:bottom w:val="single" w:sz="4" w:space="0" w:color="auto"/>
              <w:right w:val="single" w:sz="4" w:space="0" w:color="auto"/>
            </w:tcBorders>
            <w:vAlign w:val="center"/>
            <w:hideMark/>
          </w:tcPr>
          <w:p w14:paraId="18E34EE4" w14:textId="77777777" w:rsidR="00C27413" w:rsidRDefault="00C27413" w:rsidP="00C27413">
            <w:pPr>
              <w:spacing w:line="256" w:lineRule="auto"/>
              <w:rPr>
                <w:rFonts w:cs="Arial"/>
                <w:sz w:val="18"/>
                <w:szCs w:val="18"/>
                <w:lang w:val="es-ES" w:eastAsia="en-US"/>
              </w:rPr>
            </w:pPr>
            <w:r>
              <w:rPr>
                <w:rFonts w:cs="Arial"/>
                <w:color w:val="000000"/>
                <w:sz w:val="18"/>
                <w:szCs w:val="18"/>
                <w:lang w:val="es-ES" w:eastAsia="en-US"/>
              </w:rPr>
              <w:t>Participaciones y Aportaciones.</w:t>
            </w:r>
          </w:p>
        </w:tc>
        <w:tc>
          <w:tcPr>
            <w:tcW w:w="1700" w:type="dxa"/>
            <w:tcBorders>
              <w:top w:val="single" w:sz="4" w:space="0" w:color="auto"/>
              <w:left w:val="single" w:sz="4" w:space="0" w:color="auto"/>
              <w:bottom w:val="single" w:sz="4" w:space="0" w:color="auto"/>
              <w:right w:val="single" w:sz="4" w:space="0" w:color="auto"/>
            </w:tcBorders>
            <w:noWrap/>
            <w:vAlign w:val="center"/>
            <w:hideMark/>
          </w:tcPr>
          <w:p w14:paraId="63563101" w14:textId="492EA3FA" w:rsidR="00C27413" w:rsidRDefault="00C27413" w:rsidP="00C27413">
            <w:pPr>
              <w:spacing w:line="256" w:lineRule="auto"/>
              <w:jc w:val="right"/>
              <w:rPr>
                <w:rFonts w:cs="Arial"/>
                <w:sz w:val="18"/>
                <w:szCs w:val="18"/>
                <w:lang w:val="es-ES" w:eastAsia="en-US"/>
              </w:rPr>
            </w:pPr>
            <w:r>
              <w:rPr>
                <w:rFonts w:cs="Arial"/>
                <w:color w:val="000000"/>
                <w:sz w:val="18"/>
                <w:szCs w:val="18"/>
              </w:rPr>
              <w:t xml:space="preserve">3,334,416,398 </w:t>
            </w:r>
          </w:p>
        </w:tc>
      </w:tr>
      <w:tr w:rsidR="00C27413" w14:paraId="7A4A9338" w14:textId="77777777" w:rsidTr="0051429E">
        <w:trPr>
          <w:trHeight w:val="227"/>
          <w:jc w:val="right"/>
        </w:trPr>
        <w:tc>
          <w:tcPr>
            <w:tcW w:w="817" w:type="dxa"/>
            <w:tcBorders>
              <w:top w:val="single" w:sz="4" w:space="0" w:color="auto"/>
              <w:left w:val="single" w:sz="4" w:space="0" w:color="auto"/>
              <w:bottom w:val="single" w:sz="4" w:space="0" w:color="auto"/>
              <w:right w:val="single" w:sz="4" w:space="0" w:color="auto"/>
            </w:tcBorders>
            <w:vAlign w:val="center"/>
            <w:hideMark/>
          </w:tcPr>
          <w:p w14:paraId="113900EE" w14:textId="77777777" w:rsidR="00C27413" w:rsidRDefault="00C27413" w:rsidP="00C27413">
            <w:pPr>
              <w:spacing w:line="256" w:lineRule="auto"/>
              <w:jc w:val="center"/>
              <w:rPr>
                <w:rFonts w:cs="Arial"/>
                <w:sz w:val="18"/>
                <w:szCs w:val="18"/>
                <w:lang w:val="es-ES" w:eastAsia="en-US"/>
              </w:rPr>
            </w:pPr>
            <w:r>
              <w:rPr>
                <w:rFonts w:cs="Arial"/>
                <w:sz w:val="18"/>
                <w:szCs w:val="18"/>
                <w:lang w:val="es-ES" w:eastAsia="en-US"/>
              </w:rPr>
              <w:t>140000</w:t>
            </w:r>
          </w:p>
        </w:tc>
        <w:tc>
          <w:tcPr>
            <w:tcW w:w="6414" w:type="dxa"/>
            <w:tcBorders>
              <w:top w:val="single" w:sz="4" w:space="0" w:color="auto"/>
              <w:left w:val="single" w:sz="4" w:space="0" w:color="auto"/>
              <w:bottom w:val="single" w:sz="4" w:space="0" w:color="auto"/>
              <w:right w:val="single" w:sz="4" w:space="0" w:color="auto"/>
            </w:tcBorders>
            <w:vAlign w:val="center"/>
            <w:hideMark/>
          </w:tcPr>
          <w:p w14:paraId="52E56847" w14:textId="77777777" w:rsidR="00C27413" w:rsidRDefault="00C27413" w:rsidP="00C27413">
            <w:pPr>
              <w:spacing w:line="256" w:lineRule="auto"/>
              <w:rPr>
                <w:rFonts w:cs="Arial"/>
                <w:sz w:val="18"/>
                <w:szCs w:val="18"/>
                <w:lang w:val="es-ES" w:eastAsia="en-US"/>
              </w:rPr>
            </w:pPr>
            <w:r>
              <w:rPr>
                <w:rFonts w:cs="Arial"/>
                <w:color w:val="000000"/>
                <w:sz w:val="18"/>
                <w:szCs w:val="18"/>
                <w:lang w:val="es-ES" w:eastAsia="en-US"/>
              </w:rPr>
              <w:t>Erogaciones Extraordinarias.</w:t>
            </w:r>
          </w:p>
        </w:tc>
        <w:tc>
          <w:tcPr>
            <w:tcW w:w="1700" w:type="dxa"/>
            <w:tcBorders>
              <w:top w:val="single" w:sz="4" w:space="0" w:color="auto"/>
              <w:left w:val="single" w:sz="4" w:space="0" w:color="auto"/>
              <w:bottom w:val="single" w:sz="4" w:space="0" w:color="auto"/>
              <w:right w:val="single" w:sz="4" w:space="0" w:color="auto"/>
            </w:tcBorders>
            <w:noWrap/>
            <w:vAlign w:val="center"/>
            <w:hideMark/>
          </w:tcPr>
          <w:p w14:paraId="45DE4003" w14:textId="1D557CA6" w:rsidR="00C27413" w:rsidRDefault="00C27413" w:rsidP="00C27413">
            <w:pPr>
              <w:spacing w:line="256" w:lineRule="auto"/>
              <w:jc w:val="right"/>
              <w:rPr>
                <w:rFonts w:cs="Arial"/>
                <w:sz w:val="18"/>
                <w:szCs w:val="18"/>
                <w:lang w:val="es-ES" w:eastAsia="en-US"/>
              </w:rPr>
            </w:pPr>
            <w:r>
              <w:rPr>
                <w:rFonts w:cs="Arial"/>
                <w:color w:val="000000"/>
                <w:sz w:val="18"/>
                <w:szCs w:val="18"/>
              </w:rPr>
              <w:t xml:space="preserve">1,800,000 </w:t>
            </w:r>
          </w:p>
        </w:tc>
      </w:tr>
      <w:tr w:rsidR="00C27413" w14:paraId="63F89DC7" w14:textId="77777777" w:rsidTr="0051429E">
        <w:trPr>
          <w:trHeight w:val="227"/>
          <w:jc w:val="right"/>
        </w:trPr>
        <w:tc>
          <w:tcPr>
            <w:tcW w:w="817" w:type="dxa"/>
            <w:tcBorders>
              <w:top w:val="single" w:sz="4" w:space="0" w:color="auto"/>
              <w:left w:val="single" w:sz="4" w:space="0" w:color="auto"/>
              <w:bottom w:val="single" w:sz="4" w:space="0" w:color="auto"/>
              <w:right w:val="single" w:sz="4" w:space="0" w:color="auto"/>
            </w:tcBorders>
            <w:vAlign w:val="center"/>
            <w:hideMark/>
          </w:tcPr>
          <w:p w14:paraId="19FECD46" w14:textId="77777777" w:rsidR="00C27413" w:rsidRDefault="00C27413" w:rsidP="00C27413">
            <w:pPr>
              <w:spacing w:line="256" w:lineRule="auto"/>
              <w:jc w:val="center"/>
              <w:rPr>
                <w:rFonts w:cs="Arial"/>
                <w:sz w:val="18"/>
                <w:szCs w:val="18"/>
                <w:lang w:val="es-ES" w:eastAsia="en-US"/>
              </w:rPr>
            </w:pPr>
            <w:r>
              <w:rPr>
                <w:rFonts w:cs="Arial"/>
                <w:sz w:val="18"/>
                <w:szCs w:val="18"/>
                <w:lang w:val="es-ES" w:eastAsia="en-US"/>
              </w:rPr>
              <w:t>150000</w:t>
            </w:r>
          </w:p>
        </w:tc>
        <w:tc>
          <w:tcPr>
            <w:tcW w:w="6414" w:type="dxa"/>
            <w:tcBorders>
              <w:top w:val="single" w:sz="4" w:space="0" w:color="auto"/>
              <w:left w:val="single" w:sz="4" w:space="0" w:color="auto"/>
              <w:bottom w:val="single" w:sz="4" w:space="0" w:color="auto"/>
              <w:right w:val="single" w:sz="4" w:space="0" w:color="auto"/>
            </w:tcBorders>
            <w:vAlign w:val="center"/>
            <w:hideMark/>
          </w:tcPr>
          <w:p w14:paraId="5F15A8B4" w14:textId="77777777" w:rsidR="00C27413" w:rsidRDefault="00C27413" w:rsidP="00C27413">
            <w:pPr>
              <w:spacing w:line="256" w:lineRule="auto"/>
              <w:rPr>
                <w:rFonts w:cs="Arial"/>
                <w:sz w:val="18"/>
                <w:szCs w:val="18"/>
                <w:lang w:val="es-ES" w:eastAsia="en-US"/>
              </w:rPr>
            </w:pPr>
            <w:r>
              <w:rPr>
                <w:rFonts w:cs="Arial"/>
                <w:color w:val="000000"/>
                <w:sz w:val="18"/>
                <w:szCs w:val="18"/>
                <w:lang w:val="es-ES" w:eastAsia="en-US"/>
              </w:rPr>
              <w:t>Cancelación de Pasivos.</w:t>
            </w:r>
          </w:p>
        </w:tc>
        <w:tc>
          <w:tcPr>
            <w:tcW w:w="1700" w:type="dxa"/>
            <w:tcBorders>
              <w:top w:val="single" w:sz="4" w:space="0" w:color="auto"/>
              <w:left w:val="single" w:sz="4" w:space="0" w:color="auto"/>
              <w:bottom w:val="single" w:sz="4" w:space="0" w:color="auto"/>
              <w:right w:val="single" w:sz="4" w:space="0" w:color="auto"/>
            </w:tcBorders>
            <w:noWrap/>
            <w:vAlign w:val="center"/>
            <w:hideMark/>
          </w:tcPr>
          <w:p w14:paraId="5CF5FD05" w14:textId="739BA313" w:rsidR="00C27413" w:rsidRDefault="00C27413" w:rsidP="00C27413">
            <w:pPr>
              <w:spacing w:line="256" w:lineRule="auto"/>
              <w:jc w:val="right"/>
              <w:rPr>
                <w:rFonts w:cs="Arial"/>
                <w:sz w:val="18"/>
                <w:szCs w:val="18"/>
                <w:lang w:val="es-ES" w:eastAsia="en-US"/>
              </w:rPr>
            </w:pPr>
            <w:r>
              <w:rPr>
                <w:rFonts w:cs="Arial"/>
                <w:color w:val="000000"/>
                <w:sz w:val="18"/>
                <w:szCs w:val="18"/>
              </w:rPr>
              <w:t xml:space="preserve">157,361,143 </w:t>
            </w:r>
          </w:p>
        </w:tc>
      </w:tr>
      <w:tr w:rsidR="00C27413" w14:paraId="03391D96" w14:textId="77777777" w:rsidTr="0051429E">
        <w:trPr>
          <w:trHeight w:val="227"/>
          <w:jc w:val="right"/>
        </w:trPr>
        <w:tc>
          <w:tcPr>
            <w:tcW w:w="817" w:type="dxa"/>
            <w:tcBorders>
              <w:top w:val="single" w:sz="4" w:space="0" w:color="auto"/>
              <w:left w:val="single" w:sz="4" w:space="0" w:color="auto"/>
              <w:bottom w:val="single" w:sz="4" w:space="0" w:color="auto"/>
              <w:right w:val="single" w:sz="4" w:space="0" w:color="auto"/>
            </w:tcBorders>
            <w:vAlign w:val="center"/>
            <w:hideMark/>
          </w:tcPr>
          <w:p w14:paraId="53C9C9E3" w14:textId="77777777" w:rsidR="00C27413" w:rsidRDefault="00C27413" w:rsidP="00C27413">
            <w:pPr>
              <w:spacing w:line="256" w:lineRule="auto"/>
              <w:jc w:val="center"/>
              <w:rPr>
                <w:rFonts w:cs="Arial"/>
                <w:sz w:val="18"/>
                <w:szCs w:val="18"/>
                <w:lang w:val="es-ES" w:eastAsia="en-US"/>
              </w:rPr>
            </w:pPr>
            <w:r>
              <w:rPr>
                <w:rFonts w:cs="Arial"/>
                <w:sz w:val="18"/>
                <w:szCs w:val="18"/>
                <w:lang w:val="es-ES" w:eastAsia="en-US"/>
              </w:rPr>
              <w:t>160000</w:t>
            </w:r>
          </w:p>
        </w:tc>
        <w:tc>
          <w:tcPr>
            <w:tcW w:w="6414" w:type="dxa"/>
            <w:tcBorders>
              <w:top w:val="single" w:sz="4" w:space="0" w:color="auto"/>
              <w:left w:val="single" w:sz="4" w:space="0" w:color="auto"/>
              <w:bottom w:val="single" w:sz="4" w:space="0" w:color="auto"/>
              <w:right w:val="single" w:sz="4" w:space="0" w:color="auto"/>
            </w:tcBorders>
            <w:vAlign w:val="center"/>
            <w:hideMark/>
          </w:tcPr>
          <w:p w14:paraId="7F52E732" w14:textId="77777777" w:rsidR="00C27413" w:rsidRDefault="00C27413" w:rsidP="00C27413">
            <w:pPr>
              <w:spacing w:line="256" w:lineRule="auto"/>
              <w:rPr>
                <w:rFonts w:cs="Arial"/>
                <w:sz w:val="18"/>
                <w:szCs w:val="18"/>
                <w:lang w:val="es-ES" w:eastAsia="en-US"/>
              </w:rPr>
            </w:pPr>
            <w:r>
              <w:rPr>
                <w:rFonts w:cs="Arial"/>
                <w:color w:val="000000"/>
                <w:sz w:val="18"/>
                <w:szCs w:val="18"/>
                <w:lang w:val="es-ES" w:eastAsia="en-US"/>
              </w:rPr>
              <w:t>Deuda Pública.</w:t>
            </w:r>
          </w:p>
        </w:tc>
        <w:tc>
          <w:tcPr>
            <w:tcW w:w="1700" w:type="dxa"/>
            <w:tcBorders>
              <w:top w:val="single" w:sz="4" w:space="0" w:color="auto"/>
              <w:left w:val="single" w:sz="4" w:space="0" w:color="auto"/>
              <w:bottom w:val="single" w:sz="4" w:space="0" w:color="auto"/>
              <w:right w:val="single" w:sz="4" w:space="0" w:color="auto"/>
            </w:tcBorders>
            <w:noWrap/>
            <w:vAlign w:val="center"/>
            <w:hideMark/>
          </w:tcPr>
          <w:p w14:paraId="2A7C7249" w14:textId="34CC07A4" w:rsidR="00C27413" w:rsidRDefault="00C27413" w:rsidP="00C27413">
            <w:pPr>
              <w:spacing w:line="256" w:lineRule="auto"/>
              <w:jc w:val="right"/>
              <w:rPr>
                <w:rFonts w:cs="Arial"/>
                <w:sz w:val="18"/>
                <w:szCs w:val="18"/>
                <w:lang w:val="es-ES" w:eastAsia="en-US"/>
              </w:rPr>
            </w:pPr>
            <w:r>
              <w:rPr>
                <w:rFonts w:cs="Arial"/>
                <w:color w:val="000000"/>
                <w:sz w:val="18"/>
                <w:szCs w:val="18"/>
              </w:rPr>
              <w:t xml:space="preserve">768,425,052 </w:t>
            </w:r>
          </w:p>
        </w:tc>
      </w:tr>
      <w:tr w:rsidR="00C27413" w14:paraId="440BC9EF" w14:textId="77777777" w:rsidTr="0051429E">
        <w:trPr>
          <w:trHeight w:val="227"/>
          <w:jc w:val="right"/>
        </w:trPr>
        <w:tc>
          <w:tcPr>
            <w:tcW w:w="817" w:type="dxa"/>
            <w:tcBorders>
              <w:top w:val="single" w:sz="4" w:space="0" w:color="auto"/>
              <w:left w:val="single" w:sz="4" w:space="0" w:color="auto"/>
              <w:bottom w:val="single" w:sz="4" w:space="0" w:color="auto"/>
              <w:right w:val="single" w:sz="4" w:space="0" w:color="auto"/>
            </w:tcBorders>
            <w:vAlign w:val="center"/>
            <w:hideMark/>
          </w:tcPr>
          <w:p w14:paraId="4130A669" w14:textId="77777777" w:rsidR="00C27413" w:rsidRDefault="00C27413" w:rsidP="00C27413">
            <w:pPr>
              <w:rPr>
                <w:rFonts w:cs="Arial"/>
                <w:sz w:val="18"/>
                <w:szCs w:val="18"/>
                <w:lang w:val="es-ES" w:eastAsia="en-US"/>
              </w:rPr>
            </w:pPr>
          </w:p>
        </w:tc>
        <w:tc>
          <w:tcPr>
            <w:tcW w:w="6414" w:type="dxa"/>
            <w:tcBorders>
              <w:top w:val="single" w:sz="4" w:space="0" w:color="auto"/>
              <w:left w:val="single" w:sz="4" w:space="0" w:color="auto"/>
              <w:bottom w:val="single" w:sz="4" w:space="0" w:color="auto"/>
              <w:right w:val="single" w:sz="4" w:space="0" w:color="auto"/>
            </w:tcBorders>
            <w:vAlign w:val="center"/>
            <w:hideMark/>
          </w:tcPr>
          <w:p w14:paraId="026CD65A" w14:textId="77777777" w:rsidR="00C27413" w:rsidRDefault="00C27413" w:rsidP="00C27413">
            <w:pPr>
              <w:spacing w:line="256" w:lineRule="auto"/>
              <w:jc w:val="center"/>
              <w:rPr>
                <w:rFonts w:cs="Arial"/>
                <w:b/>
                <w:bCs/>
                <w:sz w:val="18"/>
                <w:szCs w:val="18"/>
                <w:lang w:val="es-ES" w:eastAsia="en-US"/>
              </w:rPr>
            </w:pPr>
            <w:r>
              <w:rPr>
                <w:rFonts w:cs="Arial"/>
                <w:b/>
                <w:bCs/>
                <w:sz w:val="18"/>
                <w:szCs w:val="18"/>
                <w:lang w:val="es-ES" w:eastAsia="en-US"/>
              </w:rPr>
              <w:t>Total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467FAC3" w14:textId="124DDC3F" w:rsidR="00C27413" w:rsidRDefault="00C27413" w:rsidP="00C27413">
            <w:pPr>
              <w:spacing w:line="256" w:lineRule="auto"/>
              <w:jc w:val="right"/>
              <w:rPr>
                <w:rFonts w:cs="Arial"/>
                <w:b/>
                <w:bCs/>
                <w:sz w:val="18"/>
                <w:szCs w:val="18"/>
                <w:lang w:val="es-ES" w:eastAsia="en-US"/>
              </w:rPr>
            </w:pPr>
            <w:r>
              <w:rPr>
                <w:rFonts w:cs="Arial"/>
                <w:b/>
                <w:bCs/>
                <w:color w:val="000000"/>
                <w:sz w:val="18"/>
                <w:szCs w:val="18"/>
              </w:rPr>
              <w:t xml:space="preserve">23,004,130,279 </w:t>
            </w:r>
          </w:p>
        </w:tc>
      </w:tr>
    </w:tbl>
    <w:p w14:paraId="134E9E0F" w14:textId="5007232B" w:rsidR="00BF5974" w:rsidRDefault="00BF5974" w:rsidP="00BF5974">
      <w:pPr>
        <w:ind w:left="567" w:hanging="567"/>
        <w:rPr>
          <w:rFonts w:eastAsia="Times New Roman" w:cs="Arial"/>
        </w:rPr>
      </w:pPr>
    </w:p>
    <w:p w14:paraId="3CDD10FF" w14:textId="77777777" w:rsidR="00C27413" w:rsidRDefault="00C27413" w:rsidP="00BF5974">
      <w:pPr>
        <w:ind w:left="567" w:hanging="567"/>
        <w:rPr>
          <w:rFonts w:eastAsia="Times New Roman" w:cs="Arial"/>
        </w:rPr>
      </w:pPr>
    </w:p>
    <w:p w14:paraId="4A125CD2" w14:textId="77777777" w:rsidR="00BF5974" w:rsidRDefault="00BF5974" w:rsidP="00BF5974">
      <w:pPr>
        <w:ind w:left="567" w:hanging="567"/>
        <w:rPr>
          <w:rFonts w:eastAsia="Times New Roman" w:cs="Arial"/>
        </w:rPr>
      </w:pPr>
      <w:r>
        <w:rPr>
          <w:rFonts w:eastAsia="Times New Roman" w:cs="Arial"/>
        </w:rPr>
        <w:t>II.</w:t>
      </w:r>
      <w:r>
        <w:rPr>
          <w:rFonts w:eastAsia="Times New Roman" w:cs="Arial"/>
        </w:rPr>
        <w:tab/>
        <w:t xml:space="preserve">Las asignaciones previstas en el presupuesto de egresos para </w:t>
      </w:r>
      <w:r>
        <w:rPr>
          <w:rFonts w:eastAsia="Times New Roman" w:cs="Arial"/>
          <w:bCs/>
        </w:rPr>
        <w:t>la Administración Pública Centralizada,</w:t>
      </w:r>
      <w:r>
        <w:rPr>
          <w:rFonts w:eastAsia="Times New Roman" w:cs="Arial"/>
        </w:rPr>
        <w:t xml:space="preserve"> por Unidad Presupuestal y Unidad Responsable se distribuyen de la siguiente manera:</w:t>
      </w:r>
    </w:p>
    <w:p w14:paraId="3D7FC70C" w14:textId="77777777" w:rsidR="00BF5974" w:rsidRDefault="00BF5974" w:rsidP="00BF5974">
      <w:pPr>
        <w:keepNext/>
        <w:keepLines/>
        <w:outlineLvl w:val="2"/>
        <w:rPr>
          <w:rFonts w:eastAsia="Times New Roman" w:cs="Arial"/>
          <w:b/>
          <w:szCs w:val="24"/>
          <w:lang w:val="es-ES" w:eastAsia="en-US"/>
        </w:rPr>
      </w:pPr>
    </w:p>
    <w:tbl>
      <w:tblPr>
        <w:tblW w:w="8931" w:type="dxa"/>
        <w:jc w:val="right"/>
        <w:tblCellMar>
          <w:left w:w="70" w:type="dxa"/>
          <w:right w:w="70" w:type="dxa"/>
        </w:tblCellMar>
        <w:tblLook w:val="04A0" w:firstRow="1" w:lastRow="0" w:firstColumn="1" w:lastColumn="0" w:noHBand="0" w:noVBand="1"/>
      </w:tblPr>
      <w:tblGrid>
        <w:gridCol w:w="958"/>
        <w:gridCol w:w="6555"/>
        <w:gridCol w:w="1006"/>
        <w:gridCol w:w="412"/>
      </w:tblGrid>
      <w:tr w:rsidR="00BF5974" w14:paraId="1FE20260" w14:textId="77777777" w:rsidTr="00BF5974">
        <w:trPr>
          <w:gridAfter w:val="1"/>
          <w:wAfter w:w="412" w:type="dxa"/>
          <w:trHeight w:val="227"/>
          <w:tblHeader/>
          <w:jc w:val="right"/>
        </w:trPr>
        <w:tc>
          <w:tcPr>
            <w:tcW w:w="8519" w:type="dxa"/>
            <w:gridSpan w:val="3"/>
            <w:tcBorders>
              <w:top w:val="nil"/>
              <w:left w:val="nil"/>
              <w:bottom w:val="single" w:sz="4" w:space="0" w:color="auto"/>
              <w:right w:val="nil"/>
            </w:tcBorders>
            <w:noWrap/>
            <w:vAlign w:val="center"/>
            <w:hideMark/>
          </w:tcPr>
          <w:p w14:paraId="6A03DA45" w14:textId="77777777" w:rsidR="00BF5974" w:rsidRDefault="00BF5974">
            <w:pPr>
              <w:spacing w:line="256" w:lineRule="auto"/>
              <w:jc w:val="center"/>
              <w:rPr>
                <w:rFonts w:eastAsia="Times New Roman" w:cs="Arial"/>
                <w:b/>
                <w:sz w:val="18"/>
                <w:szCs w:val="18"/>
                <w:lang w:val="es-ES" w:eastAsia="en-US"/>
              </w:rPr>
            </w:pPr>
            <w:r>
              <w:rPr>
                <w:rFonts w:eastAsia="Times New Roman" w:cs="Arial"/>
                <w:b/>
                <w:sz w:val="18"/>
                <w:szCs w:val="18"/>
                <w:lang w:val="es-ES" w:eastAsia="en-US"/>
              </w:rPr>
              <w:t>Tabla 21. Administración Pública Centralizada</w:t>
            </w:r>
          </w:p>
          <w:p w14:paraId="30D96AC6" w14:textId="443EE758" w:rsidR="00BF5974" w:rsidRDefault="005D50D2" w:rsidP="005D50D2">
            <w:pPr>
              <w:spacing w:line="256" w:lineRule="auto"/>
              <w:jc w:val="center"/>
              <w:rPr>
                <w:rFonts w:eastAsia="Times New Roman" w:cs="Arial"/>
                <w:b/>
                <w:bCs/>
                <w:color w:val="000000"/>
                <w:sz w:val="18"/>
                <w:szCs w:val="18"/>
                <w:lang w:val="es-ES" w:eastAsia="en-US"/>
              </w:rPr>
            </w:pPr>
            <w:r>
              <w:rPr>
                <w:rFonts w:cs="Arial"/>
                <w:b/>
                <w:sz w:val="18"/>
                <w:szCs w:val="18"/>
                <w:lang w:val="es-ES" w:eastAsia="en-US"/>
              </w:rPr>
              <w:t xml:space="preserve">(Unidad Presupuestal, </w:t>
            </w:r>
            <w:r w:rsidR="00BF5974">
              <w:rPr>
                <w:rFonts w:cs="Arial"/>
                <w:b/>
                <w:sz w:val="18"/>
                <w:szCs w:val="18"/>
                <w:lang w:val="es-ES" w:eastAsia="en-US"/>
              </w:rPr>
              <w:t>Unidad Responsable</w:t>
            </w:r>
            <w:r>
              <w:rPr>
                <w:rFonts w:cs="Arial"/>
                <w:b/>
                <w:sz w:val="18"/>
                <w:szCs w:val="18"/>
                <w:lang w:val="es-ES" w:eastAsia="en-US"/>
              </w:rPr>
              <w:t xml:space="preserve"> y Unidad Ejecutora)</w:t>
            </w:r>
          </w:p>
        </w:tc>
      </w:tr>
      <w:tr w:rsidR="00BF5974" w14:paraId="0EE056F7" w14:textId="77777777" w:rsidTr="00BF5974">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3C81EB8D" w14:textId="77777777" w:rsidR="00BF5974" w:rsidRDefault="00BF5974">
            <w:pPr>
              <w:spacing w:line="256" w:lineRule="auto"/>
              <w:jc w:val="center"/>
              <w:rPr>
                <w:rFonts w:eastAsia="Times New Roman" w:cs="Arial"/>
                <w:b/>
                <w:bCs/>
                <w:color w:val="000000"/>
                <w:sz w:val="18"/>
                <w:szCs w:val="18"/>
                <w:lang w:val="es-ES" w:eastAsia="en-US"/>
              </w:rPr>
            </w:pPr>
            <w:r>
              <w:rPr>
                <w:rFonts w:eastAsia="Times New Roman" w:cs="Arial"/>
                <w:b/>
                <w:bCs/>
                <w:color w:val="000000"/>
                <w:sz w:val="18"/>
                <w:szCs w:val="18"/>
                <w:lang w:val="es-ES" w:eastAsia="en-US"/>
              </w:rPr>
              <w:t>Clave</w:t>
            </w:r>
          </w:p>
        </w:tc>
        <w:tc>
          <w:tcPr>
            <w:tcW w:w="6555" w:type="dxa"/>
            <w:tcBorders>
              <w:top w:val="single" w:sz="4" w:space="0" w:color="auto"/>
              <w:left w:val="single" w:sz="4" w:space="0" w:color="auto"/>
              <w:bottom w:val="single" w:sz="4" w:space="0" w:color="auto"/>
              <w:right w:val="single" w:sz="4" w:space="0" w:color="auto"/>
            </w:tcBorders>
            <w:vAlign w:val="center"/>
            <w:hideMark/>
          </w:tcPr>
          <w:p w14:paraId="5F364F6C" w14:textId="77777777" w:rsidR="00BF5974" w:rsidRDefault="00BF5974">
            <w:pPr>
              <w:spacing w:line="256" w:lineRule="auto"/>
              <w:jc w:val="center"/>
              <w:rPr>
                <w:rFonts w:eastAsia="Times New Roman" w:cs="Arial"/>
                <w:b/>
                <w:bCs/>
                <w:color w:val="000000"/>
                <w:sz w:val="18"/>
                <w:szCs w:val="18"/>
                <w:lang w:val="es-ES" w:eastAsia="en-US"/>
              </w:rPr>
            </w:pPr>
            <w:r>
              <w:rPr>
                <w:rFonts w:eastAsia="Times New Roman" w:cs="Arial"/>
                <w:b/>
                <w:bCs/>
                <w:color w:val="000000"/>
                <w:sz w:val="18"/>
                <w:szCs w:val="18"/>
                <w:lang w:val="es-ES" w:eastAsia="en-US"/>
              </w:rPr>
              <w:t>Unidad Presupuestal</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191BBD9" w14:textId="77777777" w:rsidR="00BF5974" w:rsidRDefault="00BF5974">
            <w:pPr>
              <w:spacing w:line="256" w:lineRule="auto"/>
              <w:jc w:val="center"/>
              <w:rPr>
                <w:rFonts w:eastAsia="Times New Roman" w:cs="Arial"/>
                <w:b/>
                <w:bCs/>
                <w:color w:val="000000"/>
                <w:sz w:val="18"/>
                <w:szCs w:val="18"/>
                <w:lang w:val="es-ES" w:eastAsia="en-US"/>
              </w:rPr>
            </w:pPr>
            <w:r>
              <w:rPr>
                <w:rFonts w:eastAsia="Times New Roman" w:cs="Arial"/>
                <w:b/>
                <w:bCs/>
                <w:color w:val="000000"/>
                <w:sz w:val="18"/>
                <w:szCs w:val="18"/>
                <w:lang w:val="es-ES" w:eastAsia="en-US"/>
              </w:rPr>
              <w:t>Asignación Presupuestal</w:t>
            </w:r>
          </w:p>
        </w:tc>
      </w:tr>
      <w:tr w:rsidR="00A41077" w14:paraId="661C3DE0"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F75011F"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010000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56B8CF5D"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Oficina de la Gubernatura.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0AF7F91B" w14:textId="3E6A7F85"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95,842,291</w:t>
            </w:r>
          </w:p>
        </w:tc>
      </w:tr>
      <w:tr w:rsidR="00A41077" w14:paraId="2C700C87"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647E95A3"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010100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673F7131"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Oficina de la Gubernatura.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07E662FC" w14:textId="16AAEEE8"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41,378,807</w:t>
            </w:r>
          </w:p>
        </w:tc>
      </w:tr>
      <w:tr w:rsidR="00A41077" w14:paraId="24B92475"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619D6C9C"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010101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6F5C8724"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Jefe de la Oficina de la Gubernatura.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4BB9748D" w14:textId="369BE8BD"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41,378,807</w:t>
            </w:r>
          </w:p>
        </w:tc>
      </w:tr>
      <w:tr w:rsidR="00A41077" w14:paraId="5E358D32"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6DB8712C"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010200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57DA8890"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Secretaría Técnica de Enlace Gubernamental.</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75B5E595" w14:textId="163C65D1"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10,539,388</w:t>
            </w:r>
          </w:p>
        </w:tc>
      </w:tr>
      <w:tr w:rsidR="00A41077" w14:paraId="17C3B1D7"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776B1F9"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010201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2F966C22"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Secretaría Técnica de Enlace Gubernamental.</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38BF238D" w14:textId="261ABD86"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10,539,388</w:t>
            </w:r>
          </w:p>
        </w:tc>
      </w:tr>
      <w:tr w:rsidR="00A41077" w14:paraId="79DA97A6"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98A41DF"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010300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580DEDC3"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Dirección General de Comunicación Social.</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2967454E" w14:textId="6AE572CD"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38,683,907</w:t>
            </w:r>
          </w:p>
        </w:tc>
      </w:tr>
      <w:tr w:rsidR="00A41077" w14:paraId="7B1AF8FB"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51F8C519"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010301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4FAE2B6B"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Dirección General de Comunicación Social.</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67C491D1" w14:textId="7F721A5B"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38,683,907</w:t>
            </w:r>
          </w:p>
        </w:tc>
      </w:tr>
      <w:tr w:rsidR="00A41077" w14:paraId="6B1FE361"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54CEB144"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010400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18734FC1"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Dirección General de Asesores.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1AC74E9F" w14:textId="576A06E0"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5,240,189</w:t>
            </w:r>
          </w:p>
        </w:tc>
      </w:tr>
      <w:tr w:rsidR="00A41077" w14:paraId="050074C3"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162F43A"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010401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0C4035CE"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Dirección General de Asesores.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165CE66C" w14:textId="199695EB"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5,240,189</w:t>
            </w:r>
          </w:p>
        </w:tc>
      </w:tr>
      <w:tr w:rsidR="00A41077" w14:paraId="4AB9DB28"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7D8C00CD"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020000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7F07BFDD"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Secretaría General de Gobierno.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67588A2D" w14:textId="41022A58"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669,142,145</w:t>
            </w:r>
          </w:p>
        </w:tc>
      </w:tr>
      <w:tr w:rsidR="00A41077" w14:paraId="1E50CA40"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57195C34"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020100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02F32C75"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Secretaría General de Gobierno.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45FD37C1" w14:textId="0B1F40DF"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139,392,113</w:t>
            </w:r>
          </w:p>
        </w:tc>
      </w:tr>
      <w:tr w:rsidR="00A41077" w14:paraId="00D081E9"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1C6BA948"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020101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6949F330"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Secretaría General de Gobierno.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550375F1" w14:textId="490868C1"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134,463,211</w:t>
            </w:r>
          </w:p>
        </w:tc>
      </w:tr>
      <w:tr w:rsidR="00A41077" w14:paraId="14F9786B"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5A147593"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020102</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5DEF6F81"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Oficina de Enlace Delegación Colima S.R.E..</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45958AC5" w14:textId="62A7815D"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4,928,902</w:t>
            </w:r>
          </w:p>
        </w:tc>
      </w:tr>
      <w:tr w:rsidR="00A41077" w14:paraId="28B2D854"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18D53F9"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020200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65DB4CA6"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Dirección General de Gobierno.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29186A4D" w14:textId="4F1AB10A"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63,304,915</w:t>
            </w:r>
          </w:p>
        </w:tc>
      </w:tr>
      <w:tr w:rsidR="00A41077" w14:paraId="4DC40EF6"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7021C583"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lastRenderedPageBreak/>
              <w:t>020201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5AA318DE"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Dirección General de Gobierno.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3DFDD43D" w14:textId="4E06A7D2"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63,304,915</w:t>
            </w:r>
          </w:p>
        </w:tc>
      </w:tr>
      <w:tr w:rsidR="00A41077" w14:paraId="34DF3B47"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757ED54C"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020300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1DC9ADF6"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Secretariado Ejecutivo del Sistema Estatal de Seguridad Pública.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5D2378D4" w14:textId="7060FF4C"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438,562,465</w:t>
            </w:r>
          </w:p>
        </w:tc>
      </w:tr>
      <w:tr w:rsidR="00A41077" w14:paraId="7193D742"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72F1D999"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020301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4335B55F"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del Secretariado Ejecutivo del Sistema Estatal de Seguridad Pública.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7E7BE1D6" w14:textId="542F08E9"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417,625,225</w:t>
            </w:r>
          </w:p>
        </w:tc>
      </w:tr>
      <w:tr w:rsidR="00A41077" w14:paraId="2E200C86"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FB5FD61"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020302</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13C65C91"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Centro Estatal de Prevención Social de la Violencia y la Delincuencia con Participación Ciudadana.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3BD9D07D" w14:textId="2B75A7B1"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5,925,844</w:t>
            </w:r>
          </w:p>
        </w:tc>
      </w:tr>
      <w:tr w:rsidR="00A41077" w14:paraId="7439D82D"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1E8D449A"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020303</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2C8D8C35"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Centro Estatal de Evaluación y Control de Confianza.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4D4892F0" w14:textId="5BAEEAFF"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15,011,396</w:t>
            </w:r>
          </w:p>
        </w:tc>
      </w:tr>
      <w:tr w:rsidR="00A41077" w14:paraId="5B2FF88A"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6A273220"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020400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7CBAF885"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Centro de Coordinación, Control, Comando, Comunicación, Cómputo e Inteligencia.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2BDD1309" w14:textId="607A0D3B"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26,889,357</w:t>
            </w:r>
          </w:p>
        </w:tc>
      </w:tr>
      <w:tr w:rsidR="00A41077" w14:paraId="4521FE3F"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5A5EAFC8"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020401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7D8A69D6"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Centro de Coordinación, Control, Comando, Comunicación, Cómputo e Inteligencia.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420B434F" w14:textId="455A6D0C"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26,889,357</w:t>
            </w:r>
          </w:p>
        </w:tc>
      </w:tr>
      <w:tr w:rsidR="00A41077" w14:paraId="327CAA9C"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4239AD7"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020500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24F80FC9"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Coordinación General de representación de los Municipios.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5B825827" w14:textId="39162C51"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993,295</w:t>
            </w:r>
          </w:p>
        </w:tc>
      </w:tr>
      <w:tr w:rsidR="00A41077" w14:paraId="26CB8328"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73A9DF5C"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020501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56EAD192"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Coordinación General de Representación de los Municipios.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09769F57" w14:textId="22AEF9CB"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993,295</w:t>
            </w:r>
          </w:p>
        </w:tc>
      </w:tr>
      <w:tr w:rsidR="00A41077" w14:paraId="41E2D0F9"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687351FF"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030000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2B1D93E2"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Secretaría de Planeación, Finanzas y Administración.</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28BEFC53" w14:textId="2DB19679"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459,320,644</w:t>
            </w:r>
          </w:p>
        </w:tc>
      </w:tr>
      <w:tr w:rsidR="00A41077" w14:paraId="0145D759"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3577AB9C"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030100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4AFF60A1"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Secretaría de Planeación, Finanzas y Administración.</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422ADBFA" w14:textId="10E65C81"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248,525,683</w:t>
            </w:r>
          </w:p>
        </w:tc>
      </w:tr>
      <w:tr w:rsidR="00A41077" w14:paraId="0AFA30CD"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6F63166B"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030101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476003B4"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Secretaría de Planeación, Finanzas y Administración.</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497AE6EF" w14:textId="70776B58"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30,942,651</w:t>
            </w:r>
          </w:p>
        </w:tc>
      </w:tr>
      <w:tr w:rsidR="00A41077" w14:paraId="65B0A1BE"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3B2ED102"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030102</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0E151DD6"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Dirección General de Ingresos.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5B2641A1" w14:textId="305E0ECC"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100,515,317</w:t>
            </w:r>
          </w:p>
        </w:tc>
      </w:tr>
      <w:tr w:rsidR="00A41077" w14:paraId="403796A4"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439D136"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030103</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791BE0A0"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Dirección General de Egresos.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3D855C6D" w14:textId="236A7D74"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48,684,515</w:t>
            </w:r>
          </w:p>
        </w:tc>
      </w:tr>
      <w:tr w:rsidR="00A41077" w14:paraId="6B0E6D84"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F9AF1A3"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030104</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6634CECF"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Dirección General de Planeación.</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12EEB7D0" w14:textId="475BA0B5"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24,589,879</w:t>
            </w:r>
          </w:p>
        </w:tc>
      </w:tr>
      <w:tr w:rsidR="00A41077" w14:paraId="1B6D6696"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38C61AF"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030105</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5B8C2C72"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Dirección General Jurídica.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2B920242" w14:textId="21312A3B"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12,792,252</w:t>
            </w:r>
          </w:p>
        </w:tc>
      </w:tr>
      <w:tr w:rsidR="00A41077" w14:paraId="1606B876"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F053C58"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030106</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16E8CA1F"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Unidad de Inteligencia Patrimonial y Económica.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7B9ECC0B" w14:textId="762DD12D"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5,611,412</w:t>
            </w:r>
          </w:p>
        </w:tc>
      </w:tr>
      <w:tr w:rsidR="00A41077" w14:paraId="217A5193"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1ADF4117"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030107</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01D0C801"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Dirección General de Tecnologías de Información y Comunicación.</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41958E21" w14:textId="56BEB0F2"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25,389,657</w:t>
            </w:r>
          </w:p>
        </w:tc>
      </w:tr>
      <w:tr w:rsidR="00A41077" w14:paraId="0D4AF7D4"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6C9826C0"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030200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2413965A"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Subsecretaría de Administración.</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1E7BC540" w14:textId="6C9708A8"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210,794,961</w:t>
            </w:r>
          </w:p>
        </w:tc>
      </w:tr>
      <w:tr w:rsidR="00A41077" w14:paraId="12B502ED"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10122FC0"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030201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24BE80EA"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Subsecretaría de Administración.</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3B645245" w14:textId="7933FF93"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18,339,933</w:t>
            </w:r>
          </w:p>
        </w:tc>
      </w:tr>
      <w:tr w:rsidR="00A41077" w14:paraId="0D4282AA"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53DFA1D"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030202</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75B11754"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Dirección General de Administración y Recursos Materiales.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25D8E7D4" w14:textId="5AE0B5FE"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69,975,941</w:t>
            </w:r>
          </w:p>
        </w:tc>
      </w:tr>
      <w:tr w:rsidR="00A41077" w14:paraId="6DAD3411"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B9B74A5"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030203</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25D6C352"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Dirección General de Capital Humano.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3B0FF16A" w14:textId="79B2BA65"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89,240,837</w:t>
            </w:r>
          </w:p>
        </w:tc>
      </w:tr>
      <w:tr w:rsidR="00A41077" w14:paraId="150DE65A"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8B351BC"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030204</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02535FF5"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Dirección General de Enlaces Administrativos.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5394F87E" w14:textId="58A5AED3"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7,712,324</w:t>
            </w:r>
          </w:p>
        </w:tc>
      </w:tr>
      <w:tr w:rsidR="00A41077" w14:paraId="4878BD5F"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514AB661"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030205</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3A437D1B"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Dirección General de Profesionalización, Calidad y Escuela de Buen Gobierno.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4A2354CB" w14:textId="6730B17D"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10,588,014</w:t>
            </w:r>
          </w:p>
        </w:tc>
      </w:tr>
      <w:tr w:rsidR="00A41077" w14:paraId="39631B03"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5B05C63E"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030206</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07932579"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Dirección General de Agenda, Logística y Eventos Especiales.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33114A7B" w14:textId="5215E445"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14,937,912</w:t>
            </w:r>
          </w:p>
        </w:tc>
      </w:tr>
      <w:tr w:rsidR="00A41077" w14:paraId="2817CAB7"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A102320"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040000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48203EB8"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Secretaría de Bienestar, Inclusión Social y Mujeres.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1812E63F" w14:textId="2CE31F6E"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985,365,515</w:t>
            </w:r>
          </w:p>
        </w:tc>
      </w:tr>
      <w:tr w:rsidR="00A41077" w14:paraId="00C1C28D"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33C8A16D"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040100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32E5AF5C"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Secretaría de Bienestar, Inclusión Social y Mujeres.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30853151" w14:textId="20399C2D"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973,030,940</w:t>
            </w:r>
          </w:p>
        </w:tc>
      </w:tr>
      <w:tr w:rsidR="00A41077" w14:paraId="586E6164"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45151B3"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040101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5EB7F587"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Secretaría de Bienestar, Inclusión Social y Mujeres.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5253158B" w14:textId="5D291C53"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942,098,055</w:t>
            </w:r>
          </w:p>
        </w:tc>
      </w:tr>
      <w:tr w:rsidR="00A41077" w14:paraId="17796DD7"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1D9B28C0"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040102</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6477050C"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Dirección General del Bienestar.</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45097926" w14:textId="0D307BEA"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30,932,885</w:t>
            </w:r>
          </w:p>
        </w:tc>
      </w:tr>
      <w:tr w:rsidR="00A41077" w14:paraId="0CB58ECA"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8778C13"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040200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0D458CDF"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Subsecretaría de las Juventudes.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403A03EE" w14:textId="180E78BB"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12,334,575</w:t>
            </w:r>
          </w:p>
        </w:tc>
      </w:tr>
      <w:tr w:rsidR="00A41077" w14:paraId="074794F1"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C33A03E"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040201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53974197"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Subsecretaría de las Juventudes.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6CBC1A3D" w14:textId="7E3A64AA"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8,079,408</w:t>
            </w:r>
          </w:p>
        </w:tc>
      </w:tr>
      <w:tr w:rsidR="00A41077" w14:paraId="13757F9E"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6029A1EA"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040202</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383568F9"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 xml:space="preserve">Dirección General de Participación y Desarrollo de las Juventudes.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7408DF90" w14:textId="2134B995"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4,255,167</w:t>
            </w:r>
          </w:p>
        </w:tc>
      </w:tr>
      <w:tr w:rsidR="00A41077" w14:paraId="235EBEC2"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1DAD7DE2"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050000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23C30465"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Secretaría de Infraestructura, Desarrollo Urbano y Movilidad.</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0B8C6080" w14:textId="7EC04B49"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632,898,230</w:t>
            </w:r>
          </w:p>
        </w:tc>
      </w:tr>
      <w:tr w:rsidR="00A41077" w14:paraId="2FF814EF"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04C8CB0F"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050100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2622A2DE"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Secretaría de Infraestructura, Desarrollo Urbano y Movilidad.</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19CEDCC4" w14:textId="32153EA2"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550,717,587</w:t>
            </w:r>
          </w:p>
        </w:tc>
      </w:tr>
      <w:tr w:rsidR="00A41077" w14:paraId="3E9D196B"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5B47E479"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050101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7014D304"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Secretaría de Infraestructura, Desarrollo Urbano y Movilidad.</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69F03138" w14:textId="7410A44A"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153,035,720</w:t>
            </w:r>
          </w:p>
        </w:tc>
      </w:tr>
      <w:tr w:rsidR="00A41077" w14:paraId="3ECA312E"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BE5032D"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050102</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0BB79F01"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Dirección General de Regulación y Ordenamiento Urbano.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1E5BB20C" w14:textId="3D7BAA1D"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17,242,512</w:t>
            </w:r>
          </w:p>
        </w:tc>
      </w:tr>
      <w:tr w:rsidR="00A41077" w14:paraId="798AE283"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6DCD7BBD"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050103</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7F10ED2E"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Dirección General de Caminos.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4767F0BA" w14:textId="4C39DE7F"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342,498,846</w:t>
            </w:r>
          </w:p>
        </w:tc>
      </w:tr>
      <w:tr w:rsidR="00A41077" w14:paraId="73058A40"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6020BEB6"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050104</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63414786"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Dirección General de Obra Pública.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5A61BFBD" w14:textId="63197E4F"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21,730,883</w:t>
            </w:r>
          </w:p>
        </w:tc>
      </w:tr>
      <w:tr w:rsidR="00A41077" w14:paraId="24A0125F"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3695BC3A"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050105</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2962C407" w14:textId="42457D03"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Dirección General de Proyectos</w:t>
            </w:r>
            <w:r w:rsidR="008E444B">
              <w:rPr>
                <w:rFonts w:cs="Arial"/>
                <w:color w:val="000000"/>
                <w:sz w:val="18"/>
                <w:szCs w:val="18"/>
                <w:lang w:val="es-ES" w:eastAsia="en-US"/>
              </w:rPr>
              <w:t>.</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4D071AE8" w14:textId="640F842C"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16,209,626</w:t>
            </w:r>
          </w:p>
        </w:tc>
      </w:tr>
      <w:tr w:rsidR="00A41077" w14:paraId="2FB72E14"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BED830E"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050200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51C980EF"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Subsecretaría de Movilidad.</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3A642A4A" w14:textId="424E8644"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82,180,643</w:t>
            </w:r>
          </w:p>
        </w:tc>
      </w:tr>
      <w:tr w:rsidR="00A41077" w14:paraId="3AF8FDDB"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16F7CE6"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050201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4D174FE8"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Subsecretaría de Movilidad.</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126154A5" w14:textId="5981C953"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16,956,900</w:t>
            </w:r>
          </w:p>
        </w:tc>
      </w:tr>
      <w:tr w:rsidR="00A41077" w14:paraId="25E1FB2E"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7D2F9212"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050202</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2503C2BD"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Dirección General del Sistema Integrado de Movilidad.</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1C528C6D" w14:textId="63156132"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14,352,941</w:t>
            </w:r>
          </w:p>
        </w:tc>
      </w:tr>
      <w:tr w:rsidR="00A41077" w14:paraId="08232611"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696DD56C"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lastRenderedPageBreak/>
              <w:t>050203</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35A1758A"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Dirección General de Regulación y Control.</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0E26F8CA" w14:textId="463EB885"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50,870,802</w:t>
            </w:r>
          </w:p>
        </w:tc>
      </w:tr>
      <w:tr w:rsidR="00A41077" w14:paraId="5E0BABBB"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77814FF"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060000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64CA44AA"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Secretaría de Educación y Cultura.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3EB91948" w14:textId="6F399BBB"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9,073,126,006</w:t>
            </w:r>
          </w:p>
        </w:tc>
      </w:tr>
      <w:tr w:rsidR="00A41077" w14:paraId="11801313"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00C81734"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060100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172ED972"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Secretaría de Educación y Cultura.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7B589CB0" w14:textId="101857D6"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2,967,635,403</w:t>
            </w:r>
          </w:p>
        </w:tc>
      </w:tr>
      <w:tr w:rsidR="00A41077" w14:paraId="0C04ADD3"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796876D2"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060101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37A35BF6"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Secretaría de Educación y Cultura.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110BC802" w14:textId="10EE6CCF"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2,805,117,161</w:t>
            </w:r>
          </w:p>
        </w:tc>
      </w:tr>
      <w:tr w:rsidR="00A41077" w14:paraId="416DA5D3"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A8D3ADD"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060103</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07180781"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Instituto Superior de Educación Normal del Estado de Colima.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3FE4A3D3" w14:textId="50A85FE5"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162,518,242</w:t>
            </w:r>
          </w:p>
        </w:tc>
      </w:tr>
      <w:tr w:rsidR="00A41077" w14:paraId="542FBFF7"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67F7721"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060200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030A00E9"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Subsecretaría de Educación.</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31D1AEE8" w14:textId="6673C2DC" w:rsidR="00A41077" w:rsidRPr="00A41077" w:rsidRDefault="00A41077" w:rsidP="00A41077">
            <w:pPr>
              <w:spacing w:line="256" w:lineRule="auto"/>
              <w:jc w:val="right"/>
              <w:rPr>
                <w:rFonts w:eastAsia="Times New Roman" w:cs="Arial"/>
                <w:b/>
                <w:bCs/>
                <w:color w:val="000000"/>
                <w:sz w:val="18"/>
                <w:szCs w:val="18"/>
                <w:lang w:val="es-ES" w:eastAsia="en-US"/>
              </w:rPr>
            </w:pPr>
            <w:r w:rsidRPr="00A41077">
              <w:rPr>
                <w:rFonts w:cs="Arial"/>
                <w:b/>
                <w:bCs/>
                <w:color w:val="000000"/>
                <w:sz w:val="18"/>
                <w:szCs w:val="18"/>
              </w:rPr>
              <w:t>5,997,306,140</w:t>
            </w:r>
          </w:p>
        </w:tc>
      </w:tr>
      <w:tr w:rsidR="00A41077" w14:paraId="129AD500"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6E454BA"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060201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40932FEC"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Subsecretaría de Educación.</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69A24E18" w14:textId="020756A1"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5,997,306,140</w:t>
            </w:r>
          </w:p>
        </w:tc>
      </w:tr>
      <w:tr w:rsidR="00A41077" w14:paraId="118F90CD"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547207DC"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060300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35A467DA"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Subsecretaría de Cultura.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7F30E35E" w14:textId="0A6BE048"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108,184,463</w:t>
            </w:r>
          </w:p>
        </w:tc>
      </w:tr>
      <w:tr w:rsidR="00A41077" w14:paraId="34D8EE5A"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BB2C17E"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060301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23B5E162"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Subsecretaría de Cultura.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13942194" w14:textId="6787EF17"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91,988,640</w:t>
            </w:r>
          </w:p>
        </w:tc>
      </w:tr>
      <w:tr w:rsidR="00A41077" w14:paraId="4EA19D26"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013CC665"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060302</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1393C00D"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Dirección General de Cultura.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263B5E69" w14:textId="64EC2363"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7,677,360</w:t>
            </w:r>
          </w:p>
        </w:tc>
      </w:tr>
      <w:tr w:rsidR="00A41077" w14:paraId="121A300A"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916A970"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060303</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656EFBC3"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Dirección General de Artes y Humanidades.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6DBD4C04" w14:textId="52168B98"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8,518,463</w:t>
            </w:r>
          </w:p>
        </w:tc>
      </w:tr>
      <w:tr w:rsidR="00A41077" w14:paraId="4B319C2E"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11B1A968"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070000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67BCAFFA"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Secretaría de Salud.</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4CB808AC" w14:textId="45F61F02"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2,505,979,102</w:t>
            </w:r>
          </w:p>
        </w:tc>
      </w:tr>
      <w:tr w:rsidR="00A41077" w14:paraId="49FCF051"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941678D"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070100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6D2E7A11"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Secretaría de Salud.</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2B0DC2F5" w14:textId="0E1072EF"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2,461,835,962</w:t>
            </w:r>
          </w:p>
        </w:tc>
      </w:tr>
      <w:tr w:rsidR="00A41077" w14:paraId="33DD406B"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079C3FED"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070101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104D1B2D"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Secretaría de Salud.</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79184A09" w14:textId="2816012F"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2,461,835,962</w:t>
            </w:r>
          </w:p>
        </w:tc>
      </w:tr>
      <w:tr w:rsidR="00A41077" w14:paraId="3743620A"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9FD1A2B"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070200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0DE1C089"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Hospital Materno Infantil.</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28A4043D" w14:textId="6F38310D"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44,143,140</w:t>
            </w:r>
          </w:p>
        </w:tc>
      </w:tr>
      <w:tr w:rsidR="00A41077" w14:paraId="1D6F2F1B"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F14F738"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070201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525CF429"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Hospital Materno Infantil.</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530FBA69" w14:textId="59BEBCC7"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44,143,140</w:t>
            </w:r>
          </w:p>
        </w:tc>
      </w:tr>
      <w:tr w:rsidR="00A41077" w14:paraId="745A437C"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D6ED3EF"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080000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2FC54959"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Secretaría de Desarrollo Económico.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3E9BA6C9" w14:textId="055CFE48"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273,455,660</w:t>
            </w:r>
          </w:p>
        </w:tc>
      </w:tr>
      <w:tr w:rsidR="00A41077" w14:paraId="1E0B3A98"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5DBDD6A"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080100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1EC9FE9B"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Secretaría de Desarrollo Económico.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463944A5" w14:textId="5B93B76B"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66,407,820</w:t>
            </w:r>
          </w:p>
        </w:tc>
      </w:tr>
      <w:tr w:rsidR="00A41077" w14:paraId="3FD75009"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FD3AC17"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080101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667DC425"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Secretaría de Desarrollo Económico.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01DABED3" w14:textId="4CF0649A"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66,407,820</w:t>
            </w:r>
          </w:p>
        </w:tc>
      </w:tr>
      <w:tr w:rsidR="00A41077" w14:paraId="3F71FEE1"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D3EBBE9"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080200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7ABBA911"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Subsecretaría de Desarrollo Rural.</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0C51F6B4" w14:textId="5C3F0BF4"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106,711,551</w:t>
            </w:r>
          </w:p>
        </w:tc>
      </w:tr>
      <w:tr w:rsidR="00A41077" w14:paraId="4507E4E7"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134BCD04"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080201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5E04CCAC"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Subsecretaría de Desarrollo Rural.</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792CC17E" w14:textId="79BA86D9"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106,711,551</w:t>
            </w:r>
          </w:p>
        </w:tc>
      </w:tr>
      <w:tr w:rsidR="00A41077" w14:paraId="00599A99"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5AE53B92"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080300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272B3F16"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Subsecretaría de Turismo.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411FE9D0" w14:textId="03D432AA"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52,661,166</w:t>
            </w:r>
          </w:p>
        </w:tc>
      </w:tr>
      <w:tr w:rsidR="00A41077" w14:paraId="310DE620"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088C7E62"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080301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10D91BD2"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Subsecretaría de Turismo.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740CFB34" w14:textId="7EA852BC"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52,661,166</w:t>
            </w:r>
          </w:p>
        </w:tc>
      </w:tr>
      <w:tr w:rsidR="00A41077" w14:paraId="39E52893"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7D422EF7"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080400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6F10B5A9"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Subsecretaría del Trabajo.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6F15FF04" w14:textId="1A7AF23B"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47,675,123</w:t>
            </w:r>
          </w:p>
        </w:tc>
      </w:tr>
      <w:tr w:rsidR="00A41077" w14:paraId="5BCD452A"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7526D70"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080401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203D39F5"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Subsecretaría del Trabajo.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67E51E6E" w14:textId="79AB85B1"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47,675,123</w:t>
            </w:r>
          </w:p>
        </w:tc>
      </w:tr>
      <w:tr w:rsidR="00A41077" w14:paraId="7AA084EC"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6CE348FA"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090000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66738E29"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Contraloría General del Estado.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7A21B819" w14:textId="4434C359"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28,614,931</w:t>
            </w:r>
          </w:p>
        </w:tc>
      </w:tr>
      <w:tr w:rsidR="00A41077" w14:paraId="5CE1FD22"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7B185D06"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090100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70B5A2CB"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Contraloría General del Estado.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03332A14" w14:textId="37370479"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28,614,931</w:t>
            </w:r>
          </w:p>
        </w:tc>
      </w:tr>
      <w:tr w:rsidR="00A41077" w14:paraId="49D4C593"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64B8E036"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090101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237E66D0"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Contraloría General del Estado.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433B0251" w14:textId="54B37950"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28,614,931</w:t>
            </w:r>
          </w:p>
        </w:tc>
      </w:tr>
      <w:tr w:rsidR="00A41077" w14:paraId="593B0FB2"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02AC84AE"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100000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2F6AA662"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Secretaría de Seguridad Pública.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297DC6A9" w14:textId="0441C65C"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746,880,260</w:t>
            </w:r>
          </w:p>
        </w:tc>
      </w:tr>
      <w:tr w:rsidR="00A41077" w14:paraId="6A491FDB"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9D5F262"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100100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2FC087D3"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Secretaría de Seguridad Pública.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0827648D" w14:textId="6A637828"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47,518,716</w:t>
            </w:r>
          </w:p>
        </w:tc>
      </w:tr>
      <w:tr w:rsidR="00A41077" w14:paraId="7F2B484A"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1257FBF6"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100101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5469D951"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Secretaría de Seguridad Pública.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7BC2E72B" w14:textId="05059457"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47,518,716</w:t>
            </w:r>
          </w:p>
        </w:tc>
      </w:tr>
      <w:tr w:rsidR="00A41077" w14:paraId="0A6032F4"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3A813FD6"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100200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0B7ABF73" w14:textId="3636A80A"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Subsecretaría de Operaciones</w:t>
            </w:r>
            <w:r w:rsidR="008E444B">
              <w:rPr>
                <w:rFonts w:cs="Arial"/>
                <w:b/>
                <w:bCs/>
                <w:color w:val="000000"/>
                <w:sz w:val="18"/>
                <w:szCs w:val="18"/>
                <w:lang w:val="es-ES" w:eastAsia="en-US"/>
              </w:rPr>
              <w:t>.</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7F0F55EC" w14:textId="4218801B"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399,816,244</w:t>
            </w:r>
          </w:p>
        </w:tc>
      </w:tr>
      <w:tr w:rsidR="00A41077" w14:paraId="06FFF5CD"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78F63A1"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100201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42EDD8AD" w14:textId="4BDF3CCD"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Subsecretaría de Operaciones</w:t>
            </w:r>
            <w:r w:rsidR="008E444B">
              <w:rPr>
                <w:rFonts w:cs="Arial"/>
                <w:color w:val="000000"/>
                <w:sz w:val="18"/>
                <w:szCs w:val="18"/>
                <w:lang w:val="es-ES" w:eastAsia="en-US"/>
              </w:rPr>
              <w:t>.</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399E3FBD" w14:textId="40F775FB"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399,816,244</w:t>
            </w:r>
          </w:p>
        </w:tc>
      </w:tr>
      <w:tr w:rsidR="00A41077" w14:paraId="2C1CE6A2"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4857F88"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100300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307A57E1"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Dirección General de Prevención y Reinserción Social.</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608A138D" w14:textId="707606C8"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220,732,492</w:t>
            </w:r>
          </w:p>
        </w:tc>
      </w:tr>
      <w:tr w:rsidR="00A41077" w14:paraId="21365F03"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6BC8A998"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100301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0C1F16C5"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Dirección General de Prevención y Reinserción Social.</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1FB9426F" w14:textId="7AEF165F"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220,732,492</w:t>
            </w:r>
          </w:p>
        </w:tc>
      </w:tr>
      <w:tr w:rsidR="00A41077" w14:paraId="7171B80A"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3DE7C2E4"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100400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7F2C85A2"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Instituto Especializado en la Ejecución de Medidas para Adolescentes del Estado.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6A0F8BC3" w14:textId="413A341F"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26,042,708</w:t>
            </w:r>
          </w:p>
        </w:tc>
      </w:tr>
      <w:tr w:rsidR="00A41077" w14:paraId="6AA4D075"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32AE4FAB"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100401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64332CA9"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del Instituto Especializado en la Ejecución de Medidas para Adolescentes del Estado.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1A452B8F" w14:textId="70EE5B9B"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26,042,708</w:t>
            </w:r>
          </w:p>
        </w:tc>
      </w:tr>
      <w:tr w:rsidR="00A41077" w14:paraId="00D54BA8"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FDE0B98"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100500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146FA010"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Dirección General del Instituto de Formación, Capacitación y Profesionalización Policial.</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195C3120" w14:textId="033D3B0E"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6,789,543</w:t>
            </w:r>
          </w:p>
        </w:tc>
      </w:tr>
      <w:tr w:rsidR="00A41077" w14:paraId="7A4A15DB"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11C413E5"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100501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2A3C03F2"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Dirección General del Instituto de Formación, Capacitación y Profesionalización Policial.</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5B703264" w14:textId="5F0F315F"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6,789,543</w:t>
            </w:r>
          </w:p>
        </w:tc>
      </w:tr>
      <w:tr w:rsidR="00A41077" w14:paraId="7CC64802"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07356DE5"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100600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27C59D12"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Dirección General de la Policía Auxiliar del Estado de Colima.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63277BD3" w14:textId="64E5E693"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42,803,713</w:t>
            </w:r>
          </w:p>
        </w:tc>
      </w:tr>
      <w:tr w:rsidR="00A41077" w14:paraId="736B5CDB"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5DC56651"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100601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78F31959"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Dirección General de la Policía Auxiliar del Estado de Colima.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21206910" w14:textId="62CB76CF"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42,803,713</w:t>
            </w:r>
          </w:p>
        </w:tc>
      </w:tr>
      <w:tr w:rsidR="00A41077" w14:paraId="4C18E150"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78D639C9"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lastRenderedPageBreak/>
              <w:t>100700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4D73DA84"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Subsecretaría de Participación Ciudadana y Prevención del Delito.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7092D596" w14:textId="3299C222"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2,628,161</w:t>
            </w:r>
          </w:p>
        </w:tc>
      </w:tr>
      <w:tr w:rsidR="00A41077" w14:paraId="3801C1D7"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7188A3C9"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100701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22003B2D"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Subsecretaría de Participación Ciudadana y Prevención del Delito.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7DEAE936" w14:textId="4FB97183"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2,628,161</w:t>
            </w:r>
          </w:p>
        </w:tc>
      </w:tr>
      <w:tr w:rsidR="00A41077" w14:paraId="02A8F25A"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36762D72"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100800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6EBA4E2B" w14:textId="4897AEA8"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Dirección General de Seguridad Privada</w:t>
            </w:r>
            <w:r w:rsidR="008E444B">
              <w:rPr>
                <w:rFonts w:cs="Arial"/>
                <w:b/>
                <w:bCs/>
                <w:color w:val="000000"/>
                <w:sz w:val="18"/>
                <w:szCs w:val="18"/>
                <w:lang w:val="es-ES" w:eastAsia="en-US"/>
              </w:rPr>
              <w:t>.</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7C55CD11" w14:textId="18447C4B"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548,683</w:t>
            </w:r>
          </w:p>
        </w:tc>
      </w:tr>
      <w:tr w:rsidR="00A41077" w14:paraId="3544D2AA"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6660CD6"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100801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340732AE" w14:textId="76429E01"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Dirección General de Seguridad Privada</w:t>
            </w:r>
            <w:r w:rsidR="008E444B">
              <w:rPr>
                <w:rFonts w:cs="Arial"/>
                <w:color w:val="000000"/>
                <w:sz w:val="18"/>
                <w:szCs w:val="18"/>
                <w:lang w:val="es-ES" w:eastAsia="en-US"/>
              </w:rPr>
              <w:t>.</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13300BE4" w14:textId="16610A96"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548,683</w:t>
            </w:r>
          </w:p>
        </w:tc>
      </w:tr>
      <w:tr w:rsidR="00A41077" w14:paraId="461FE721"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C529D60"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110000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786C28A4"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Consejería Jurídica del Poder Ejecutivo.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68600154" w14:textId="23DFDEF5"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36,294,439</w:t>
            </w:r>
          </w:p>
        </w:tc>
      </w:tr>
      <w:tr w:rsidR="00A41077" w14:paraId="74EBF9EC"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50F2C13E"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110100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0BEC42B7"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Consejería Jurídica del Poder Ejecutivo.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01C81C22" w14:textId="5E7914E6"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9,429,578</w:t>
            </w:r>
          </w:p>
        </w:tc>
      </w:tr>
      <w:tr w:rsidR="00A41077" w14:paraId="307EE36F"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1BDFCE12"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110101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73F15257"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 la Consejería Jurídica del Poder Ejecutivo.</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0BF0D097" w14:textId="6623A8B9"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9,429,578</w:t>
            </w:r>
          </w:p>
        </w:tc>
      </w:tr>
      <w:tr w:rsidR="00A41077" w14:paraId="2360D2AB"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0EE7E41B" w14:textId="77777777" w:rsidR="00A41077" w:rsidRDefault="00A41077" w:rsidP="00A41077">
            <w:pPr>
              <w:spacing w:line="256" w:lineRule="auto"/>
              <w:jc w:val="center"/>
              <w:rPr>
                <w:rFonts w:eastAsia="Times New Roman" w:cs="Arial"/>
                <w:color w:val="000000"/>
                <w:sz w:val="18"/>
                <w:szCs w:val="18"/>
                <w:lang w:val="es-ES" w:eastAsia="en-US"/>
              </w:rPr>
            </w:pPr>
            <w:r>
              <w:rPr>
                <w:rFonts w:cs="Arial"/>
                <w:b/>
                <w:bCs/>
                <w:color w:val="000000"/>
                <w:sz w:val="18"/>
                <w:szCs w:val="18"/>
                <w:lang w:val="es-ES" w:eastAsia="en-US"/>
              </w:rPr>
              <w:t>110200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71269DEC" w14:textId="6CC13EAD" w:rsidR="00A41077" w:rsidRDefault="00A41077" w:rsidP="00A41077">
            <w:pPr>
              <w:spacing w:line="256" w:lineRule="auto"/>
              <w:rPr>
                <w:rFonts w:eastAsia="Times New Roman" w:cs="Arial"/>
                <w:color w:val="000000"/>
                <w:sz w:val="18"/>
                <w:szCs w:val="18"/>
                <w:lang w:val="es-ES" w:eastAsia="en-US"/>
              </w:rPr>
            </w:pPr>
            <w:r>
              <w:rPr>
                <w:rFonts w:cs="Arial"/>
                <w:b/>
                <w:bCs/>
                <w:color w:val="000000"/>
                <w:sz w:val="18"/>
                <w:szCs w:val="18"/>
                <w:lang w:val="es-ES" w:eastAsia="en-US"/>
              </w:rPr>
              <w:t>Dirección General de Control y Gestión Jurídica</w:t>
            </w:r>
            <w:r w:rsidR="008E444B">
              <w:rPr>
                <w:rFonts w:cs="Arial"/>
                <w:b/>
                <w:bCs/>
                <w:color w:val="000000"/>
                <w:sz w:val="18"/>
                <w:szCs w:val="18"/>
                <w:lang w:val="es-ES" w:eastAsia="en-US"/>
              </w:rPr>
              <w:t>.</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718556D3" w14:textId="010CB400" w:rsidR="00A41077" w:rsidRDefault="00A41077" w:rsidP="00A41077">
            <w:pPr>
              <w:spacing w:line="256" w:lineRule="auto"/>
              <w:jc w:val="right"/>
              <w:rPr>
                <w:rFonts w:eastAsia="Times New Roman" w:cs="Arial"/>
                <w:color w:val="000000"/>
                <w:sz w:val="18"/>
                <w:szCs w:val="18"/>
                <w:lang w:val="es-ES" w:eastAsia="en-US"/>
              </w:rPr>
            </w:pPr>
            <w:r>
              <w:rPr>
                <w:rFonts w:cs="Arial"/>
                <w:b/>
                <w:bCs/>
                <w:color w:val="000000"/>
                <w:sz w:val="18"/>
                <w:szCs w:val="18"/>
              </w:rPr>
              <w:t>4,213,018</w:t>
            </w:r>
          </w:p>
        </w:tc>
      </w:tr>
      <w:tr w:rsidR="00A41077" w14:paraId="09FEA084"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547EA0E5"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110201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18EF4291" w14:textId="12A9C095"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Dirección General de Control y Gestión Jurídica</w:t>
            </w:r>
            <w:r w:rsidR="008E444B">
              <w:rPr>
                <w:rFonts w:cs="Arial"/>
                <w:color w:val="000000"/>
                <w:sz w:val="18"/>
                <w:szCs w:val="18"/>
                <w:lang w:val="es-ES" w:eastAsia="en-US"/>
              </w:rPr>
              <w:t>.</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2DD97231" w14:textId="5F6221F7"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4,213,018</w:t>
            </w:r>
          </w:p>
        </w:tc>
      </w:tr>
      <w:tr w:rsidR="00A41077" w14:paraId="0F270AA7"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08608BD9"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110300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7AE1B787"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Instituto de la Defensoría Pública del Estado de Colima.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404AC2FC" w14:textId="52BDE2E3"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22,651,843</w:t>
            </w:r>
          </w:p>
        </w:tc>
      </w:tr>
      <w:tr w:rsidR="00A41077" w14:paraId="38B836CB"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67D0589F"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110301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3EE4AF31"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Despacho del Instituto de la Defensoría Pública del Estado de Colima.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6621C610" w14:textId="59B601D2"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22,651,843</w:t>
            </w:r>
          </w:p>
        </w:tc>
      </w:tr>
      <w:tr w:rsidR="00A41077" w14:paraId="6216680E"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0E1AE191"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120000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384C26A8"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Transferencias, Asignaciones, Subsidios y Otras Ayudas.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5C73D099" w14:textId="3670A996"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3,235,208,463</w:t>
            </w:r>
          </w:p>
        </w:tc>
      </w:tr>
      <w:tr w:rsidR="00A41077" w14:paraId="34B8E5CA"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10A2BF33"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120100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4E8DC066"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Transferencias, Asignaciones, Subsidios y Otras Ayudas.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2F1ADDBA" w14:textId="1B26A03C"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1,531,906,626</w:t>
            </w:r>
          </w:p>
        </w:tc>
      </w:tr>
      <w:tr w:rsidR="00A41077" w14:paraId="10F62678"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34543938"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120101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1E23F416"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Transferencias, Asignaciones, Subsidios y Otras Ayudas.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6457A231" w14:textId="33DDCEE0"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1,531,906,626</w:t>
            </w:r>
          </w:p>
        </w:tc>
      </w:tr>
      <w:tr w:rsidR="00A41077" w14:paraId="634FF9B0"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E2E75F3"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120200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676FD97F"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Ayudas Sociales.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48F7BE65" w14:textId="5F56403D"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446,710,404</w:t>
            </w:r>
          </w:p>
        </w:tc>
      </w:tr>
      <w:tr w:rsidR="00A41077" w14:paraId="2C87D230"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0E2ABC58"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120201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1888228F"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Ayudas Sociales.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39A29055" w14:textId="0AEB4E56"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446,710,404</w:t>
            </w:r>
          </w:p>
        </w:tc>
      </w:tr>
      <w:tr w:rsidR="00A41077" w14:paraId="03F80FB0"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719755F3"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120300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55C9354D"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Pensiones y Jubilaciones.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230EA5B7" w14:textId="0028FB7C"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1,256,591,433</w:t>
            </w:r>
          </w:p>
        </w:tc>
      </w:tr>
      <w:tr w:rsidR="00A41077" w14:paraId="4D1E6C72"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5E7E7ADF"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120301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353CB619"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Pensiones Magisterio y Burocracia.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7522A4EF" w14:textId="3F44670A"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351,624,108</w:t>
            </w:r>
          </w:p>
        </w:tc>
      </w:tr>
      <w:tr w:rsidR="00A41077" w14:paraId="33F6846D"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3332290"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120302</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7BC1BD49"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Jubilaciones Magisterio Y Burocracia.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52878497" w14:textId="3E31BDCE"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904,967,325</w:t>
            </w:r>
          </w:p>
        </w:tc>
      </w:tr>
      <w:tr w:rsidR="00A41077" w14:paraId="14824508"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13430ED6"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130000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0E9CD4ED"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Participaciones y Aportaciones.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31A14FE1" w14:textId="154B6187"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3,334,416,398</w:t>
            </w:r>
          </w:p>
        </w:tc>
      </w:tr>
      <w:tr w:rsidR="00A41077" w14:paraId="2C8AE3BE"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649EF2A9"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130100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40D0246C"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Participaciones y Aportaciones.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0C1213B6" w14:textId="07E93BC8"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3,334,416,398</w:t>
            </w:r>
          </w:p>
        </w:tc>
      </w:tr>
      <w:tr w:rsidR="00A41077" w14:paraId="13762871"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674FB375"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130101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77A47B9F"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Participaciones y Aportaciones.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7C278715" w14:textId="19A722ED"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3,334,416,398</w:t>
            </w:r>
          </w:p>
        </w:tc>
      </w:tr>
      <w:tr w:rsidR="00A41077" w14:paraId="2B85F678"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36FA3B9C"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140000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38CDB13B"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Erogaciones Extraordinarias.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4614EAF1" w14:textId="3BF3AB93"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1,800,000</w:t>
            </w:r>
          </w:p>
        </w:tc>
      </w:tr>
      <w:tr w:rsidR="00A41077" w14:paraId="4C0B55F2"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D4D280B"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140100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24060EA8"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Erogaciones Extraordinarias.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176D02A6" w14:textId="0E09F934"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1,800,000</w:t>
            </w:r>
          </w:p>
        </w:tc>
      </w:tr>
      <w:tr w:rsidR="00A41077" w14:paraId="7155FA32"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69ED153B"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140101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47545CFD"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Erogaciones Extraordinarias.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0A80269D" w14:textId="2FA9E85A"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1,800,000</w:t>
            </w:r>
          </w:p>
        </w:tc>
      </w:tr>
      <w:tr w:rsidR="00A41077" w14:paraId="5B23B135"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0A6C53F7"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150000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78DDF1AF"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Cancelación de Pasivos.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758DC74C" w14:textId="2443A1D5"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157,361,143</w:t>
            </w:r>
          </w:p>
        </w:tc>
      </w:tr>
      <w:tr w:rsidR="00A41077" w14:paraId="7D330984"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03522F2D"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150100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02E87A90"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Cancelación de Pasivos.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2BB2960C" w14:textId="51A439C0"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157,361,143</w:t>
            </w:r>
          </w:p>
        </w:tc>
      </w:tr>
      <w:tr w:rsidR="00A41077" w14:paraId="31D1857A"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A010A3C"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150101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04F26E40"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Cancelación de Pasivos.</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637C478B" w14:textId="24485EA2"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157,361,143</w:t>
            </w:r>
          </w:p>
        </w:tc>
      </w:tr>
      <w:tr w:rsidR="00A41077" w14:paraId="2BB241B0"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DFA54F6"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160000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179A51B0"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Deuda Pública.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163C8B22" w14:textId="07632534" w:rsidR="00A41077" w:rsidRDefault="00A41077" w:rsidP="00A41077">
            <w:pPr>
              <w:spacing w:line="256" w:lineRule="auto"/>
              <w:jc w:val="right"/>
              <w:rPr>
                <w:rFonts w:eastAsia="Times New Roman" w:cs="Arial"/>
                <w:color w:val="000000"/>
                <w:sz w:val="18"/>
                <w:szCs w:val="18"/>
                <w:lang w:val="es-ES" w:eastAsia="en-US"/>
              </w:rPr>
            </w:pPr>
            <w:r>
              <w:rPr>
                <w:rFonts w:cs="Arial"/>
                <w:b/>
                <w:bCs/>
                <w:color w:val="000000"/>
                <w:sz w:val="18"/>
                <w:szCs w:val="18"/>
              </w:rPr>
              <w:t>768,425,052</w:t>
            </w:r>
          </w:p>
        </w:tc>
      </w:tr>
      <w:tr w:rsidR="00A41077" w14:paraId="04DAEEA2"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708EC876"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160100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30AD5AAB"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Amortizaciones de la Deuda.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057C1915" w14:textId="0196DFC9"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327,788,917</w:t>
            </w:r>
          </w:p>
        </w:tc>
      </w:tr>
      <w:tr w:rsidR="00A41077" w14:paraId="34237366"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5E017293"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160101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7895544E"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Amortizaciones de la Deuda.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13D02B8D" w14:textId="1413D5B9"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327,788,917</w:t>
            </w:r>
          </w:p>
        </w:tc>
      </w:tr>
      <w:tr w:rsidR="00A41077" w14:paraId="722F6B5B"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F0EEC37"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160200</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0A88E3DC" w14:textId="77777777" w:rsidR="00A41077" w:rsidRDefault="00A41077" w:rsidP="00A41077">
            <w:pPr>
              <w:spacing w:line="256" w:lineRule="auto"/>
              <w:rPr>
                <w:rFonts w:eastAsia="Times New Roman" w:cs="Arial"/>
                <w:b/>
                <w:bCs/>
                <w:color w:val="000000"/>
                <w:sz w:val="18"/>
                <w:szCs w:val="18"/>
                <w:lang w:val="es-ES" w:eastAsia="en-US"/>
              </w:rPr>
            </w:pPr>
            <w:r>
              <w:rPr>
                <w:rFonts w:cs="Arial"/>
                <w:b/>
                <w:bCs/>
                <w:color w:val="000000"/>
                <w:sz w:val="18"/>
                <w:szCs w:val="18"/>
                <w:lang w:val="es-ES" w:eastAsia="en-US"/>
              </w:rPr>
              <w:t>Intereses de la Deuda Pública.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409A1549" w14:textId="57FADA6C"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440,636,135</w:t>
            </w:r>
          </w:p>
        </w:tc>
      </w:tr>
      <w:tr w:rsidR="00A41077" w14:paraId="0349CC98" w14:textId="77777777" w:rsidTr="00C27413">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20367A19" w14:textId="77777777" w:rsidR="00A41077" w:rsidRDefault="00A41077" w:rsidP="00A41077">
            <w:pPr>
              <w:spacing w:line="256" w:lineRule="auto"/>
              <w:jc w:val="center"/>
              <w:rPr>
                <w:rFonts w:eastAsia="Times New Roman" w:cs="Arial"/>
                <w:color w:val="000000"/>
                <w:sz w:val="18"/>
                <w:szCs w:val="18"/>
                <w:lang w:val="es-ES" w:eastAsia="en-US"/>
              </w:rPr>
            </w:pPr>
            <w:r>
              <w:rPr>
                <w:rFonts w:cs="Arial"/>
                <w:color w:val="000000"/>
                <w:sz w:val="18"/>
                <w:szCs w:val="18"/>
                <w:lang w:val="es-ES" w:eastAsia="en-US"/>
              </w:rPr>
              <w:t>160201</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64F6C442" w14:textId="77777777" w:rsidR="00A41077" w:rsidRDefault="00A41077" w:rsidP="00A41077">
            <w:pPr>
              <w:spacing w:line="256" w:lineRule="auto"/>
              <w:rPr>
                <w:rFonts w:eastAsia="Times New Roman" w:cs="Arial"/>
                <w:color w:val="000000"/>
                <w:sz w:val="18"/>
                <w:szCs w:val="18"/>
                <w:lang w:val="es-ES" w:eastAsia="en-US"/>
              </w:rPr>
            </w:pPr>
            <w:r>
              <w:rPr>
                <w:rFonts w:cs="Arial"/>
                <w:color w:val="000000"/>
                <w:sz w:val="18"/>
                <w:szCs w:val="18"/>
                <w:lang w:val="es-ES" w:eastAsia="en-US"/>
              </w:rPr>
              <w:t>Intereses de la Deuda Pública.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14:paraId="69D3F423" w14:textId="4D9A39C3" w:rsidR="00A41077" w:rsidRDefault="00A41077" w:rsidP="00A41077">
            <w:pPr>
              <w:spacing w:line="256" w:lineRule="auto"/>
              <w:jc w:val="right"/>
              <w:rPr>
                <w:rFonts w:eastAsia="Times New Roman" w:cs="Arial"/>
                <w:color w:val="000000"/>
                <w:sz w:val="18"/>
                <w:szCs w:val="18"/>
                <w:lang w:val="es-ES" w:eastAsia="en-US"/>
              </w:rPr>
            </w:pPr>
            <w:r>
              <w:rPr>
                <w:rFonts w:cs="Arial"/>
                <w:color w:val="000000"/>
                <w:sz w:val="18"/>
                <w:szCs w:val="18"/>
              </w:rPr>
              <w:t>440,636,135</w:t>
            </w:r>
          </w:p>
        </w:tc>
      </w:tr>
      <w:tr w:rsidR="00A41077" w14:paraId="310AE1F7" w14:textId="77777777" w:rsidTr="00BF5974">
        <w:trPr>
          <w:trHeight w:val="20"/>
          <w:jc w:val="right"/>
        </w:trPr>
        <w:tc>
          <w:tcPr>
            <w:tcW w:w="958" w:type="dxa"/>
            <w:tcBorders>
              <w:top w:val="single" w:sz="4" w:space="0" w:color="auto"/>
              <w:left w:val="single" w:sz="4" w:space="0" w:color="auto"/>
              <w:bottom w:val="single" w:sz="4" w:space="0" w:color="auto"/>
              <w:right w:val="single" w:sz="4" w:space="0" w:color="auto"/>
            </w:tcBorders>
            <w:noWrap/>
            <w:vAlign w:val="center"/>
            <w:hideMark/>
          </w:tcPr>
          <w:p w14:paraId="413A8995" w14:textId="77777777" w:rsidR="00A41077" w:rsidRDefault="00A41077" w:rsidP="00A41077">
            <w:pPr>
              <w:spacing w:line="256" w:lineRule="auto"/>
              <w:jc w:val="left"/>
              <w:rPr>
                <w:rFonts w:eastAsia="Times New Roman" w:cs="Arial"/>
                <w:b/>
                <w:bCs/>
                <w:color w:val="000000"/>
                <w:sz w:val="18"/>
                <w:szCs w:val="18"/>
                <w:lang w:val="es-ES" w:eastAsia="en-US"/>
              </w:rPr>
            </w:pPr>
            <w:r>
              <w:rPr>
                <w:rFonts w:cs="Arial"/>
                <w:b/>
                <w:bCs/>
                <w:color w:val="000000"/>
                <w:sz w:val="18"/>
                <w:szCs w:val="18"/>
                <w:lang w:val="es-ES" w:eastAsia="en-US"/>
              </w:rPr>
              <w:t> </w:t>
            </w:r>
          </w:p>
        </w:tc>
        <w:tc>
          <w:tcPr>
            <w:tcW w:w="6555" w:type="dxa"/>
            <w:tcBorders>
              <w:top w:val="single" w:sz="4" w:space="0" w:color="auto"/>
              <w:left w:val="single" w:sz="4" w:space="0" w:color="auto"/>
              <w:bottom w:val="single" w:sz="4" w:space="0" w:color="auto"/>
              <w:right w:val="single" w:sz="4" w:space="0" w:color="auto"/>
            </w:tcBorders>
            <w:noWrap/>
            <w:vAlign w:val="center"/>
            <w:hideMark/>
          </w:tcPr>
          <w:p w14:paraId="7DBCF2F8" w14:textId="77777777" w:rsidR="00A41077" w:rsidRDefault="00A41077" w:rsidP="00A41077">
            <w:pPr>
              <w:spacing w:line="256" w:lineRule="auto"/>
              <w:jc w:val="center"/>
              <w:rPr>
                <w:rFonts w:eastAsia="Times New Roman" w:cs="Arial"/>
                <w:b/>
                <w:bCs/>
                <w:color w:val="000000"/>
                <w:sz w:val="18"/>
                <w:szCs w:val="18"/>
                <w:lang w:val="es-ES" w:eastAsia="en-US"/>
              </w:rPr>
            </w:pPr>
            <w:r>
              <w:rPr>
                <w:rFonts w:cs="Arial"/>
                <w:b/>
                <w:bCs/>
                <w:color w:val="000000"/>
                <w:sz w:val="18"/>
                <w:szCs w:val="18"/>
                <w:lang w:val="es-ES" w:eastAsia="en-US"/>
              </w:rPr>
              <w:t>Total</w:t>
            </w:r>
          </w:p>
        </w:tc>
        <w:tc>
          <w:tcPr>
            <w:tcW w:w="1418" w:type="dxa"/>
            <w:gridSpan w:val="2"/>
            <w:tcBorders>
              <w:top w:val="single" w:sz="4" w:space="0" w:color="auto"/>
              <w:left w:val="single" w:sz="4" w:space="0" w:color="auto"/>
              <w:bottom w:val="single" w:sz="4" w:space="0" w:color="auto"/>
              <w:right w:val="single" w:sz="4" w:space="0" w:color="auto"/>
            </w:tcBorders>
            <w:noWrap/>
            <w:vAlign w:val="center"/>
            <w:hideMark/>
          </w:tcPr>
          <w:p w14:paraId="54C1FCC5" w14:textId="09E548C6" w:rsidR="00A41077" w:rsidRDefault="00A41077" w:rsidP="00A41077">
            <w:pPr>
              <w:spacing w:line="256" w:lineRule="auto"/>
              <w:jc w:val="right"/>
              <w:rPr>
                <w:rFonts w:eastAsia="Times New Roman" w:cs="Arial"/>
                <w:b/>
                <w:bCs/>
                <w:color w:val="000000"/>
                <w:sz w:val="18"/>
                <w:szCs w:val="18"/>
                <w:lang w:val="es-ES" w:eastAsia="en-US"/>
              </w:rPr>
            </w:pPr>
            <w:r>
              <w:rPr>
                <w:rFonts w:cs="Arial"/>
                <w:b/>
                <w:bCs/>
                <w:color w:val="000000"/>
                <w:sz w:val="18"/>
                <w:szCs w:val="18"/>
              </w:rPr>
              <w:t>23,004,130,279</w:t>
            </w:r>
          </w:p>
        </w:tc>
      </w:tr>
    </w:tbl>
    <w:p w14:paraId="098B96C0" w14:textId="468909A4" w:rsidR="00BF5974" w:rsidRDefault="00BF5974" w:rsidP="00BF5974"/>
    <w:p w14:paraId="1243BB69" w14:textId="77777777" w:rsidR="00657B7A" w:rsidRDefault="00657B7A" w:rsidP="00BF5974"/>
    <w:p w14:paraId="4B230B4E" w14:textId="77777777" w:rsidR="00BF5974" w:rsidRDefault="00BF5974" w:rsidP="00BF5974">
      <w:pPr>
        <w:ind w:left="567" w:hanging="567"/>
        <w:rPr>
          <w:rFonts w:eastAsia="Times New Roman" w:cs="Arial"/>
        </w:rPr>
      </w:pPr>
      <w:r>
        <w:rPr>
          <w:rFonts w:eastAsia="Times New Roman" w:cs="Arial"/>
        </w:rPr>
        <w:t>III.</w:t>
      </w:r>
      <w:r>
        <w:rPr>
          <w:rFonts w:eastAsia="Times New Roman" w:cs="Arial"/>
        </w:rPr>
        <w:tab/>
        <w:t>Las asignaciones previstas con recursos de libre disposición para la</w:t>
      </w:r>
      <w:r>
        <w:rPr>
          <w:rFonts w:eastAsia="Times New Roman" w:cs="Arial"/>
          <w:b/>
        </w:rPr>
        <w:t xml:space="preserve"> </w:t>
      </w:r>
      <w:r>
        <w:rPr>
          <w:rFonts w:eastAsia="Times New Roman" w:cs="Arial"/>
          <w:bCs/>
        </w:rPr>
        <w:t>Administración Pública Paraestatal,</w:t>
      </w:r>
      <w:r>
        <w:rPr>
          <w:rFonts w:eastAsia="Times New Roman" w:cs="Arial"/>
        </w:rPr>
        <w:t xml:space="preserve"> se distribuyen de la siguiente manera:</w:t>
      </w:r>
    </w:p>
    <w:p w14:paraId="1A759B16" w14:textId="77777777" w:rsidR="00BF5974" w:rsidRDefault="00BF5974" w:rsidP="00BF5974">
      <w:pPr>
        <w:ind w:left="567" w:hanging="567"/>
        <w:rPr>
          <w:rFonts w:eastAsia="Times New Roman" w:cs="Arial"/>
        </w:rPr>
      </w:pPr>
    </w:p>
    <w:tbl>
      <w:tblPr>
        <w:tblW w:w="8705" w:type="dxa"/>
        <w:jc w:val="center"/>
        <w:tblCellMar>
          <w:left w:w="70" w:type="dxa"/>
          <w:right w:w="70" w:type="dxa"/>
        </w:tblCellMar>
        <w:tblLook w:val="04A0" w:firstRow="1" w:lastRow="0" w:firstColumn="1" w:lastColumn="0" w:noHBand="0" w:noVBand="1"/>
      </w:tblPr>
      <w:tblGrid>
        <w:gridCol w:w="1041"/>
        <w:gridCol w:w="6244"/>
        <w:gridCol w:w="1420"/>
      </w:tblGrid>
      <w:tr w:rsidR="00BF5974" w14:paraId="6DF9F1F0" w14:textId="77777777" w:rsidTr="00BF5974">
        <w:trPr>
          <w:trHeight w:val="20"/>
          <w:tblHeader/>
          <w:jc w:val="center"/>
        </w:trPr>
        <w:tc>
          <w:tcPr>
            <w:tcW w:w="8705" w:type="dxa"/>
            <w:gridSpan w:val="3"/>
            <w:tcBorders>
              <w:top w:val="nil"/>
              <w:left w:val="nil"/>
              <w:bottom w:val="single" w:sz="4" w:space="0" w:color="auto"/>
              <w:right w:val="nil"/>
            </w:tcBorders>
            <w:vAlign w:val="center"/>
            <w:hideMark/>
          </w:tcPr>
          <w:p w14:paraId="2CCB561D" w14:textId="77777777" w:rsidR="00BF5974" w:rsidRPr="00105286" w:rsidRDefault="00BF5974">
            <w:pPr>
              <w:spacing w:line="256" w:lineRule="auto"/>
              <w:jc w:val="center"/>
              <w:rPr>
                <w:rFonts w:eastAsia="Times New Roman" w:cs="Arial"/>
                <w:b/>
                <w:strike/>
                <w:sz w:val="20"/>
                <w:szCs w:val="20"/>
                <w:lang w:val="es-ES" w:eastAsia="en-US"/>
              </w:rPr>
            </w:pPr>
            <w:r w:rsidRPr="00105286">
              <w:rPr>
                <w:rFonts w:eastAsia="Times New Roman" w:cs="Arial"/>
                <w:b/>
                <w:sz w:val="20"/>
                <w:szCs w:val="20"/>
                <w:lang w:val="es-ES" w:eastAsia="en-US"/>
              </w:rPr>
              <w:lastRenderedPageBreak/>
              <w:t>Tabla 22. Transferencias a la Administración Pública Paraestatal</w:t>
            </w:r>
          </w:p>
          <w:p w14:paraId="0FB35614" w14:textId="77777777" w:rsidR="00BF5974" w:rsidRPr="00105286" w:rsidRDefault="00BF5974">
            <w:pPr>
              <w:spacing w:line="256" w:lineRule="auto"/>
              <w:jc w:val="center"/>
              <w:rPr>
                <w:rFonts w:eastAsia="Times New Roman" w:cs="Arial"/>
                <w:b/>
                <w:bCs/>
                <w:sz w:val="20"/>
                <w:szCs w:val="20"/>
                <w:lang w:val="es-ES" w:eastAsia="en-US"/>
              </w:rPr>
            </w:pPr>
            <w:r w:rsidRPr="00105286">
              <w:rPr>
                <w:rFonts w:eastAsia="Times New Roman" w:cs="Arial"/>
                <w:b/>
                <w:sz w:val="20"/>
                <w:szCs w:val="20"/>
                <w:lang w:val="es-ES" w:eastAsia="en-US"/>
              </w:rPr>
              <w:t>(Aportación Estatal)</w:t>
            </w:r>
          </w:p>
        </w:tc>
      </w:tr>
      <w:tr w:rsidR="00BF5974" w14:paraId="069895A7" w14:textId="77777777" w:rsidTr="00BF5974">
        <w:trPr>
          <w:trHeight w:val="20"/>
          <w:tblHeader/>
          <w:jc w:val="center"/>
        </w:trPr>
        <w:tc>
          <w:tcPr>
            <w:tcW w:w="1041" w:type="dxa"/>
            <w:tcBorders>
              <w:top w:val="single" w:sz="4" w:space="0" w:color="auto"/>
              <w:left w:val="single" w:sz="4" w:space="0" w:color="auto"/>
              <w:bottom w:val="single" w:sz="4" w:space="0" w:color="auto"/>
              <w:right w:val="single" w:sz="4" w:space="0" w:color="auto"/>
            </w:tcBorders>
            <w:vAlign w:val="center"/>
            <w:hideMark/>
          </w:tcPr>
          <w:p w14:paraId="28C378A1" w14:textId="77777777" w:rsidR="00BF5974" w:rsidRPr="00105286" w:rsidRDefault="00BF5974">
            <w:pPr>
              <w:spacing w:line="256" w:lineRule="auto"/>
              <w:jc w:val="center"/>
              <w:rPr>
                <w:rFonts w:eastAsia="Times New Roman" w:cs="Arial"/>
                <w:b/>
                <w:bCs/>
                <w:sz w:val="18"/>
                <w:szCs w:val="18"/>
                <w:lang w:val="es-ES" w:eastAsia="en-US"/>
              </w:rPr>
            </w:pPr>
            <w:r w:rsidRPr="00105286">
              <w:rPr>
                <w:rFonts w:eastAsia="Times New Roman" w:cs="Arial"/>
                <w:b/>
                <w:bCs/>
                <w:sz w:val="18"/>
                <w:szCs w:val="18"/>
                <w:lang w:val="es-ES" w:eastAsia="en-US"/>
              </w:rPr>
              <w:t>Clave</w:t>
            </w:r>
          </w:p>
        </w:tc>
        <w:tc>
          <w:tcPr>
            <w:tcW w:w="6244" w:type="dxa"/>
            <w:tcBorders>
              <w:top w:val="single" w:sz="4" w:space="0" w:color="auto"/>
              <w:left w:val="nil"/>
              <w:bottom w:val="single" w:sz="4" w:space="0" w:color="auto"/>
              <w:right w:val="single" w:sz="4" w:space="0" w:color="auto"/>
            </w:tcBorders>
            <w:noWrap/>
            <w:vAlign w:val="center"/>
            <w:hideMark/>
          </w:tcPr>
          <w:p w14:paraId="6DF77674" w14:textId="77777777" w:rsidR="00BF5974" w:rsidRPr="00105286" w:rsidRDefault="00BF5974">
            <w:pPr>
              <w:spacing w:line="256" w:lineRule="auto"/>
              <w:jc w:val="center"/>
              <w:rPr>
                <w:rFonts w:eastAsia="Times New Roman" w:cs="Arial"/>
                <w:b/>
                <w:bCs/>
                <w:sz w:val="18"/>
                <w:szCs w:val="18"/>
                <w:lang w:val="es-ES" w:eastAsia="en-US"/>
              </w:rPr>
            </w:pPr>
            <w:r w:rsidRPr="00105286">
              <w:rPr>
                <w:rFonts w:eastAsia="Times New Roman" w:cs="Arial"/>
                <w:b/>
                <w:bCs/>
                <w:sz w:val="18"/>
                <w:szCs w:val="18"/>
                <w:lang w:val="es-ES" w:eastAsia="en-US"/>
              </w:rPr>
              <w:t>Concepto</w:t>
            </w:r>
          </w:p>
        </w:tc>
        <w:tc>
          <w:tcPr>
            <w:tcW w:w="1420" w:type="dxa"/>
            <w:tcBorders>
              <w:top w:val="single" w:sz="4" w:space="0" w:color="auto"/>
              <w:left w:val="nil"/>
              <w:bottom w:val="single" w:sz="4" w:space="0" w:color="auto"/>
              <w:right w:val="single" w:sz="4" w:space="0" w:color="auto"/>
            </w:tcBorders>
            <w:vAlign w:val="center"/>
            <w:hideMark/>
          </w:tcPr>
          <w:p w14:paraId="4988224C" w14:textId="77777777" w:rsidR="00BF5974" w:rsidRPr="00105286" w:rsidRDefault="00BF5974">
            <w:pPr>
              <w:spacing w:line="256" w:lineRule="auto"/>
              <w:jc w:val="center"/>
              <w:rPr>
                <w:rFonts w:eastAsia="Times New Roman" w:cs="Arial"/>
                <w:b/>
                <w:bCs/>
                <w:sz w:val="18"/>
                <w:szCs w:val="18"/>
                <w:lang w:val="es-ES" w:eastAsia="en-US"/>
              </w:rPr>
            </w:pPr>
            <w:r w:rsidRPr="00105286">
              <w:rPr>
                <w:rFonts w:eastAsia="Times New Roman" w:cs="Arial"/>
                <w:b/>
                <w:bCs/>
                <w:sz w:val="18"/>
                <w:szCs w:val="18"/>
                <w:lang w:val="es-ES" w:eastAsia="en-US"/>
              </w:rPr>
              <w:t>Asignación Presupuestal</w:t>
            </w:r>
          </w:p>
        </w:tc>
      </w:tr>
      <w:tr w:rsidR="00BF5974" w14:paraId="38A307BB"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26B1EB8E" w14:textId="77777777" w:rsidR="00BF5974" w:rsidRPr="00105286" w:rsidRDefault="00BF5974">
            <w:pPr>
              <w:spacing w:line="256" w:lineRule="auto"/>
              <w:rPr>
                <w:rFonts w:eastAsia="Times New Roman" w:cs="Arial"/>
                <w:sz w:val="18"/>
                <w:szCs w:val="18"/>
                <w:lang w:val="es-ES" w:eastAsia="en-US"/>
              </w:rPr>
            </w:pPr>
            <w:r w:rsidRPr="00105286">
              <w:rPr>
                <w:rFonts w:eastAsia="Times New Roman" w:cs="Arial"/>
                <w:sz w:val="18"/>
                <w:szCs w:val="18"/>
                <w:lang w:val="es-ES" w:eastAsia="en-US"/>
              </w:rPr>
              <w:t> </w:t>
            </w:r>
          </w:p>
        </w:tc>
        <w:tc>
          <w:tcPr>
            <w:tcW w:w="6244" w:type="dxa"/>
            <w:tcBorders>
              <w:top w:val="nil"/>
              <w:left w:val="nil"/>
              <w:bottom w:val="single" w:sz="4" w:space="0" w:color="auto"/>
              <w:right w:val="single" w:sz="4" w:space="0" w:color="auto"/>
            </w:tcBorders>
            <w:noWrap/>
            <w:vAlign w:val="center"/>
            <w:hideMark/>
          </w:tcPr>
          <w:p w14:paraId="12A66FCB" w14:textId="77777777" w:rsidR="00BF5974" w:rsidRPr="00105286" w:rsidRDefault="00BF5974">
            <w:pPr>
              <w:spacing w:line="256" w:lineRule="auto"/>
              <w:jc w:val="left"/>
              <w:rPr>
                <w:rFonts w:eastAsia="Times New Roman" w:cs="Arial"/>
                <w:b/>
                <w:bCs/>
                <w:sz w:val="18"/>
                <w:szCs w:val="18"/>
                <w:lang w:val="es-ES" w:eastAsia="en-US"/>
              </w:rPr>
            </w:pPr>
            <w:r w:rsidRPr="00105286">
              <w:rPr>
                <w:rFonts w:eastAsia="Times New Roman" w:cs="Arial"/>
                <w:b/>
                <w:bCs/>
                <w:sz w:val="18"/>
                <w:szCs w:val="18"/>
                <w:lang w:val="es-ES" w:eastAsia="en-US"/>
              </w:rPr>
              <w:t>Secretaría General de Gobierno.</w:t>
            </w:r>
          </w:p>
        </w:tc>
        <w:tc>
          <w:tcPr>
            <w:tcW w:w="1420" w:type="dxa"/>
            <w:tcBorders>
              <w:top w:val="nil"/>
              <w:left w:val="nil"/>
              <w:bottom w:val="single" w:sz="4" w:space="0" w:color="auto"/>
              <w:right w:val="single" w:sz="4" w:space="0" w:color="auto"/>
            </w:tcBorders>
            <w:noWrap/>
            <w:vAlign w:val="bottom"/>
          </w:tcPr>
          <w:p w14:paraId="161B83FC" w14:textId="77777777" w:rsidR="00BF5974" w:rsidRPr="00105286" w:rsidRDefault="00BF5974">
            <w:pPr>
              <w:spacing w:line="256" w:lineRule="auto"/>
              <w:jc w:val="right"/>
              <w:rPr>
                <w:rFonts w:eastAsia="Times New Roman" w:cs="Arial"/>
                <w:sz w:val="18"/>
                <w:szCs w:val="18"/>
                <w:lang w:val="es-ES" w:eastAsia="en-US"/>
              </w:rPr>
            </w:pPr>
          </w:p>
        </w:tc>
      </w:tr>
      <w:tr w:rsidR="00BF5974" w14:paraId="1F10809A"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616C58B7"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040105001</w:t>
            </w:r>
          </w:p>
        </w:tc>
        <w:tc>
          <w:tcPr>
            <w:tcW w:w="6244" w:type="dxa"/>
            <w:tcBorders>
              <w:top w:val="nil"/>
              <w:left w:val="nil"/>
              <w:bottom w:val="single" w:sz="4" w:space="0" w:color="auto"/>
              <w:right w:val="single" w:sz="4" w:space="0" w:color="auto"/>
            </w:tcBorders>
            <w:noWrap/>
            <w:vAlign w:val="center"/>
            <w:hideMark/>
          </w:tcPr>
          <w:p w14:paraId="14943EC6"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Comisión de Búsqueda de Personas del Estado de Colima.</w:t>
            </w:r>
          </w:p>
        </w:tc>
        <w:tc>
          <w:tcPr>
            <w:tcW w:w="1420" w:type="dxa"/>
            <w:tcBorders>
              <w:top w:val="nil"/>
              <w:left w:val="nil"/>
              <w:bottom w:val="single" w:sz="4" w:space="0" w:color="auto"/>
              <w:right w:val="single" w:sz="4" w:space="0" w:color="auto"/>
            </w:tcBorders>
            <w:noWrap/>
            <w:hideMark/>
          </w:tcPr>
          <w:p w14:paraId="1638E0B0"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2,000,000 </w:t>
            </w:r>
          </w:p>
        </w:tc>
      </w:tr>
      <w:tr w:rsidR="00BF5974" w14:paraId="3C063F2E"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5722646B"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040105011</w:t>
            </w:r>
          </w:p>
        </w:tc>
        <w:tc>
          <w:tcPr>
            <w:tcW w:w="6244" w:type="dxa"/>
            <w:tcBorders>
              <w:top w:val="nil"/>
              <w:left w:val="nil"/>
              <w:bottom w:val="single" w:sz="4" w:space="0" w:color="auto"/>
              <w:right w:val="single" w:sz="4" w:space="0" w:color="auto"/>
            </w:tcBorders>
            <w:noWrap/>
            <w:vAlign w:val="center"/>
            <w:hideMark/>
          </w:tcPr>
          <w:p w14:paraId="5D7339DB"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Centro Estatal para la Prevención y Atención a la Violencia Familiar.</w:t>
            </w:r>
          </w:p>
        </w:tc>
        <w:tc>
          <w:tcPr>
            <w:tcW w:w="1420" w:type="dxa"/>
            <w:tcBorders>
              <w:top w:val="nil"/>
              <w:left w:val="nil"/>
              <w:bottom w:val="single" w:sz="4" w:space="0" w:color="auto"/>
              <w:right w:val="single" w:sz="4" w:space="0" w:color="auto"/>
            </w:tcBorders>
            <w:noWrap/>
            <w:hideMark/>
          </w:tcPr>
          <w:p w14:paraId="287F705C"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5,435,868 </w:t>
            </w:r>
          </w:p>
        </w:tc>
      </w:tr>
      <w:tr w:rsidR="00BF5974" w14:paraId="0E7CC682"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56B2A5AC"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040105020</w:t>
            </w:r>
          </w:p>
        </w:tc>
        <w:tc>
          <w:tcPr>
            <w:tcW w:w="6244" w:type="dxa"/>
            <w:tcBorders>
              <w:top w:val="nil"/>
              <w:left w:val="nil"/>
              <w:bottom w:val="single" w:sz="4" w:space="0" w:color="auto"/>
              <w:right w:val="single" w:sz="4" w:space="0" w:color="auto"/>
            </w:tcBorders>
            <w:noWrap/>
            <w:vAlign w:val="center"/>
            <w:hideMark/>
          </w:tcPr>
          <w:p w14:paraId="1E8A88C9"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Instituto para el Registro del Territorio del Estado de Colima.</w:t>
            </w:r>
          </w:p>
        </w:tc>
        <w:tc>
          <w:tcPr>
            <w:tcW w:w="1420" w:type="dxa"/>
            <w:tcBorders>
              <w:top w:val="nil"/>
              <w:left w:val="nil"/>
              <w:bottom w:val="single" w:sz="4" w:space="0" w:color="auto"/>
              <w:right w:val="single" w:sz="4" w:space="0" w:color="auto"/>
            </w:tcBorders>
            <w:noWrap/>
            <w:hideMark/>
          </w:tcPr>
          <w:p w14:paraId="43AE3D91"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43,635,950 </w:t>
            </w:r>
          </w:p>
        </w:tc>
      </w:tr>
      <w:tr w:rsidR="00BF5974" w14:paraId="125017BF"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63D8331B"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040105040</w:t>
            </w:r>
          </w:p>
        </w:tc>
        <w:tc>
          <w:tcPr>
            <w:tcW w:w="6244" w:type="dxa"/>
            <w:tcBorders>
              <w:top w:val="nil"/>
              <w:left w:val="nil"/>
              <w:bottom w:val="single" w:sz="4" w:space="0" w:color="auto"/>
              <w:right w:val="single" w:sz="4" w:space="0" w:color="auto"/>
            </w:tcBorders>
            <w:noWrap/>
            <w:vAlign w:val="center"/>
            <w:hideMark/>
          </w:tcPr>
          <w:p w14:paraId="782D7064"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Procuraduría de Protección de Niñas, Niños y Adolescentes.</w:t>
            </w:r>
          </w:p>
        </w:tc>
        <w:tc>
          <w:tcPr>
            <w:tcW w:w="1420" w:type="dxa"/>
            <w:tcBorders>
              <w:top w:val="nil"/>
              <w:left w:val="nil"/>
              <w:bottom w:val="single" w:sz="4" w:space="0" w:color="auto"/>
              <w:right w:val="single" w:sz="4" w:space="0" w:color="auto"/>
            </w:tcBorders>
            <w:noWrap/>
            <w:hideMark/>
          </w:tcPr>
          <w:p w14:paraId="023DA784"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13,676,265 </w:t>
            </w:r>
          </w:p>
        </w:tc>
      </w:tr>
      <w:tr w:rsidR="00BF5974" w14:paraId="5346089D"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25ABB4FC"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040408001</w:t>
            </w:r>
          </w:p>
        </w:tc>
        <w:tc>
          <w:tcPr>
            <w:tcW w:w="6244" w:type="dxa"/>
            <w:tcBorders>
              <w:top w:val="nil"/>
              <w:left w:val="nil"/>
              <w:bottom w:val="single" w:sz="4" w:space="0" w:color="auto"/>
              <w:right w:val="single" w:sz="4" w:space="0" w:color="auto"/>
            </w:tcBorders>
            <w:noWrap/>
            <w:vAlign w:val="center"/>
            <w:hideMark/>
          </w:tcPr>
          <w:p w14:paraId="474AF3AD"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Unidad Estatal de Protección Civil.</w:t>
            </w:r>
          </w:p>
        </w:tc>
        <w:tc>
          <w:tcPr>
            <w:tcW w:w="1420" w:type="dxa"/>
            <w:tcBorders>
              <w:top w:val="nil"/>
              <w:left w:val="nil"/>
              <w:bottom w:val="single" w:sz="4" w:space="0" w:color="auto"/>
              <w:right w:val="single" w:sz="4" w:space="0" w:color="auto"/>
            </w:tcBorders>
            <w:noWrap/>
            <w:hideMark/>
          </w:tcPr>
          <w:p w14:paraId="2172FC4E"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25,343,686 </w:t>
            </w:r>
          </w:p>
        </w:tc>
      </w:tr>
      <w:tr w:rsidR="00BF5974" w14:paraId="33E03EB9"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40C5456E" w14:textId="77777777" w:rsidR="00BF5974" w:rsidRPr="00105286" w:rsidRDefault="00BF5974">
            <w:pPr>
              <w:spacing w:line="256" w:lineRule="auto"/>
              <w:rPr>
                <w:rFonts w:eastAsia="Times New Roman" w:cs="Arial"/>
                <w:sz w:val="18"/>
                <w:szCs w:val="18"/>
                <w:lang w:val="es-ES" w:eastAsia="en-US"/>
              </w:rPr>
            </w:pPr>
            <w:r w:rsidRPr="00105286">
              <w:rPr>
                <w:rFonts w:eastAsia="Times New Roman" w:cs="Arial"/>
                <w:sz w:val="18"/>
                <w:szCs w:val="18"/>
                <w:lang w:val="es-ES" w:eastAsia="en-US"/>
              </w:rPr>
              <w:t> </w:t>
            </w:r>
          </w:p>
        </w:tc>
        <w:tc>
          <w:tcPr>
            <w:tcW w:w="6244" w:type="dxa"/>
            <w:tcBorders>
              <w:top w:val="nil"/>
              <w:left w:val="nil"/>
              <w:bottom w:val="single" w:sz="4" w:space="0" w:color="auto"/>
              <w:right w:val="single" w:sz="4" w:space="0" w:color="auto"/>
            </w:tcBorders>
            <w:noWrap/>
            <w:vAlign w:val="center"/>
            <w:hideMark/>
          </w:tcPr>
          <w:p w14:paraId="6B0550FE" w14:textId="77777777" w:rsidR="00BF5974" w:rsidRPr="00105286" w:rsidRDefault="00BF5974">
            <w:pPr>
              <w:spacing w:line="256" w:lineRule="auto"/>
              <w:jc w:val="left"/>
              <w:rPr>
                <w:rFonts w:eastAsia="Times New Roman" w:cs="Arial"/>
                <w:b/>
                <w:bCs/>
                <w:sz w:val="18"/>
                <w:szCs w:val="18"/>
                <w:lang w:val="es-ES" w:eastAsia="en-US"/>
              </w:rPr>
            </w:pPr>
            <w:r w:rsidRPr="00105286">
              <w:rPr>
                <w:rFonts w:eastAsia="Times New Roman" w:cs="Arial"/>
                <w:b/>
                <w:bCs/>
                <w:sz w:val="18"/>
                <w:szCs w:val="18"/>
                <w:lang w:val="es-ES" w:eastAsia="en-US"/>
              </w:rPr>
              <w:t>Secretaría de Planeación, Finanzas y Administración.</w:t>
            </w:r>
          </w:p>
        </w:tc>
        <w:tc>
          <w:tcPr>
            <w:tcW w:w="1420" w:type="dxa"/>
            <w:tcBorders>
              <w:top w:val="nil"/>
              <w:left w:val="nil"/>
              <w:bottom w:val="single" w:sz="4" w:space="0" w:color="auto"/>
              <w:right w:val="single" w:sz="4" w:space="0" w:color="auto"/>
            </w:tcBorders>
            <w:noWrap/>
            <w:hideMark/>
          </w:tcPr>
          <w:p w14:paraId="46011DC7"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w:t>
            </w:r>
          </w:p>
        </w:tc>
      </w:tr>
      <w:tr w:rsidR="00BF5974" w14:paraId="656C0CAF"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3CD31A78"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040101005</w:t>
            </w:r>
          </w:p>
        </w:tc>
        <w:tc>
          <w:tcPr>
            <w:tcW w:w="6244" w:type="dxa"/>
            <w:tcBorders>
              <w:top w:val="nil"/>
              <w:left w:val="nil"/>
              <w:bottom w:val="single" w:sz="4" w:space="0" w:color="auto"/>
              <w:right w:val="single" w:sz="4" w:space="0" w:color="auto"/>
            </w:tcBorders>
            <w:noWrap/>
            <w:vAlign w:val="center"/>
            <w:hideMark/>
          </w:tcPr>
          <w:p w14:paraId="09AB5094"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Instituto Técnico Hacendario del Estado de Colima.</w:t>
            </w:r>
          </w:p>
        </w:tc>
        <w:tc>
          <w:tcPr>
            <w:tcW w:w="1420" w:type="dxa"/>
            <w:tcBorders>
              <w:top w:val="nil"/>
              <w:left w:val="nil"/>
              <w:bottom w:val="single" w:sz="4" w:space="0" w:color="auto"/>
              <w:right w:val="single" w:sz="4" w:space="0" w:color="auto"/>
            </w:tcBorders>
            <w:noWrap/>
            <w:hideMark/>
          </w:tcPr>
          <w:p w14:paraId="0C3EEF39"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1,068,432 </w:t>
            </w:r>
          </w:p>
        </w:tc>
      </w:tr>
      <w:tr w:rsidR="00BF5974" w14:paraId="0028A4CE"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7D2F9181"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040105004</w:t>
            </w:r>
          </w:p>
        </w:tc>
        <w:tc>
          <w:tcPr>
            <w:tcW w:w="6244" w:type="dxa"/>
            <w:tcBorders>
              <w:top w:val="nil"/>
              <w:left w:val="nil"/>
              <w:bottom w:val="single" w:sz="4" w:space="0" w:color="auto"/>
              <w:right w:val="single" w:sz="4" w:space="0" w:color="auto"/>
            </w:tcBorders>
            <w:noWrap/>
            <w:vAlign w:val="center"/>
            <w:hideMark/>
          </w:tcPr>
          <w:p w14:paraId="24EDEC57"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Consejo de Participación Social del Estado de Colima.</w:t>
            </w:r>
          </w:p>
        </w:tc>
        <w:tc>
          <w:tcPr>
            <w:tcW w:w="1420" w:type="dxa"/>
            <w:tcBorders>
              <w:top w:val="nil"/>
              <w:left w:val="nil"/>
              <w:bottom w:val="single" w:sz="4" w:space="0" w:color="auto"/>
              <w:right w:val="single" w:sz="4" w:space="0" w:color="auto"/>
            </w:tcBorders>
            <w:noWrap/>
            <w:hideMark/>
          </w:tcPr>
          <w:p w14:paraId="56907D6D"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500,000 </w:t>
            </w:r>
          </w:p>
        </w:tc>
      </w:tr>
      <w:tr w:rsidR="00BF5974" w14:paraId="24A08944"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32471D06"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040105018</w:t>
            </w:r>
          </w:p>
        </w:tc>
        <w:tc>
          <w:tcPr>
            <w:tcW w:w="6244" w:type="dxa"/>
            <w:tcBorders>
              <w:top w:val="nil"/>
              <w:left w:val="nil"/>
              <w:bottom w:val="single" w:sz="4" w:space="0" w:color="auto"/>
              <w:right w:val="single" w:sz="4" w:space="0" w:color="auto"/>
            </w:tcBorders>
            <w:noWrap/>
            <w:vAlign w:val="center"/>
            <w:hideMark/>
          </w:tcPr>
          <w:p w14:paraId="6D312CC5"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Instituto Colimense para la Sociedad de la Información y el Conocimiento.</w:t>
            </w:r>
          </w:p>
        </w:tc>
        <w:tc>
          <w:tcPr>
            <w:tcW w:w="1420" w:type="dxa"/>
            <w:tcBorders>
              <w:top w:val="nil"/>
              <w:left w:val="nil"/>
              <w:bottom w:val="single" w:sz="4" w:space="0" w:color="auto"/>
              <w:right w:val="single" w:sz="4" w:space="0" w:color="auto"/>
            </w:tcBorders>
            <w:noWrap/>
            <w:hideMark/>
          </w:tcPr>
          <w:p w14:paraId="128F75A2"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7,280,218 </w:t>
            </w:r>
          </w:p>
        </w:tc>
      </w:tr>
      <w:tr w:rsidR="00BF5974" w14:paraId="5E5444E8"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3DBEBF22"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040105038</w:t>
            </w:r>
          </w:p>
        </w:tc>
        <w:tc>
          <w:tcPr>
            <w:tcW w:w="6244" w:type="dxa"/>
            <w:tcBorders>
              <w:top w:val="nil"/>
              <w:left w:val="nil"/>
              <w:bottom w:val="single" w:sz="4" w:space="0" w:color="auto"/>
              <w:right w:val="single" w:sz="4" w:space="0" w:color="auto"/>
            </w:tcBorders>
            <w:noWrap/>
            <w:vAlign w:val="center"/>
            <w:hideMark/>
          </w:tcPr>
          <w:p w14:paraId="59B7557D"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6"/>
                <w:szCs w:val="18"/>
                <w:lang w:val="es-ES" w:eastAsia="en-US"/>
              </w:rPr>
              <w:t>Órgano de Gestión y Control del Patrimonio Inmobiliario del Estado de Colima.</w:t>
            </w:r>
          </w:p>
        </w:tc>
        <w:tc>
          <w:tcPr>
            <w:tcW w:w="1420" w:type="dxa"/>
            <w:tcBorders>
              <w:top w:val="nil"/>
              <w:left w:val="nil"/>
              <w:bottom w:val="single" w:sz="4" w:space="0" w:color="auto"/>
              <w:right w:val="single" w:sz="4" w:space="0" w:color="auto"/>
            </w:tcBorders>
            <w:noWrap/>
            <w:hideMark/>
          </w:tcPr>
          <w:p w14:paraId="695789F4"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1,000,000 </w:t>
            </w:r>
          </w:p>
        </w:tc>
      </w:tr>
      <w:tr w:rsidR="00BF5974" w14:paraId="1EBA2AA7"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61E46E5E" w14:textId="77777777" w:rsidR="00BF5974" w:rsidRPr="00105286" w:rsidRDefault="00BF5974">
            <w:pPr>
              <w:spacing w:line="256" w:lineRule="auto"/>
              <w:rPr>
                <w:rFonts w:eastAsia="Times New Roman" w:cs="Arial"/>
                <w:sz w:val="18"/>
                <w:szCs w:val="18"/>
                <w:lang w:val="es-ES" w:eastAsia="en-US"/>
              </w:rPr>
            </w:pPr>
            <w:r w:rsidRPr="00105286">
              <w:rPr>
                <w:rFonts w:eastAsia="Times New Roman" w:cs="Arial"/>
                <w:sz w:val="18"/>
                <w:szCs w:val="18"/>
                <w:lang w:val="es-ES" w:eastAsia="en-US"/>
              </w:rPr>
              <w:t> </w:t>
            </w:r>
          </w:p>
        </w:tc>
        <w:tc>
          <w:tcPr>
            <w:tcW w:w="6244" w:type="dxa"/>
            <w:tcBorders>
              <w:top w:val="nil"/>
              <w:left w:val="nil"/>
              <w:bottom w:val="single" w:sz="4" w:space="0" w:color="auto"/>
              <w:right w:val="single" w:sz="4" w:space="0" w:color="auto"/>
            </w:tcBorders>
            <w:noWrap/>
            <w:vAlign w:val="center"/>
            <w:hideMark/>
          </w:tcPr>
          <w:p w14:paraId="136AF02E" w14:textId="77777777" w:rsidR="00BF5974" w:rsidRPr="00105286" w:rsidRDefault="00BF5974">
            <w:pPr>
              <w:spacing w:line="256" w:lineRule="auto"/>
              <w:jc w:val="left"/>
              <w:rPr>
                <w:rFonts w:eastAsia="Times New Roman" w:cs="Arial"/>
                <w:b/>
                <w:bCs/>
                <w:sz w:val="18"/>
                <w:szCs w:val="18"/>
                <w:lang w:val="es-ES" w:eastAsia="en-US"/>
              </w:rPr>
            </w:pPr>
            <w:r w:rsidRPr="00105286">
              <w:rPr>
                <w:rFonts w:eastAsia="Times New Roman" w:cs="Arial"/>
                <w:b/>
                <w:bCs/>
                <w:sz w:val="18"/>
                <w:szCs w:val="18"/>
                <w:lang w:val="es-ES" w:eastAsia="en-US"/>
              </w:rPr>
              <w:t>Secretaría de Bienestar, Inclusión Social y Mujeres.</w:t>
            </w:r>
          </w:p>
        </w:tc>
        <w:tc>
          <w:tcPr>
            <w:tcW w:w="1420" w:type="dxa"/>
            <w:tcBorders>
              <w:top w:val="nil"/>
              <w:left w:val="nil"/>
              <w:bottom w:val="single" w:sz="4" w:space="0" w:color="auto"/>
              <w:right w:val="single" w:sz="4" w:space="0" w:color="auto"/>
            </w:tcBorders>
            <w:noWrap/>
            <w:hideMark/>
          </w:tcPr>
          <w:p w14:paraId="088CDAFF"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w:t>
            </w:r>
          </w:p>
        </w:tc>
      </w:tr>
      <w:tr w:rsidR="00BF5974" w14:paraId="6798231B"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6702FD1E"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040105002</w:t>
            </w:r>
          </w:p>
        </w:tc>
        <w:tc>
          <w:tcPr>
            <w:tcW w:w="6244" w:type="dxa"/>
            <w:tcBorders>
              <w:top w:val="nil"/>
              <w:left w:val="nil"/>
              <w:bottom w:val="single" w:sz="4" w:space="0" w:color="auto"/>
              <w:right w:val="single" w:sz="4" w:space="0" w:color="auto"/>
            </w:tcBorders>
            <w:noWrap/>
            <w:vAlign w:val="center"/>
            <w:hideMark/>
          </w:tcPr>
          <w:p w14:paraId="78B5476E"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Sistema para el Desarrollo Integral de la Familia del Estado de Colima.</w:t>
            </w:r>
          </w:p>
        </w:tc>
        <w:tc>
          <w:tcPr>
            <w:tcW w:w="1420" w:type="dxa"/>
            <w:tcBorders>
              <w:top w:val="nil"/>
              <w:left w:val="nil"/>
              <w:bottom w:val="single" w:sz="4" w:space="0" w:color="auto"/>
              <w:right w:val="single" w:sz="4" w:space="0" w:color="auto"/>
            </w:tcBorders>
            <w:noWrap/>
            <w:hideMark/>
          </w:tcPr>
          <w:p w14:paraId="5D823780"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288,252,914 </w:t>
            </w:r>
          </w:p>
        </w:tc>
      </w:tr>
      <w:tr w:rsidR="00BF5974" w14:paraId="158BBE2F"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5287BB71"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040105005</w:t>
            </w:r>
          </w:p>
        </w:tc>
        <w:tc>
          <w:tcPr>
            <w:tcW w:w="6244" w:type="dxa"/>
            <w:tcBorders>
              <w:top w:val="nil"/>
              <w:left w:val="nil"/>
              <w:bottom w:val="single" w:sz="4" w:space="0" w:color="auto"/>
              <w:right w:val="single" w:sz="4" w:space="0" w:color="auto"/>
            </w:tcBorders>
            <w:noWrap/>
            <w:vAlign w:val="center"/>
            <w:hideMark/>
          </w:tcPr>
          <w:p w14:paraId="3C2EC8D3"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Instituto para la Atención de los Adultos Mayores.</w:t>
            </w:r>
          </w:p>
        </w:tc>
        <w:tc>
          <w:tcPr>
            <w:tcW w:w="1420" w:type="dxa"/>
            <w:tcBorders>
              <w:top w:val="nil"/>
              <w:left w:val="nil"/>
              <w:bottom w:val="single" w:sz="4" w:space="0" w:color="auto"/>
              <w:right w:val="single" w:sz="4" w:space="0" w:color="auto"/>
            </w:tcBorders>
            <w:noWrap/>
            <w:hideMark/>
          </w:tcPr>
          <w:p w14:paraId="69DB1A45"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7,261,237 </w:t>
            </w:r>
          </w:p>
        </w:tc>
      </w:tr>
      <w:tr w:rsidR="00BF5974" w14:paraId="6391E06B"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2D0BC0E1"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040105012</w:t>
            </w:r>
          </w:p>
        </w:tc>
        <w:tc>
          <w:tcPr>
            <w:tcW w:w="6244" w:type="dxa"/>
            <w:tcBorders>
              <w:top w:val="nil"/>
              <w:left w:val="nil"/>
              <w:bottom w:val="single" w:sz="4" w:space="0" w:color="auto"/>
              <w:right w:val="single" w:sz="4" w:space="0" w:color="auto"/>
            </w:tcBorders>
            <w:noWrap/>
            <w:vAlign w:val="center"/>
            <w:hideMark/>
          </w:tcPr>
          <w:p w14:paraId="36F34D3B"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Instituto Colimense para la Discapacidad.</w:t>
            </w:r>
          </w:p>
        </w:tc>
        <w:tc>
          <w:tcPr>
            <w:tcW w:w="1420" w:type="dxa"/>
            <w:tcBorders>
              <w:top w:val="nil"/>
              <w:left w:val="nil"/>
              <w:bottom w:val="single" w:sz="4" w:space="0" w:color="auto"/>
              <w:right w:val="single" w:sz="4" w:space="0" w:color="auto"/>
            </w:tcBorders>
            <w:noWrap/>
            <w:hideMark/>
          </w:tcPr>
          <w:p w14:paraId="2EE6B3F1"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4,767,228 </w:t>
            </w:r>
          </w:p>
        </w:tc>
      </w:tr>
      <w:tr w:rsidR="00BF5974" w14:paraId="2B11969D"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6E5B47BA"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040105014</w:t>
            </w:r>
          </w:p>
        </w:tc>
        <w:tc>
          <w:tcPr>
            <w:tcW w:w="6244" w:type="dxa"/>
            <w:tcBorders>
              <w:top w:val="nil"/>
              <w:left w:val="nil"/>
              <w:bottom w:val="single" w:sz="4" w:space="0" w:color="auto"/>
              <w:right w:val="single" w:sz="4" w:space="0" w:color="auto"/>
            </w:tcBorders>
            <w:noWrap/>
            <w:vAlign w:val="center"/>
            <w:hideMark/>
          </w:tcPr>
          <w:p w14:paraId="3EDBA920"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Instituto Colimense de las Mujeres.</w:t>
            </w:r>
          </w:p>
        </w:tc>
        <w:tc>
          <w:tcPr>
            <w:tcW w:w="1420" w:type="dxa"/>
            <w:tcBorders>
              <w:top w:val="nil"/>
              <w:left w:val="nil"/>
              <w:bottom w:val="single" w:sz="4" w:space="0" w:color="auto"/>
              <w:right w:val="single" w:sz="4" w:space="0" w:color="auto"/>
            </w:tcBorders>
            <w:noWrap/>
            <w:hideMark/>
          </w:tcPr>
          <w:p w14:paraId="0BF40286"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15,177,263 </w:t>
            </w:r>
          </w:p>
        </w:tc>
      </w:tr>
      <w:tr w:rsidR="00BF5974" w14:paraId="7F835516"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5CCBC6E5" w14:textId="77777777" w:rsidR="00BF5974" w:rsidRPr="00105286" w:rsidRDefault="00BF5974">
            <w:pPr>
              <w:spacing w:line="256" w:lineRule="auto"/>
              <w:rPr>
                <w:rFonts w:eastAsia="Times New Roman" w:cs="Arial"/>
                <w:sz w:val="18"/>
                <w:szCs w:val="18"/>
                <w:lang w:val="es-ES" w:eastAsia="en-US"/>
              </w:rPr>
            </w:pPr>
            <w:r w:rsidRPr="00105286">
              <w:rPr>
                <w:rFonts w:eastAsia="Times New Roman" w:cs="Arial"/>
                <w:sz w:val="18"/>
                <w:szCs w:val="18"/>
                <w:lang w:val="es-ES" w:eastAsia="en-US"/>
              </w:rPr>
              <w:t> </w:t>
            </w:r>
          </w:p>
        </w:tc>
        <w:tc>
          <w:tcPr>
            <w:tcW w:w="6244" w:type="dxa"/>
            <w:tcBorders>
              <w:top w:val="nil"/>
              <w:left w:val="nil"/>
              <w:bottom w:val="single" w:sz="4" w:space="0" w:color="auto"/>
              <w:right w:val="single" w:sz="4" w:space="0" w:color="auto"/>
            </w:tcBorders>
            <w:noWrap/>
            <w:vAlign w:val="center"/>
            <w:hideMark/>
          </w:tcPr>
          <w:p w14:paraId="109A326F" w14:textId="77777777" w:rsidR="00BF5974" w:rsidRPr="00105286" w:rsidRDefault="00BF5974">
            <w:pPr>
              <w:spacing w:line="256" w:lineRule="auto"/>
              <w:jc w:val="left"/>
              <w:rPr>
                <w:rFonts w:eastAsia="Times New Roman" w:cs="Arial"/>
                <w:b/>
                <w:bCs/>
                <w:sz w:val="18"/>
                <w:szCs w:val="18"/>
                <w:lang w:val="es-ES" w:eastAsia="en-US"/>
              </w:rPr>
            </w:pPr>
            <w:r w:rsidRPr="00105286">
              <w:rPr>
                <w:rFonts w:eastAsia="Times New Roman" w:cs="Arial"/>
                <w:b/>
                <w:bCs/>
                <w:sz w:val="18"/>
                <w:szCs w:val="18"/>
                <w:lang w:val="es-ES" w:eastAsia="en-US"/>
              </w:rPr>
              <w:t>Secretaría de Infraestructura, Desarrollo Urbano y Movilidad.</w:t>
            </w:r>
          </w:p>
        </w:tc>
        <w:tc>
          <w:tcPr>
            <w:tcW w:w="1420" w:type="dxa"/>
            <w:tcBorders>
              <w:top w:val="nil"/>
              <w:left w:val="nil"/>
              <w:bottom w:val="single" w:sz="4" w:space="0" w:color="auto"/>
              <w:right w:val="single" w:sz="4" w:space="0" w:color="auto"/>
            </w:tcBorders>
            <w:noWrap/>
            <w:hideMark/>
          </w:tcPr>
          <w:p w14:paraId="068D8DBE"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w:t>
            </w:r>
          </w:p>
        </w:tc>
      </w:tr>
      <w:tr w:rsidR="00BF5974" w14:paraId="4B21B826"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6C642D7E"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040105013</w:t>
            </w:r>
          </w:p>
        </w:tc>
        <w:tc>
          <w:tcPr>
            <w:tcW w:w="6244" w:type="dxa"/>
            <w:tcBorders>
              <w:top w:val="nil"/>
              <w:left w:val="nil"/>
              <w:bottom w:val="single" w:sz="4" w:space="0" w:color="auto"/>
              <w:right w:val="single" w:sz="4" w:space="0" w:color="auto"/>
            </w:tcBorders>
            <w:noWrap/>
            <w:vAlign w:val="center"/>
            <w:hideMark/>
          </w:tcPr>
          <w:p w14:paraId="5A322864"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Comisión Estatal del Agua de Colima.</w:t>
            </w:r>
          </w:p>
        </w:tc>
        <w:tc>
          <w:tcPr>
            <w:tcW w:w="1420" w:type="dxa"/>
            <w:tcBorders>
              <w:top w:val="nil"/>
              <w:left w:val="nil"/>
              <w:bottom w:val="single" w:sz="4" w:space="0" w:color="auto"/>
              <w:right w:val="single" w:sz="4" w:space="0" w:color="auto"/>
            </w:tcBorders>
            <w:noWrap/>
            <w:hideMark/>
          </w:tcPr>
          <w:p w14:paraId="51447AA4"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6,342,814 </w:t>
            </w:r>
          </w:p>
        </w:tc>
      </w:tr>
      <w:tr w:rsidR="00BF5974" w14:paraId="32D40743"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67A26A16"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040105019</w:t>
            </w:r>
          </w:p>
        </w:tc>
        <w:tc>
          <w:tcPr>
            <w:tcW w:w="6244" w:type="dxa"/>
            <w:tcBorders>
              <w:top w:val="nil"/>
              <w:left w:val="nil"/>
              <w:bottom w:val="single" w:sz="4" w:space="0" w:color="auto"/>
              <w:right w:val="single" w:sz="4" w:space="0" w:color="auto"/>
            </w:tcBorders>
            <w:noWrap/>
            <w:vAlign w:val="center"/>
            <w:hideMark/>
          </w:tcPr>
          <w:p w14:paraId="5CCCB77D"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Instituto para el Medio Ambiente y Desarrollo Sustentable.</w:t>
            </w:r>
          </w:p>
        </w:tc>
        <w:tc>
          <w:tcPr>
            <w:tcW w:w="1420" w:type="dxa"/>
            <w:tcBorders>
              <w:top w:val="nil"/>
              <w:left w:val="nil"/>
              <w:bottom w:val="single" w:sz="4" w:space="0" w:color="auto"/>
              <w:right w:val="single" w:sz="4" w:space="0" w:color="auto"/>
            </w:tcBorders>
            <w:noWrap/>
            <w:hideMark/>
          </w:tcPr>
          <w:p w14:paraId="34A82D06"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18,615,366 </w:t>
            </w:r>
          </w:p>
        </w:tc>
      </w:tr>
      <w:tr w:rsidR="00BF5974" w14:paraId="6DC65C54"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0B276524" w14:textId="77777777" w:rsidR="00BF5974" w:rsidRPr="00105286" w:rsidRDefault="00BF5974">
            <w:pPr>
              <w:spacing w:line="256" w:lineRule="auto"/>
              <w:rPr>
                <w:rFonts w:eastAsia="Times New Roman" w:cs="Arial"/>
                <w:sz w:val="18"/>
                <w:szCs w:val="18"/>
                <w:lang w:val="es-ES" w:eastAsia="en-US"/>
              </w:rPr>
            </w:pPr>
            <w:r w:rsidRPr="00105286">
              <w:rPr>
                <w:rFonts w:eastAsia="Times New Roman" w:cs="Arial"/>
                <w:sz w:val="18"/>
                <w:szCs w:val="18"/>
                <w:lang w:val="es-ES" w:eastAsia="en-US"/>
              </w:rPr>
              <w:t> </w:t>
            </w:r>
          </w:p>
        </w:tc>
        <w:tc>
          <w:tcPr>
            <w:tcW w:w="6244" w:type="dxa"/>
            <w:tcBorders>
              <w:top w:val="nil"/>
              <w:left w:val="nil"/>
              <w:bottom w:val="single" w:sz="4" w:space="0" w:color="auto"/>
              <w:right w:val="single" w:sz="4" w:space="0" w:color="auto"/>
            </w:tcBorders>
            <w:noWrap/>
            <w:vAlign w:val="center"/>
            <w:hideMark/>
          </w:tcPr>
          <w:p w14:paraId="015FDAB7" w14:textId="77777777" w:rsidR="00BF5974" w:rsidRPr="00105286" w:rsidRDefault="00BF5974">
            <w:pPr>
              <w:spacing w:line="256" w:lineRule="auto"/>
              <w:jc w:val="left"/>
              <w:rPr>
                <w:rFonts w:eastAsia="Times New Roman" w:cs="Arial"/>
                <w:b/>
                <w:bCs/>
                <w:sz w:val="18"/>
                <w:szCs w:val="18"/>
                <w:lang w:val="es-ES" w:eastAsia="en-US"/>
              </w:rPr>
            </w:pPr>
            <w:r w:rsidRPr="00105286">
              <w:rPr>
                <w:rFonts w:eastAsia="Times New Roman" w:cs="Arial"/>
                <w:b/>
                <w:bCs/>
                <w:sz w:val="18"/>
                <w:szCs w:val="18"/>
                <w:lang w:val="es-ES" w:eastAsia="en-US"/>
              </w:rPr>
              <w:t>Secretaría de Educación y Cultura.</w:t>
            </w:r>
          </w:p>
        </w:tc>
        <w:tc>
          <w:tcPr>
            <w:tcW w:w="1420" w:type="dxa"/>
            <w:tcBorders>
              <w:top w:val="nil"/>
              <w:left w:val="nil"/>
              <w:bottom w:val="single" w:sz="4" w:space="0" w:color="auto"/>
              <w:right w:val="single" w:sz="4" w:space="0" w:color="auto"/>
            </w:tcBorders>
            <w:noWrap/>
            <w:hideMark/>
          </w:tcPr>
          <w:p w14:paraId="555660A4"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w:t>
            </w:r>
          </w:p>
        </w:tc>
      </w:tr>
      <w:tr w:rsidR="00BF5974" w14:paraId="6F729D29"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6DD0E545"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040101007</w:t>
            </w:r>
          </w:p>
        </w:tc>
        <w:tc>
          <w:tcPr>
            <w:tcW w:w="6244" w:type="dxa"/>
            <w:tcBorders>
              <w:top w:val="nil"/>
              <w:left w:val="nil"/>
              <w:bottom w:val="single" w:sz="4" w:space="0" w:color="auto"/>
              <w:right w:val="single" w:sz="4" w:space="0" w:color="auto"/>
            </w:tcBorders>
            <w:noWrap/>
            <w:vAlign w:val="center"/>
            <w:hideMark/>
          </w:tcPr>
          <w:p w14:paraId="01F8717F"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Coordinación de los Servicios Educativos Estatales.</w:t>
            </w:r>
          </w:p>
        </w:tc>
        <w:tc>
          <w:tcPr>
            <w:tcW w:w="1420" w:type="dxa"/>
            <w:tcBorders>
              <w:top w:val="nil"/>
              <w:left w:val="nil"/>
              <w:bottom w:val="single" w:sz="4" w:space="0" w:color="auto"/>
              <w:right w:val="single" w:sz="4" w:space="0" w:color="auto"/>
            </w:tcBorders>
            <w:noWrap/>
            <w:hideMark/>
          </w:tcPr>
          <w:p w14:paraId="3326B821"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100,000,000 </w:t>
            </w:r>
          </w:p>
        </w:tc>
      </w:tr>
      <w:tr w:rsidR="00BF5974" w14:paraId="27EFA930"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1B041034"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040101010</w:t>
            </w:r>
          </w:p>
        </w:tc>
        <w:tc>
          <w:tcPr>
            <w:tcW w:w="6244" w:type="dxa"/>
            <w:tcBorders>
              <w:top w:val="nil"/>
              <w:left w:val="nil"/>
              <w:bottom w:val="single" w:sz="4" w:space="0" w:color="auto"/>
              <w:right w:val="single" w:sz="4" w:space="0" w:color="auto"/>
            </w:tcBorders>
            <w:noWrap/>
            <w:vAlign w:val="center"/>
            <w:hideMark/>
          </w:tcPr>
          <w:p w14:paraId="05EE5A5C"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Escuela de Talentos.</w:t>
            </w:r>
          </w:p>
        </w:tc>
        <w:tc>
          <w:tcPr>
            <w:tcW w:w="1420" w:type="dxa"/>
            <w:tcBorders>
              <w:top w:val="nil"/>
              <w:left w:val="nil"/>
              <w:bottom w:val="single" w:sz="4" w:space="0" w:color="auto"/>
              <w:right w:val="single" w:sz="4" w:space="0" w:color="auto"/>
            </w:tcBorders>
            <w:noWrap/>
            <w:hideMark/>
          </w:tcPr>
          <w:p w14:paraId="240D2921"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5,800,000 </w:t>
            </w:r>
          </w:p>
        </w:tc>
      </w:tr>
      <w:tr w:rsidR="00BF5974" w14:paraId="6B932823"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303A53E1" w14:textId="77777777" w:rsidR="00BF5974" w:rsidRPr="00105286" w:rsidRDefault="00BF5974">
            <w:pPr>
              <w:spacing w:line="256" w:lineRule="auto"/>
              <w:jc w:val="center"/>
              <w:rPr>
                <w:rFonts w:eastAsia="Times New Roman" w:cs="Arial"/>
                <w:sz w:val="18"/>
                <w:szCs w:val="18"/>
                <w:lang w:val="es-ES" w:eastAsia="en-US"/>
              </w:rPr>
            </w:pPr>
            <w:bookmarkStart w:id="112" w:name="_Hlk149331840"/>
            <w:r w:rsidRPr="00105286">
              <w:rPr>
                <w:rFonts w:eastAsia="Times New Roman" w:cs="Arial"/>
                <w:sz w:val="18"/>
                <w:szCs w:val="18"/>
                <w:lang w:val="es-ES" w:eastAsia="en-US"/>
              </w:rPr>
              <w:t>040101011</w:t>
            </w:r>
            <w:bookmarkEnd w:id="112"/>
          </w:p>
        </w:tc>
        <w:tc>
          <w:tcPr>
            <w:tcW w:w="6244" w:type="dxa"/>
            <w:tcBorders>
              <w:top w:val="nil"/>
              <w:left w:val="nil"/>
              <w:bottom w:val="single" w:sz="4" w:space="0" w:color="auto"/>
              <w:right w:val="single" w:sz="4" w:space="0" w:color="auto"/>
            </w:tcBorders>
            <w:noWrap/>
            <w:vAlign w:val="center"/>
            <w:hideMark/>
          </w:tcPr>
          <w:p w14:paraId="48B0B67B"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Instituto Superior de Educación Normal del Estado de Colima.</w:t>
            </w:r>
          </w:p>
        </w:tc>
        <w:tc>
          <w:tcPr>
            <w:tcW w:w="1420" w:type="dxa"/>
            <w:tcBorders>
              <w:top w:val="nil"/>
              <w:left w:val="nil"/>
              <w:bottom w:val="single" w:sz="4" w:space="0" w:color="auto"/>
              <w:right w:val="single" w:sz="4" w:space="0" w:color="auto"/>
            </w:tcBorders>
            <w:noWrap/>
            <w:hideMark/>
          </w:tcPr>
          <w:p w14:paraId="3E555B0F"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4,100,000 </w:t>
            </w:r>
          </w:p>
        </w:tc>
      </w:tr>
      <w:tr w:rsidR="00BF5974" w14:paraId="39AC4A60"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0777B0D1"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040105003</w:t>
            </w:r>
          </w:p>
        </w:tc>
        <w:tc>
          <w:tcPr>
            <w:tcW w:w="6244" w:type="dxa"/>
            <w:tcBorders>
              <w:top w:val="nil"/>
              <w:left w:val="nil"/>
              <w:bottom w:val="single" w:sz="4" w:space="0" w:color="auto"/>
              <w:right w:val="single" w:sz="4" w:space="0" w:color="auto"/>
            </w:tcBorders>
            <w:noWrap/>
            <w:vAlign w:val="center"/>
            <w:hideMark/>
          </w:tcPr>
          <w:p w14:paraId="15C6FD32"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Instituto Colimense del Deporte.</w:t>
            </w:r>
          </w:p>
        </w:tc>
        <w:tc>
          <w:tcPr>
            <w:tcW w:w="1420" w:type="dxa"/>
            <w:tcBorders>
              <w:top w:val="nil"/>
              <w:left w:val="nil"/>
              <w:bottom w:val="single" w:sz="4" w:space="0" w:color="auto"/>
              <w:right w:val="single" w:sz="4" w:space="0" w:color="auto"/>
            </w:tcBorders>
            <w:noWrap/>
            <w:hideMark/>
          </w:tcPr>
          <w:p w14:paraId="0DEC34A5"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77,927,815 </w:t>
            </w:r>
          </w:p>
        </w:tc>
      </w:tr>
      <w:tr w:rsidR="00BF5974" w14:paraId="0695BF5F"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21AE13B4"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040105006</w:t>
            </w:r>
          </w:p>
        </w:tc>
        <w:tc>
          <w:tcPr>
            <w:tcW w:w="6244" w:type="dxa"/>
            <w:tcBorders>
              <w:top w:val="nil"/>
              <w:left w:val="nil"/>
              <w:bottom w:val="single" w:sz="4" w:space="0" w:color="auto"/>
              <w:right w:val="single" w:sz="4" w:space="0" w:color="auto"/>
            </w:tcBorders>
            <w:noWrap/>
            <w:vAlign w:val="center"/>
            <w:hideMark/>
          </w:tcPr>
          <w:p w14:paraId="2E36972A"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Instituto Colimense de Infraestructura Física Educativa.</w:t>
            </w:r>
          </w:p>
        </w:tc>
        <w:tc>
          <w:tcPr>
            <w:tcW w:w="1420" w:type="dxa"/>
            <w:tcBorders>
              <w:top w:val="nil"/>
              <w:left w:val="nil"/>
              <w:bottom w:val="single" w:sz="4" w:space="0" w:color="auto"/>
              <w:right w:val="single" w:sz="4" w:space="0" w:color="auto"/>
            </w:tcBorders>
            <w:noWrap/>
            <w:hideMark/>
          </w:tcPr>
          <w:p w14:paraId="7F51F7A0"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16,622,031 </w:t>
            </w:r>
          </w:p>
        </w:tc>
      </w:tr>
      <w:tr w:rsidR="00BF5974" w14:paraId="6C7F2FEC"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39DB57EF"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040105008</w:t>
            </w:r>
          </w:p>
        </w:tc>
        <w:tc>
          <w:tcPr>
            <w:tcW w:w="6244" w:type="dxa"/>
            <w:tcBorders>
              <w:top w:val="nil"/>
              <w:left w:val="nil"/>
              <w:bottom w:val="single" w:sz="4" w:space="0" w:color="auto"/>
              <w:right w:val="single" w:sz="4" w:space="0" w:color="auto"/>
            </w:tcBorders>
            <w:noWrap/>
            <w:vAlign w:val="center"/>
            <w:hideMark/>
          </w:tcPr>
          <w:p w14:paraId="2EC93D0C"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Universidad Tecnológica de Manzanillo.</w:t>
            </w:r>
          </w:p>
        </w:tc>
        <w:tc>
          <w:tcPr>
            <w:tcW w:w="1420" w:type="dxa"/>
            <w:tcBorders>
              <w:top w:val="nil"/>
              <w:left w:val="nil"/>
              <w:bottom w:val="single" w:sz="4" w:space="0" w:color="auto"/>
              <w:right w:val="single" w:sz="4" w:space="0" w:color="auto"/>
            </w:tcBorders>
            <w:noWrap/>
            <w:hideMark/>
          </w:tcPr>
          <w:p w14:paraId="7937CB4D"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28,891,538 </w:t>
            </w:r>
          </w:p>
        </w:tc>
      </w:tr>
      <w:tr w:rsidR="00BF5974" w14:paraId="19F3AE62"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665E60C0"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040105009</w:t>
            </w:r>
          </w:p>
        </w:tc>
        <w:tc>
          <w:tcPr>
            <w:tcW w:w="6244" w:type="dxa"/>
            <w:tcBorders>
              <w:top w:val="nil"/>
              <w:left w:val="nil"/>
              <w:bottom w:val="single" w:sz="4" w:space="0" w:color="auto"/>
              <w:right w:val="single" w:sz="4" w:space="0" w:color="auto"/>
            </w:tcBorders>
            <w:noWrap/>
            <w:vAlign w:val="center"/>
            <w:hideMark/>
          </w:tcPr>
          <w:p w14:paraId="4DB294DE"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Instituto Colimense de Radio y Televisión.</w:t>
            </w:r>
          </w:p>
        </w:tc>
        <w:tc>
          <w:tcPr>
            <w:tcW w:w="1420" w:type="dxa"/>
            <w:tcBorders>
              <w:top w:val="nil"/>
              <w:left w:val="nil"/>
              <w:bottom w:val="single" w:sz="4" w:space="0" w:color="auto"/>
              <w:right w:val="single" w:sz="4" w:space="0" w:color="auto"/>
            </w:tcBorders>
            <w:noWrap/>
            <w:hideMark/>
          </w:tcPr>
          <w:p w14:paraId="5705F0CC"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31,534,282 </w:t>
            </w:r>
          </w:p>
        </w:tc>
      </w:tr>
      <w:tr w:rsidR="00BF5974" w14:paraId="726459DB"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3475AB23"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040105015</w:t>
            </w:r>
          </w:p>
        </w:tc>
        <w:tc>
          <w:tcPr>
            <w:tcW w:w="6244" w:type="dxa"/>
            <w:tcBorders>
              <w:top w:val="nil"/>
              <w:left w:val="nil"/>
              <w:bottom w:val="single" w:sz="4" w:space="0" w:color="auto"/>
              <w:right w:val="single" w:sz="4" w:space="0" w:color="auto"/>
            </w:tcBorders>
            <w:noWrap/>
            <w:vAlign w:val="center"/>
            <w:hideMark/>
          </w:tcPr>
          <w:p w14:paraId="213326C6"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Colegio de Educación Profesional Técnica del Estado de Colima.</w:t>
            </w:r>
          </w:p>
        </w:tc>
        <w:tc>
          <w:tcPr>
            <w:tcW w:w="1420" w:type="dxa"/>
            <w:tcBorders>
              <w:top w:val="nil"/>
              <w:left w:val="nil"/>
              <w:bottom w:val="single" w:sz="4" w:space="0" w:color="auto"/>
              <w:right w:val="single" w:sz="4" w:space="0" w:color="auto"/>
            </w:tcBorders>
            <w:noWrap/>
            <w:hideMark/>
          </w:tcPr>
          <w:p w14:paraId="4263313A"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2,237,398 </w:t>
            </w:r>
          </w:p>
        </w:tc>
      </w:tr>
      <w:tr w:rsidR="00BF5974" w14:paraId="5994B283"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0ED813F5"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040105022</w:t>
            </w:r>
          </w:p>
        </w:tc>
        <w:tc>
          <w:tcPr>
            <w:tcW w:w="6244" w:type="dxa"/>
            <w:tcBorders>
              <w:top w:val="nil"/>
              <w:left w:val="nil"/>
              <w:bottom w:val="single" w:sz="4" w:space="0" w:color="auto"/>
              <w:right w:val="single" w:sz="4" w:space="0" w:color="auto"/>
            </w:tcBorders>
            <w:noWrap/>
            <w:vAlign w:val="center"/>
            <w:hideMark/>
          </w:tcPr>
          <w:p w14:paraId="128258FA"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Colegio de Educación Profesional Técnica (Tecomán).</w:t>
            </w:r>
          </w:p>
        </w:tc>
        <w:tc>
          <w:tcPr>
            <w:tcW w:w="1420" w:type="dxa"/>
            <w:tcBorders>
              <w:top w:val="nil"/>
              <w:left w:val="nil"/>
              <w:bottom w:val="single" w:sz="4" w:space="0" w:color="auto"/>
              <w:right w:val="single" w:sz="4" w:space="0" w:color="auto"/>
            </w:tcBorders>
            <w:noWrap/>
            <w:hideMark/>
          </w:tcPr>
          <w:p w14:paraId="2D9C206D"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4,001,920 </w:t>
            </w:r>
          </w:p>
        </w:tc>
      </w:tr>
      <w:tr w:rsidR="00BF5974" w14:paraId="49C2FCB4"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38913F48"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040105039</w:t>
            </w:r>
          </w:p>
        </w:tc>
        <w:tc>
          <w:tcPr>
            <w:tcW w:w="6244" w:type="dxa"/>
            <w:tcBorders>
              <w:top w:val="nil"/>
              <w:left w:val="nil"/>
              <w:bottom w:val="single" w:sz="4" w:space="0" w:color="auto"/>
              <w:right w:val="single" w:sz="4" w:space="0" w:color="auto"/>
            </w:tcBorders>
            <w:noWrap/>
            <w:vAlign w:val="center"/>
            <w:hideMark/>
          </w:tcPr>
          <w:p w14:paraId="37357204"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Universidad de Colima.</w:t>
            </w:r>
          </w:p>
        </w:tc>
        <w:tc>
          <w:tcPr>
            <w:tcW w:w="1420" w:type="dxa"/>
            <w:tcBorders>
              <w:top w:val="nil"/>
              <w:left w:val="nil"/>
              <w:bottom w:val="single" w:sz="4" w:space="0" w:color="auto"/>
              <w:right w:val="single" w:sz="4" w:space="0" w:color="auto"/>
            </w:tcBorders>
            <w:noWrap/>
            <w:hideMark/>
          </w:tcPr>
          <w:p w14:paraId="1863DA86"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550,000,000 </w:t>
            </w:r>
          </w:p>
        </w:tc>
      </w:tr>
      <w:tr w:rsidR="00BF5974" w14:paraId="45853BE6"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58655DCE"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040105042</w:t>
            </w:r>
          </w:p>
        </w:tc>
        <w:tc>
          <w:tcPr>
            <w:tcW w:w="6244" w:type="dxa"/>
            <w:tcBorders>
              <w:top w:val="nil"/>
              <w:left w:val="nil"/>
              <w:bottom w:val="single" w:sz="4" w:space="0" w:color="auto"/>
              <w:right w:val="single" w:sz="4" w:space="0" w:color="auto"/>
            </w:tcBorders>
            <w:noWrap/>
            <w:vAlign w:val="center"/>
            <w:hideMark/>
          </w:tcPr>
          <w:p w14:paraId="43CC8E90"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Universidad Intercultural de Colima.</w:t>
            </w:r>
          </w:p>
        </w:tc>
        <w:tc>
          <w:tcPr>
            <w:tcW w:w="1420" w:type="dxa"/>
            <w:tcBorders>
              <w:top w:val="nil"/>
              <w:left w:val="nil"/>
              <w:bottom w:val="single" w:sz="4" w:space="0" w:color="auto"/>
              <w:right w:val="single" w:sz="4" w:space="0" w:color="auto"/>
            </w:tcBorders>
            <w:noWrap/>
            <w:hideMark/>
          </w:tcPr>
          <w:p w14:paraId="19860547"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7,810,400 </w:t>
            </w:r>
          </w:p>
        </w:tc>
      </w:tr>
      <w:tr w:rsidR="00BF5974" w14:paraId="60FA5CDB"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2357CEDB"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040403003</w:t>
            </w:r>
          </w:p>
        </w:tc>
        <w:tc>
          <w:tcPr>
            <w:tcW w:w="6244" w:type="dxa"/>
            <w:tcBorders>
              <w:top w:val="nil"/>
              <w:left w:val="nil"/>
              <w:bottom w:val="single" w:sz="4" w:space="0" w:color="auto"/>
              <w:right w:val="single" w:sz="4" w:space="0" w:color="auto"/>
            </w:tcBorders>
            <w:noWrap/>
            <w:vAlign w:val="center"/>
            <w:hideMark/>
          </w:tcPr>
          <w:p w14:paraId="7AA77B66"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Instituto Estatal de Educación para Adultos.</w:t>
            </w:r>
          </w:p>
        </w:tc>
        <w:tc>
          <w:tcPr>
            <w:tcW w:w="1420" w:type="dxa"/>
            <w:tcBorders>
              <w:top w:val="nil"/>
              <w:left w:val="nil"/>
              <w:bottom w:val="single" w:sz="4" w:space="0" w:color="auto"/>
              <w:right w:val="single" w:sz="4" w:space="0" w:color="auto"/>
            </w:tcBorders>
            <w:noWrap/>
            <w:hideMark/>
          </w:tcPr>
          <w:p w14:paraId="06360214"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2,585,750 </w:t>
            </w:r>
          </w:p>
        </w:tc>
      </w:tr>
      <w:tr w:rsidR="00BF5974" w14:paraId="58180D75"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7FC9221C" w14:textId="77777777" w:rsidR="00BF5974" w:rsidRPr="00105286" w:rsidRDefault="00BF5974">
            <w:pPr>
              <w:spacing w:line="256" w:lineRule="auto"/>
              <w:jc w:val="center"/>
              <w:rPr>
                <w:rFonts w:eastAsia="Times New Roman" w:cs="Arial"/>
                <w:b/>
                <w:bCs/>
                <w:sz w:val="18"/>
                <w:szCs w:val="18"/>
                <w:lang w:val="es-ES" w:eastAsia="en-US"/>
              </w:rPr>
            </w:pPr>
            <w:r w:rsidRPr="00105286">
              <w:rPr>
                <w:rFonts w:eastAsia="Times New Roman" w:cs="Arial"/>
                <w:b/>
                <w:bCs/>
                <w:sz w:val="18"/>
                <w:szCs w:val="18"/>
                <w:lang w:val="es-ES" w:eastAsia="en-US"/>
              </w:rPr>
              <w:t> </w:t>
            </w:r>
          </w:p>
        </w:tc>
        <w:tc>
          <w:tcPr>
            <w:tcW w:w="6244" w:type="dxa"/>
            <w:tcBorders>
              <w:top w:val="nil"/>
              <w:left w:val="nil"/>
              <w:bottom w:val="single" w:sz="4" w:space="0" w:color="auto"/>
              <w:right w:val="single" w:sz="4" w:space="0" w:color="auto"/>
            </w:tcBorders>
            <w:noWrap/>
            <w:vAlign w:val="center"/>
            <w:hideMark/>
          </w:tcPr>
          <w:p w14:paraId="622E833B" w14:textId="77777777" w:rsidR="00BF5974" w:rsidRPr="00105286" w:rsidRDefault="00BF5974">
            <w:pPr>
              <w:spacing w:line="256" w:lineRule="auto"/>
              <w:jc w:val="left"/>
              <w:rPr>
                <w:rFonts w:eastAsia="Times New Roman" w:cs="Arial"/>
                <w:b/>
                <w:bCs/>
                <w:sz w:val="18"/>
                <w:szCs w:val="18"/>
                <w:lang w:val="es-ES" w:eastAsia="en-US"/>
              </w:rPr>
            </w:pPr>
            <w:r w:rsidRPr="00105286">
              <w:rPr>
                <w:rFonts w:eastAsia="Times New Roman" w:cs="Arial"/>
                <w:b/>
                <w:bCs/>
                <w:sz w:val="18"/>
                <w:szCs w:val="18"/>
                <w:lang w:val="es-ES" w:eastAsia="en-US"/>
              </w:rPr>
              <w:t>Secretaría de Salud.</w:t>
            </w:r>
          </w:p>
        </w:tc>
        <w:tc>
          <w:tcPr>
            <w:tcW w:w="1420" w:type="dxa"/>
            <w:tcBorders>
              <w:top w:val="nil"/>
              <w:left w:val="nil"/>
              <w:bottom w:val="single" w:sz="4" w:space="0" w:color="auto"/>
              <w:right w:val="single" w:sz="4" w:space="0" w:color="auto"/>
            </w:tcBorders>
            <w:noWrap/>
            <w:hideMark/>
          </w:tcPr>
          <w:p w14:paraId="2D6D6067"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w:t>
            </w:r>
          </w:p>
        </w:tc>
      </w:tr>
      <w:tr w:rsidR="00BF5974" w14:paraId="22CF6DAF"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2DC92AA1"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040105016</w:t>
            </w:r>
          </w:p>
        </w:tc>
        <w:tc>
          <w:tcPr>
            <w:tcW w:w="6244" w:type="dxa"/>
            <w:tcBorders>
              <w:top w:val="nil"/>
              <w:left w:val="nil"/>
              <w:bottom w:val="single" w:sz="4" w:space="0" w:color="auto"/>
              <w:right w:val="single" w:sz="4" w:space="0" w:color="auto"/>
            </w:tcBorders>
            <w:noWrap/>
            <w:vAlign w:val="center"/>
            <w:hideMark/>
          </w:tcPr>
          <w:p w14:paraId="19753643"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Comisión Estatal de Conciliación y Arbitraje Médico de Colima.</w:t>
            </w:r>
          </w:p>
        </w:tc>
        <w:tc>
          <w:tcPr>
            <w:tcW w:w="1420" w:type="dxa"/>
            <w:tcBorders>
              <w:top w:val="nil"/>
              <w:left w:val="nil"/>
              <w:bottom w:val="single" w:sz="4" w:space="0" w:color="auto"/>
              <w:right w:val="single" w:sz="4" w:space="0" w:color="auto"/>
            </w:tcBorders>
            <w:noWrap/>
            <w:hideMark/>
          </w:tcPr>
          <w:p w14:paraId="40AF5EAA"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1,362,960 </w:t>
            </w:r>
          </w:p>
        </w:tc>
      </w:tr>
      <w:tr w:rsidR="00BF5974" w14:paraId="3F5D5FF0"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0AAFA8D2"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040105017</w:t>
            </w:r>
          </w:p>
        </w:tc>
        <w:tc>
          <w:tcPr>
            <w:tcW w:w="6244" w:type="dxa"/>
            <w:tcBorders>
              <w:top w:val="nil"/>
              <w:left w:val="nil"/>
              <w:bottom w:val="single" w:sz="4" w:space="0" w:color="auto"/>
              <w:right w:val="single" w:sz="4" w:space="0" w:color="auto"/>
            </w:tcBorders>
            <w:noWrap/>
            <w:vAlign w:val="center"/>
            <w:hideMark/>
          </w:tcPr>
          <w:p w14:paraId="0FEC3664"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Consejo Estatal para la Prevención y Control de Accidentes.</w:t>
            </w:r>
          </w:p>
        </w:tc>
        <w:tc>
          <w:tcPr>
            <w:tcW w:w="1420" w:type="dxa"/>
            <w:tcBorders>
              <w:top w:val="nil"/>
              <w:left w:val="nil"/>
              <w:bottom w:val="single" w:sz="4" w:space="0" w:color="auto"/>
              <w:right w:val="single" w:sz="4" w:space="0" w:color="auto"/>
            </w:tcBorders>
            <w:noWrap/>
            <w:hideMark/>
          </w:tcPr>
          <w:p w14:paraId="73EF5359" w14:textId="77777777" w:rsidR="00BF5974" w:rsidRPr="00105286" w:rsidRDefault="00BF5974">
            <w:pPr>
              <w:spacing w:line="256" w:lineRule="auto"/>
              <w:jc w:val="right"/>
              <w:rPr>
                <w:rFonts w:cs="Arial"/>
                <w:sz w:val="20"/>
                <w:szCs w:val="20"/>
                <w:lang w:val="es-ES" w:eastAsia="en-US"/>
              </w:rPr>
            </w:pPr>
            <w:r w:rsidRPr="00105286">
              <w:rPr>
                <w:sz w:val="20"/>
                <w:szCs w:val="20"/>
                <w:lang w:val="es-ES" w:eastAsia="en-US"/>
              </w:rPr>
              <w:t xml:space="preserve"> 67,000 </w:t>
            </w:r>
          </w:p>
        </w:tc>
      </w:tr>
      <w:tr w:rsidR="00BF5974" w14:paraId="0CA35B89"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7C365586"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040105021</w:t>
            </w:r>
          </w:p>
        </w:tc>
        <w:tc>
          <w:tcPr>
            <w:tcW w:w="6244" w:type="dxa"/>
            <w:tcBorders>
              <w:top w:val="nil"/>
              <w:left w:val="nil"/>
              <w:bottom w:val="single" w:sz="4" w:space="0" w:color="auto"/>
              <w:right w:val="single" w:sz="4" w:space="0" w:color="auto"/>
            </w:tcBorders>
            <w:noWrap/>
            <w:vAlign w:val="center"/>
            <w:hideMark/>
          </w:tcPr>
          <w:p w14:paraId="4B7BDFA1"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Consejo Estatal de Salud Mental y Adicciones.</w:t>
            </w:r>
          </w:p>
        </w:tc>
        <w:tc>
          <w:tcPr>
            <w:tcW w:w="1420" w:type="dxa"/>
            <w:tcBorders>
              <w:top w:val="nil"/>
              <w:left w:val="nil"/>
              <w:bottom w:val="single" w:sz="4" w:space="0" w:color="auto"/>
              <w:right w:val="single" w:sz="4" w:space="0" w:color="auto"/>
            </w:tcBorders>
            <w:noWrap/>
            <w:hideMark/>
          </w:tcPr>
          <w:p w14:paraId="6A3EF755" w14:textId="77777777" w:rsidR="00BF5974" w:rsidRPr="00105286" w:rsidRDefault="00BF5974">
            <w:pPr>
              <w:spacing w:line="256" w:lineRule="auto"/>
              <w:jc w:val="right"/>
              <w:rPr>
                <w:rFonts w:cs="Arial"/>
                <w:sz w:val="20"/>
                <w:szCs w:val="20"/>
                <w:lang w:val="es-ES" w:eastAsia="en-US"/>
              </w:rPr>
            </w:pPr>
            <w:r w:rsidRPr="00105286">
              <w:rPr>
                <w:sz w:val="20"/>
                <w:szCs w:val="20"/>
                <w:lang w:val="es-ES" w:eastAsia="en-US"/>
              </w:rPr>
              <w:t xml:space="preserve"> 300,000 </w:t>
            </w:r>
          </w:p>
        </w:tc>
      </w:tr>
      <w:tr w:rsidR="00BF5974" w14:paraId="5ED94341"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71FB6092" w14:textId="77777777" w:rsidR="00BF5974" w:rsidRPr="00105286" w:rsidRDefault="00BF5974">
            <w:pPr>
              <w:spacing w:line="256" w:lineRule="auto"/>
              <w:jc w:val="center"/>
              <w:rPr>
                <w:rFonts w:eastAsia="Times New Roman" w:cs="Arial"/>
                <w:b/>
                <w:bCs/>
                <w:sz w:val="18"/>
                <w:szCs w:val="18"/>
                <w:lang w:val="es-ES" w:eastAsia="en-US"/>
              </w:rPr>
            </w:pPr>
            <w:r w:rsidRPr="00105286">
              <w:rPr>
                <w:rFonts w:eastAsia="Times New Roman" w:cs="Arial"/>
                <w:b/>
                <w:bCs/>
                <w:sz w:val="18"/>
                <w:szCs w:val="18"/>
                <w:lang w:val="es-ES" w:eastAsia="en-US"/>
              </w:rPr>
              <w:t> </w:t>
            </w:r>
          </w:p>
        </w:tc>
        <w:tc>
          <w:tcPr>
            <w:tcW w:w="6244" w:type="dxa"/>
            <w:tcBorders>
              <w:top w:val="nil"/>
              <w:left w:val="nil"/>
              <w:bottom w:val="single" w:sz="4" w:space="0" w:color="auto"/>
              <w:right w:val="single" w:sz="4" w:space="0" w:color="auto"/>
            </w:tcBorders>
            <w:noWrap/>
            <w:vAlign w:val="center"/>
            <w:hideMark/>
          </w:tcPr>
          <w:p w14:paraId="53B4BE05" w14:textId="77777777" w:rsidR="00BF5974" w:rsidRPr="00105286" w:rsidRDefault="00BF5974">
            <w:pPr>
              <w:spacing w:line="256" w:lineRule="auto"/>
              <w:jc w:val="left"/>
              <w:rPr>
                <w:rFonts w:eastAsia="Times New Roman" w:cs="Arial"/>
                <w:b/>
                <w:bCs/>
                <w:sz w:val="18"/>
                <w:szCs w:val="18"/>
                <w:lang w:val="es-ES" w:eastAsia="en-US"/>
              </w:rPr>
            </w:pPr>
            <w:r w:rsidRPr="00105286">
              <w:rPr>
                <w:rFonts w:eastAsia="Times New Roman" w:cs="Arial"/>
                <w:b/>
                <w:bCs/>
                <w:sz w:val="18"/>
                <w:szCs w:val="18"/>
                <w:lang w:val="es-ES" w:eastAsia="en-US"/>
              </w:rPr>
              <w:t>Secretaría de Desarrollo Económico.</w:t>
            </w:r>
          </w:p>
        </w:tc>
        <w:tc>
          <w:tcPr>
            <w:tcW w:w="1420" w:type="dxa"/>
            <w:tcBorders>
              <w:top w:val="nil"/>
              <w:left w:val="nil"/>
              <w:bottom w:val="single" w:sz="4" w:space="0" w:color="auto"/>
              <w:right w:val="single" w:sz="4" w:space="0" w:color="auto"/>
            </w:tcBorders>
            <w:noWrap/>
            <w:hideMark/>
          </w:tcPr>
          <w:p w14:paraId="57EA9EC1"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w:t>
            </w:r>
          </w:p>
        </w:tc>
      </w:tr>
      <w:tr w:rsidR="00BF5974" w14:paraId="563600A8"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4FF5F917"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040105010</w:t>
            </w:r>
          </w:p>
        </w:tc>
        <w:tc>
          <w:tcPr>
            <w:tcW w:w="6244" w:type="dxa"/>
            <w:tcBorders>
              <w:top w:val="nil"/>
              <w:left w:val="nil"/>
              <w:bottom w:val="single" w:sz="4" w:space="0" w:color="auto"/>
              <w:right w:val="single" w:sz="4" w:space="0" w:color="auto"/>
            </w:tcBorders>
            <w:noWrap/>
            <w:vAlign w:val="center"/>
            <w:hideMark/>
          </w:tcPr>
          <w:p w14:paraId="2A61D773"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Centro de Conciliación Laboral del Estado de Colima.</w:t>
            </w:r>
          </w:p>
        </w:tc>
        <w:tc>
          <w:tcPr>
            <w:tcW w:w="1420" w:type="dxa"/>
            <w:tcBorders>
              <w:top w:val="nil"/>
              <w:left w:val="nil"/>
              <w:bottom w:val="single" w:sz="4" w:space="0" w:color="auto"/>
              <w:right w:val="single" w:sz="4" w:space="0" w:color="auto"/>
            </w:tcBorders>
            <w:noWrap/>
            <w:hideMark/>
          </w:tcPr>
          <w:p w14:paraId="0693266E"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10,400,000 </w:t>
            </w:r>
          </w:p>
        </w:tc>
      </w:tr>
      <w:tr w:rsidR="00BF5974" w14:paraId="3E647401"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70C41DCC" w14:textId="77777777" w:rsidR="00BF5974" w:rsidRPr="00105286" w:rsidRDefault="00BF5974">
            <w:pPr>
              <w:spacing w:line="256" w:lineRule="auto"/>
              <w:jc w:val="center"/>
              <w:rPr>
                <w:rFonts w:eastAsia="Times New Roman" w:cs="Arial"/>
                <w:b/>
                <w:bCs/>
                <w:sz w:val="18"/>
                <w:szCs w:val="18"/>
                <w:lang w:val="es-ES" w:eastAsia="en-US"/>
              </w:rPr>
            </w:pPr>
            <w:r w:rsidRPr="00105286">
              <w:rPr>
                <w:rFonts w:eastAsia="Times New Roman" w:cs="Arial"/>
                <w:b/>
                <w:bCs/>
                <w:sz w:val="18"/>
                <w:szCs w:val="18"/>
                <w:lang w:val="es-ES" w:eastAsia="en-US"/>
              </w:rPr>
              <w:lastRenderedPageBreak/>
              <w:t> </w:t>
            </w:r>
          </w:p>
        </w:tc>
        <w:tc>
          <w:tcPr>
            <w:tcW w:w="6244" w:type="dxa"/>
            <w:tcBorders>
              <w:top w:val="nil"/>
              <w:left w:val="nil"/>
              <w:bottom w:val="single" w:sz="4" w:space="0" w:color="auto"/>
              <w:right w:val="single" w:sz="4" w:space="0" w:color="auto"/>
            </w:tcBorders>
            <w:noWrap/>
            <w:vAlign w:val="center"/>
            <w:hideMark/>
          </w:tcPr>
          <w:p w14:paraId="2EB8031C" w14:textId="77777777" w:rsidR="00BF5974" w:rsidRPr="00105286" w:rsidRDefault="00BF5974">
            <w:pPr>
              <w:spacing w:line="256" w:lineRule="auto"/>
              <w:jc w:val="left"/>
              <w:rPr>
                <w:rFonts w:eastAsia="Times New Roman" w:cs="Arial"/>
                <w:b/>
                <w:bCs/>
                <w:sz w:val="18"/>
                <w:szCs w:val="18"/>
                <w:lang w:val="es-ES" w:eastAsia="en-US"/>
              </w:rPr>
            </w:pPr>
            <w:r w:rsidRPr="00105286">
              <w:rPr>
                <w:rFonts w:eastAsia="Times New Roman" w:cs="Arial"/>
                <w:b/>
                <w:bCs/>
                <w:sz w:val="18"/>
                <w:szCs w:val="18"/>
                <w:lang w:val="es-ES" w:eastAsia="en-US"/>
              </w:rPr>
              <w:t>Transferencias, Asignaciones, Subsidios y Otras Ayudas.</w:t>
            </w:r>
          </w:p>
        </w:tc>
        <w:tc>
          <w:tcPr>
            <w:tcW w:w="1420" w:type="dxa"/>
            <w:tcBorders>
              <w:top w:val="nil"/>
              <w:left w:val="nil"/>
              <w:bottom w:val="single" w:sz="4" w:space="0" w:color="auto"/>
              <w:right w:val="single" w:sz="4" w:space="0" w:color="auto"/>
            </w:tcBorders>
            <w:noWrap/>
            <w:hideMark/>
          </w:tcPr>
          <w:p w14:paraId="645C2781"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w:t>
            </w:r>
          </w:p>
        </w:tc>
      </w:tr>
      <w:tr w:rsidR="00BF5974" w14:paraId="7760412A"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2EC312AC"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040105007</w:t>
            </w:r>
          </w:p>
        </w:tc>
        <w:tc>
          <w:tcPr>
            <w:tcW w:w="6244" w:type="dxa"/>
            <w:tcBorders>
              <w:top w:val="nil"/>
              <w:left w:val="nil"/>
              <w:bottom w:val="single" w:sz="4" w:space="0" w:color="auto"/>
              <w:right w:val="single" w:sz="4" w:space="0" w:color="auto"/>
            </w:tcBorders>
            <w:noWrap/>
            <w:vAlign w:val="center"/>
            <w:hideMark/>
          </w:tcPr>
          <w:p w14:paraId="0CB00ED4"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Junta de Asistencia Privada.</w:t>
            </w:r>
          </w:p>
        </w:tc>
        <w:tc>
          <w:tcPr>
            <w:tcW w:w="1420" w:type="dxa"/>
            <w:tcBorders>
              <w:top w:val="nil"/>
              <w:left w:val="nil"/>
              <w:bottom w:val="single" w:sz="4" w:space="0" w:color="auto"/>
              <w:right w:val="single" w:sz="4" w:space="0" w:color="auto"/>
            </w:tcBorders>
            <w:noWrap/>
            <w:hideMark/>
          </w:tcPr>
          <w:p w14:paraId="59359349"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2,567,344 </w:t>
            </w:r>
          </w:p>
        </w:tc>
      </w:tr>
      <w:tr w:rsidR="00BF5974" w14:paraId="28108B8F"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center"/>
            <w:hideMark/>
          </w:tcPr>
          <w:p w14:paraId="42B0ECCE"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040105037</w:t>
            </w:r>
          </w:p>
        </w:tc>
        <w:tc>
          <w:tcPr>
            <w:tcW w:w="6244" w:type="dxa"/>
            <w:tcBorders>
              <w:top w:val="nil"/>
              <w:left w:val="nil"/>
              <w:bottom w:val="single" w:sz="4" w:space="0" w:color="auto"/>
              <w:right w:val="single" w:sz="4" w:space="0" w:color="auto"/>
            </w:tcBorders>
            <w:noWrap/>
            <w:vAlign w:val="center"/>
            <w:hideMark/>
          </w:tcPr>
          <w:p w14:paraId="1879811E"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Secretaría Ejecutiva del Sistema Anticorrupción del Estado de Colima.</w:t>
            </w:r>
          </w:p>
        </w:tc>
        <w:tc>
          <w:tcPr>
            <w:tcW w:w="1420" w:type="dxa"/>
            <w:tcBorders>
              <w:top w:val="nil"/>
              <w:left w:val="nil"/>
              <w:bottom w:val="single" w:sz="4" w:space="0" w:color="auto"/>
              <w:right w:val="single" w:sz="4" w:space="0" w:color="auto"/>
            </w:tcBorders>
            <w:noWrap/>
            <w:hideMark/>
          </w:tcPr>
          <w:p w14:paraId="085B0D0E" w14:textId="77777777" w:rsidR="00BF5974" w:rsidRPr="00105286" w:rsidRDefault="00BF5974">
            <w:pPr>
              <w:spacing w:line="256" w:lineRule="auto"/>
              <w:jc w:val="right"/>
              <w:rPr>
                <w:rFonts w:eastAsia="Times New Roman" w:cs="Arial"/>
                <w:sz w:val="20"/>
                <w:szCs w:val="20"/>
                <w:lang w:val="es-ES" w:eastAsia="en-US"/>
              </w:rPr>
            </w:pPr>
            <w:r w:rsidRPr="00105286">
              <w:rPr>
                <w:sz w:val="20"/>
                <w:szCs w:val="20"/>
                <w:lang w:val="es-ES" w:eastAsia="en-US"/>
              </w:rPr>
              <w:t xml:space="preserve"> 5,171,500 </w:t>
            </w:r>
          </w:p>
        </w:tc>
      </w:tr>
      <w:tr w:rsidR="00BF5974" w14:paraId="07D196C9" w14:textId="77777777" w:rsidTr="00BF5974">
        <w:trPr>
          <w:trHeight w:val="20"/>
          <w:jc w:val="center"/>
        </w:trPr>
        <w:tc>
          <w:tcPr>
            <w:tcW w:w="1041" w:type="dxa"/>
            <w:tcBorders>
              <w:top w:val="nil"/>
              <w:left w:val="single" w:sz="4" w:space="0" w:color="auto"/>
              <w:bottom w:val="single" w:sz="4" w:space="0" w:color="auto"/>
              <w:right w:val="single" w:sz="4" w:space="0" w:color="auto"/>
            </w:tcBorders>
            <w:noWrap/>
            <w:vAlign w:val="bottom"/>
            <w:hideMark/>
          </w:tcPr>
          <w:p w14:paraId="1DC6ACA4" w14:textId="77777777" w:rsidR="00BF5974" w:rsidRPr="00105286" w:rsidRDefault="00BF5974">
            <w:pPr>
              <w:spacing w:line="256" w:lineRule="auto"/>
              <w:jc w:val="left"/>
              <w:rPr>
                <w:rFonts w:eastAsia="Times New Roman" w:cs="Arial"/>
                <w:sz w:val="18"/>
                <w:szCs w:val="18"/>
                <w:lang w:val="es-ES" w:eastAsia="en-US"/>
              </w:rPr>
            </w:pPr>
            <w:r w:rsidRPr="00105286">
              <w:rPr>
                <w:rFonts w:eastAsia="Times New Roman" w:cs="Arial"/>
                <w:sz w:val="18"/>
                <w:szCs w:val="18"/>
                <w:lang w:val="es-ES" w:eastAsia="en-US"/>
              </w:rPr>
              <w:t> </w:t>
            </w:r>
          </w:p>
        </w:tc>
        <w:tc>
          <w:tcPr>
            <w:tcW w:w="6244" w:type="dxa"/>
            <w:tcBorders>
              <w:top w:val="nil"/>
              <w:left w:val="nil"/>
              <w:bottom w:val="single" w:sz="4" w:space="0" w:color="auto"/>
              <w:right w:val="single" w:sz="4" w:space="0" w:color="auto"/>
            </w:tcBorders>
            <w:noWrap/>
            <w:vAlign w:val="center"/>
            <w:hideMark/>
          </w:tcPr>
          <w:p w14:paraId="69D9D230" w14:textId="77777777" w:rsidR="00BF5974" w:rsidRPr="00105286" w:rsidRDefault="00BF5974">
            <w:pPr>
              <w:spacing w:line="256" w:lineRule="auto"/>
              <w:jc w:val="center"/>
              <w:rPr>
                <w:rFonts w:eastAsia="Times New Roman" w:cs="Arial"/>
                <w:b/>
                <w:bCs/>
                <w:sz w:val="18"/>
                <w:szCs w:val="18"/>
                <w:lang w:val="es-ES" w:eastAsia="en-US"/>
              </w:rPr>
            </w:pPr>
            <w:r w:rsidRPr="00105286">
              <w:rPr>
                <w:rFonts w:eastAsia="Times New Roman" w:cs="Arial"/>
                <w:b/>
                <w:bCs/>
                <w:sz w:val="18"/>
                <w:szCs w:val="18"/>
                <w:lang w:val="es-ES" w:eastAsia="en-US"/>
              </w:rPr>
              <w:t>Total</w:t>
            </w:r>
          </w:p>
        </w:tc>
        <w:tc>
          <w:tcPr>
            <w:tcW w:w="1420" w:type="dxa"/>
            <w:tcBorders>
              <w:top w:val="nil"/>
              <w:left w:val="nil"/>
              <w:bottom w:val="single" w:sz="4" w:space="0" w:color="auto"/>
              <w:right w:val="single" w:sz="4" w:space="0" w:color="auto"/>
            </w:tcBorders>
            <w:noWrap/>
            <w:vAlign w:val="center"/>
            <w:hideMark/>
          </w:tcPr>
          <w:p w14:paraId="646167A2" w14:textId="77777777" w:rsidR="00BF5974" w:rsidRPr="00105286" w:rsidRDefault="00BF5974">
            <w:pPr>
              <w:spacing w:line="256" w:lineRule="auto"/>
              <w:jc w:val="right"/>
              <w:rPr>
                <w:rFonts w:eastAsia="Times New Roman" w:cs="Arial"/>
                <w:b/>
                <w:bCs/>
                <w:sz w:val="18"/>
                <w:szCs w:val="18"/>
                <w:lang w:val="es-ES" w:eastAsia="en-US"/>
              </w:rPr>
            </w:pPr>
            <w:r w:rsidRPr="00105286">
              <w:rPr>
                <w:rFonts w:cs="Arial"/>
                <w:b/>
                <w:bCs/>
                <w:sz w:val="18"/>
                <w:szCs w:val="18"/>
                <w:lang w:val="es-ES" w:eastAsia="en-US"/>
              </w:rPr>
              <w:t xml:space="preserve">1,291,737,179 </w:t>
            </w:r>
          </w:p>
        </w:tc>
      </w:tr>
    </w:tbl>
    <w:p w14:paraId="0E9243D6" w14:textId="77777777" w:rsidR="00BF5974" w:rsidRDefault="00BF5974" w:rsidP="00BF5974">
      <w:pPr>
        <w:ind w:left="142"/>
        <w:rPr>
          <w:rFonts w:cs="Arial"/>
          <w:sz w:val="15"/>
          <w:szCs w:val="15"/>
          <w:lang w:val="es-ES"/>
        </w:rPr>
      </w:pPr>
      <w:r>
        <w:rPr>
          <w:rFonts w:cs="Arial"/>
          <w:b/>
          <w:sz w:val="15"/>
          <w:szCs w:val="15"/>
          <w:lang w:val="es-ES"/>
        </w:rPr>
        <w:t>Nota</w:t>
      </w:r>
      <w:r>
        <w:rPr>
          <w:rFonts w:cs="Arial"/>
          <w:sz w:val="15"/>
          <w:szCs w:val="15"/>
          <w:lang w:val="es-ES"/>
        </w:rPr>
        <w:t xml:space="preserve">: El monto de </w:t>
      </w:r>
      <w:r>
        <w:rPr>
          <w:rFonts w:eastAsiaTheme="minorHAnsi" w:cs="Arial"/>
          <w:color w:val="000000"/>
          <w:sz w:val="15"/>
          <w:szCs w:val="15"/>
          <w:lang w:eastAsia="en-US"/>
        </w:rPr>
        <w:t>040101011 Instituto Superior de Educación Normal del Estado de Colima</w:t>
      </w:r>
      <w:r>
        <w:rPr>
          <w:rFonts w:cs="Arial"/>
          <w:sz w:val="15"/>
          <w:szCs w:val="15"/>
          <w:lang w:val="es-ES"/>
        </w:rPr>
        <w:t xml:space="preserve"> solo refleja el gasto operativo.</w:t>
      </w:r>
    </w:p>
    <w:p w14:paraId="1C411FAB" w14:textId="77777777" w:rsidR="00BF5974" w:rsidRDefault="00BF5974" w:rsidP="00BF5974">
      <w:pPr>
        <w:rPr>
          <w:rFonts w:eastAsia="Times New Roman" w:cs="Arial"/>
          <w:lang w:val="es-ES"/>
        </w:rPr>
      </w:pPr>
    </w:p>
    <w:p w14:paraId="09689C12" w14:textId="77777777" w:rsidR="00BF5974" w:rsidRDefault="00BF5974" w:rsidP="00BF5974">
      <w:pPr>
        <w:rPr>
          <w:rFonts w:cs="Arial"/>
          <w:lang w:val="es-ES"/>
        </w:rPr>
      </w:pPr>
      <w:r>
        <w:rPr>
          <w:rFonts w:eastAsia="Times New Roman" w:cs="Arial"/>
          <w:lang w:val="es-ES"/>
        </w:rPr>
        <w:t xml:space="preserve">En el </w:t>
      </w:r>
      <w:bookmarkStart w:id="113" w:name="_Hlk117529082"/>
      <w:r>
        <w:rPr>
          <w:rFonts w:eastAsia="Times New Roman" w:cs="Arial"/>
          <w:b/>
          <w:lang w:val="es-ES"/>
        </w:rPr>
        <w:t xml:space="preserve">Anexo </w:t>
      </w:r>
      <w:r>
        <w:rPr>
          <w:rFonts w:eastAsia="Times New Roman" w:cs="Arial"/>
          <w:b/>
        </w:rPr>
        <w:t>6</w:t>
      </w:r>
      <w:r>
        <w:rPr>
          <w:rFonts w:eastAsia="Times New Roman" w:cs="Arial"/>
        </w:rPr>
        <w:t xml:space="preserve"> se presenta la </w:t>
      </w:r>
      <w:r>
        <w:rPr>
          <w:rFonts w:cs="Arial"/>
          <w:bCs/>
          <w:lang w:val="es-ES"/>
        </w:rPr>
        <w:t>Clasificación por Objeto de Gasto a nivel Capítulo, Programa Presupuestario y Proyecto de la Administración Pública Paraestatal</w:t>
      </w:r>
      <w:bookmarkEnd w:id="113"/>
      <w:r>
        <w:rPr>
          <w:rFonts w:cs="Arial"/>
          <w:lang w:val="es-ES"/>
        </w:rPr>
        <w:t xml:space="preserve">, organizado de la siguiente manera: </w:t>
      </w:r>
    </w:p>
    <w:p w14:paraId="0D3813D1" w14:textId="77777777" w:rsidR="00BF5974" w:rsidRDefault="00BF5974" w:rsidP="00BF5974">
      <w:pPr>
        <w:rPr>
          <w:rFonts w:cs="Arial"/>
          <w:lang w:val="es-ES"/>
        </w:rPr>
      </w:pPr>
    </w:p>
    <w:tbl>
      <w:tblPr>
        <w:tblW w:w="8642" w:type="dxa"/>
        <w:jc w:val="center"/>
        <w:tblCellMar>
          <w:left w:w="70" w:type="dxa"/>
          <w:right w:w="70" w:type="dxa"/>
        </w:tblCellMar>
        <w:tblLook w:val="04A0" w:firstRow="1" w:lastRow="0" w:firstColumn="1" w:lastColumn="0" w:noHBand="0" w:noVBand="1"/>
      </w:tblPr>
      <w:tblGrid>
        <w:gridCol w:w="1200"/>
        <w:gridCol w:w="7442"/>
      </w:tblGrid>
      <w:tr w:rsidR="00BF5974" w14:paraId="3ECC3A8C" w14:textId="77777777" w:rsidTr="00BF5974">
        <w:trPr>
          <w:trHeight w:val="20"/>
          <w:jc w:val="center"/>
        </w:trPr>
        <w:tc>
          <w:tcPr>
            <w:tcW w:w="1200" w:type="dxa"/>
            <w:noWrap/>
            <w:vAlign w:val="center"/>
            <w:hideMark/>
          </w:tcPr>
          <w:p w14:paraId="3B5CF206" w14:textId="77777777" w:rsidR="00BF5974" w:rsidRDefault="00BF5974">
            <w:pPr>
              <w:spacing w:line="256" w:lineRule="auto"/>
              <w:jc w:val="left"/>
              <w:rPr>
                <w:rFonts w:eastAsia="Times New Roman" w:cs="Arial"/>
                <w:b/>
                <w:bCs/>
                <w:sz w:val="20"/>
                <w:szCs w:val="20"/>
                <w:lang w:val="es-ES" w:eastAsia="en-US"/>
              </w:rPr>
            </w:pPr>
            <w:bookmarkStart w:id="114" w:name="RANGE!E5"/>
            <w:bookmarkStart w:id="115" w:name="_Hlk117529067"/>
            <w:r>
              <w:rPr>
                <w:rFonts w:eastAsia="Times New Roman" w:cs="Arial"/>
                <w:b/>
                <w:bCs/>
                <w:sz w:val="20"/>
                <w:szCs w:val="20"/>
                <w:lang w:val="es-ES" w:eastAsia="en-US"/>
              </w:rPr>
              <w:t>Anexo 6.1</w:t>
            </w:r>
            <w:bookmarkEnd w:id="114"/>
          </w:p>
        </w:tc>
        <w:tc>
          <w:tcPr>
            <w:tcW w:w="7442" w:type="dxa"/>
            <w:noWrap/>
            <w:vAlign w:val="center"/>
            <w:hideMark/>
          </w:tcPr>
          <w:p w14:paraId="77BD9363"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Centro Estatal para la Prevención y Atención a la Violencia Familiar.</w:t>
            </w:r>
          </w:p>
        </w:tc>
      </w:tr>
      <w:tr w:rsidR="00BF5974" w14:paraId="1AF60E59" w14:textId="77777777" w:rsidTr="00BF5974">
        <w:trPr>
          <w:trHeight w:val="20"/>
          <w:jc w:val="center"/>
        </w:trPr>
        <w:tc>
          <w:tcPr>
            <w:tcW w:w="1200" w:type="dxa"/>
            <w:noWrap/>
            <w:vAlign w:val="center"/>
            <w:hideMark/>
          </w:tcPr>
          <w:p w14:paraId="3BEED0D2" w14:textId="77777777" w:rsidR="00BF5974" w:rsidRDefault="00BF5974">
            <w:pPr>
              <w:spacing w:line="256" w:lineRule="auto"/>
              <w:jc w:val="left"/>
              <w:rPr>
                <w:rFonts w:eastAsia="Times New Roman" w:cs="Arial"/>
                <w:b/>
                <w:bCs/>
                <w:sz w:val="20"/>
                <w:szCs w:val="20"/>
                <w:lang w:val="es-ES" w:eastAsia="en-US"/>
              </w:rPr>
            </w:pPr>
            <w:bookmarkStart w:id="116" w:name="_Hlk87635237" w:colFirst="0" w:colLast="0"/>
            <w:r>
              <w:rPr>
                <w:rFonts w:eastAsia="Times New Roman" w:cs="Arial"/>
                <w:b/>
                <w:bCs/>
                <w:sz w:val="20"/>
                <w:szCs w:val="20"/>
                <w:lang w:val="es-ES" w:eastAsia="en-US"/>
              </w:rPr>
              <w:t>Anexo 6.2</w:t>
            </w:r>
          </w:p>
        </w:tc>
        <w:tc>
          <w:tcPr>
            <w:tcW w:w="7442" w:type="dxa"/>
            <w:noWrap/>
            <w:vAlign w:val="center"/>
            <w:hideMark/>
          </w:tcPr>
          <w:p w14:paraId="53CDD876"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Instituto para el Registro del Territorio del Estado de Colima.</w:t>
            </w:r>
          </w:p>
        </w:tc>
      </w:tr>
      <w:tr w:rsidR="00BF5974" w14:paraId="76F8AC1C" w14:textId="77777777" w:rsidTr="00BF5974">
        <w:trPr>
          <w:trHeight w:val="20"/>
          <w:jc w:val="center"/>
        </w:trPr>
        <w:tc>
          <w:tcPr>
            <w:tcW w:w="1200" w:type="dxa"/>
            <w:noWrap/>
            <w:vAlign w:val="center"/>
            <w:hideMark/>
          </w:tcPr>
          <w:p w14:paraId="6C9119E3"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6.3</w:t>
            </w:r>
          </w:p>
        </w:tc>
        <w:tc>
          <w:tcPr>
            <w:tcW w:w="7442" w:type="dxa"/>
            <w:noWrap/>
            <w:vAlign w:val="center"/>
            <w:hideMark/>
          </w:tcPr>
          <w:p w14:paraId="159B0417"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Procuraduría de Protección de Niñas, Niños y Adolescentes.</w:t>
            </w:r>
          </w:p>
        </w:tc>
      </w:tr>
      <w:tr w:rsidR="00BF5974" w14:paraId="4C87D5FA" w14:textId="77777777" w:rsidTr="00BF5974">
        <w:trPr>
          <w:trHeight w:val="20"/>
          <w:jc w:val="center"/>
        </w:trPr>
        <w:tc>
          <w:tcPr>
            <w:tcW w:w="1200" w:type="dxa"/>
            <w:noWrap/>
            <w:vAlign w:val="center"/>
            <w:hideMark/>
          </w:tcPr>
          <w:p w14:paraId="3CEFB27F"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6.4</w:t>
            </w:r>
          </w:p>
        </w:tc>
        <w:tc>
          <w:tcPr>
            <w:tcW w:w="7442" w:type="dxa"/>
            <w:noWrap/>
            <w:vAlign w:val="center"/>
            <w:hideMark/>
          </w:tcPr>
          <w:p w14:paraId="529F8395"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Unidad Estatal de Protección Civil.</w:t>
            </w:r>
          </w:p>
        </w:tc>
      </w:tr>
      <w:tr w:rsidR="00BF5974" w14:paraId="4BC8F279" w14:textId="77777777" w:rsidTr="00BF5974">
        <w:trPr>
          <w:trHeight w:val="20"/>
          <w:jc w:val="center"/>
        </w:trPr>
        <w:tc>
          <w:tcPr>
            <w:tcW w:w="1200" w:type="dxa"/>
            <w:noWrap/>
            <w:vAlign w:val="center"/>
            <w:hideMark/>
          </w:tcPr>
          <w:p w14:paraId="1228B269"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6.5</w:t>
            </w:r>
          </w:p>
        </w:tc>
        <w:tc>
          <w:tcPr>
            <w:tcW w:w="7442" w:type="dxa"/>
            <w:noWrap/>
            <w:vAlign w:val="center"/>
            <w:hideMark/>
          </w:tcPr>
          <w:p w14:paraId="3E5130C6"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Consejo de Participación Social del Estado de Colima.</w:t>
            </w:r>
          </w:p>
        </w:tc>
      </w:tr>
      <w:tr w:rsidR="00BF5974" w14:paraId="0D5D279B" w14:textId="77777777" w:rsidTr="00BF5974">
        <w:trPr>
          <w:trHeight w:val="20"/>
          <w:jc w:val="center"/>
        </w:trPr>
        <w:tc>
          <w:tcPr>
            <w:tcW w:w="1200" w:type="dxa"/>
            <w:noWrap/>
            <w:vAlign w:val="center"/>
            <w:hideMark/>
          </w:tcPr>
          <w:p w14:paraId="770ADDED"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6.6</w:t>
            </w:r>
          </w:p>
        </w:tc>
        <w:tc>
          <w:tcPr>
            <w:tcW w:w="7442" w:type="dxa"/>
            <w:noWrap/>
            <w:vAlign w:val="center"/>
            <w:hideMark/>
          </w:tcPr>
          <w:p w14:paraId="76F0C25B"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Instituto Colimense para la Sociedad de la Información y el Conocimiento.</w:t>
            </w:r>
          </w:p>
        </w:tc>
      </w:tr>
      <w:bookmarkEnd w:id="116"/>
      <w:tr w:rsidR="00BF5974" w14:paraId="4F7DCBC8" w14:textId="77777777" w:rsidTr="00BF5974">
        <w:trPr>
          <w:trHeight w:val="20"/>
          <w:jc w:val="center"/>
        </w:trPr>
        <w:tc>
          <w:tcPr>
            <w:tcW w:w="1200" w:type="dxa"/>
            <w:noWrap/>
            <w:vAlign w:val="center"/>
            <w:hideMark/>
          </w:tcPr>
          <w:p w14:paraId="49C5133D"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6.7</w:t>
            </w:r>
          </w:p>
        </w:tc>
        <w:tc>
          <w:tcPr>
            <w:tcW w:w="7442" w:type="dxa"/>
            <w:noWrap/>
            <w:vAlign w:val="center"/>
            <w:hideMark/>
          </w:tcPr>
          <w:p w14:paraId="287FF243"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Órgano de Gestión y Control del Patrimonio Inmobiliario del Estado de Colima.</w:t>
            </w:r>
          </w:p>
        </w:tc>
      </w:tr>
      <w:tr w:rsidR="00BF5974" w14:paraId="5B162C02" w14:textId="77777777" w:rsidTr="00BF5974">
        <w:trPr>
          <w:trHeight w:val="20"/>
          <w:jc w:val="center"/>
        </w:trPr>
        <w:tc>
          <w:tcPr>
            <w:tcW w:w="1200" w:type="dxa"/>
            <w:noWrap/>
            <w:vAlign w:val="center"/>
            <w:hideMark/>
          </w:tcPr>
          <w:p w14:paraId="27FF9086"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6.8</w:t>
            </w:r>
          </w:p>
        </w:tc>
        <w:tc>
          <w:tcPr>
            <w:tcW w:w="7442" w:type="dxa"/>
            <w:noWrap/>
            <w:vAlign w:val="center"/>
            <w:hideMark/>
          </w:tcPr>
          <w:p w14:paraId="1258287E"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Sistema para el Desarrollo Integral de la Familia del Estado de Colima.</w:t>
            </w:r>
          </w:p>
        </w:tc>
      </w:tr>
      <w:tr w:rsidR="00BF5974" w14:paraId="09EF85F3" w14:textId="77777777" w:rsidTr="00BF5974">
        <w:trPr>
          <w:trHeight w:val="20"/>
          <w:jc w:val="center"/>
        </w:trPr>
        <w:tc>
          <w:tcPr>
            <w:tcW w:w="1200" w:type="dxa"/>
            <w:noWrap/>
            <w:vAlign w:val="center"/>
            <w:hideMark/>
          </w:tcPr>
          <w:p w14:paraId="7CA33871"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6.9</w:t>
            </w:r>
          </w:p>
        </w:tc>
        <w:tc>
          <w:tcPr>
            <w:tcW w:w="7442" w:type="dxa"/>
            <w:noWrap/>
            <w:vAlign w:val="center"/>
            <w:hideMark/>
          </w:tcPr>
          <w:p w14:paraId="1CB94096"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Instituto para la Atención de los Adultos Mayores.</w:t>
            </w:r>
          </w:p>
        </w:tc>
      </w:tr>
      <w:tr w:rsidR="00BF5974" w14:paraId="78906253" w14:textId="77777777" w:rsidTr="00BF5974">
        <w:trPr>
          <w:trHeight w:val="20"/>
          <w:jc w:val="center"/>
        </w:trPr>
        <w:tc>
          <w:tcPr>
            <w:tcW w:w="1200" w:type="dxa"/>
            <w:noWrap/>
            <w:vAlign w:val="center"/>
            <w:hideMark/>
          </w:tcPr>
          <w:p w14:paraId="44F26B62"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6.10</w:t>
            </w:r>
          </w:p>
        </w:tc>
        <w:tc>
          <w:tcPr>
            <w:tcW w:w="7442" w:type="dxa"/>
            <w:noWrap/>
            <w:vAlign w:val="center"/>
            <w:hideMark/>
          </w:tcPr>
          <w:p w14:paraId="230E599B"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Instituto Colimense para la Discapacidad.</w:t>
            </w:r>
          </w:p>
        </w:tc>
      </w:tr>
      <w:tr w:rsidR="00BF5974" w14:paraId="495956C3" w14:textId="77777777" w:rsidTr="00BF5974">
        <w:trPr>
          <w:trHeight w:val="20"/>
          <w:jc w:val="center"/>
        </w:trPr>
        <w:tc>
          <w:tcPr>
            <w:tcW w:w="1200" w:type="dxa"/>
            <w:noWrap/>
            <w:vAlign w:val="center"/>
            <w:hideMark/>
          </w:tcPr>
          <w:p w14:paraId="5619143F"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6.11</w:t>
            </w:r>
          </w:p>
        </w:tc>
        <w:tc>
          <w:tcPr>
            <w:tcW w:w="7442" w:type="dxa"/>
            <w:noWrap/>
            <w:vAlign w:val="center"/>
            <w:hideMark/>
          </w:tcPr>
          <w:p w14:paraId="1B2A85BD"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Instituto Colimense de las Mujeres.</w:t>
            </w:r>
          </w:p>
        </w:tc>
      </w:tr>
      <w:tr w:rsidR="00BF5974" w14:paraId="765AB644" w14:textId="77777777" w:rsidTr="00BF5974">
        <w:trPr>
          <w:trHeight w:val="20"/>
          <w:jc w:val="center"/>
        </w:trPr>
        <w:tc>
          <w:tcPr>
            <w:tcW w:w="1200" w:type="dxa"/>
            <w:noWrap/>
            <w:vAlign w:val="center"/>
            <w:hideMark/>
          </w:tcPr>
          <w:p w14:paraId="03624C0A"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6.12</w:t>
            </w:r>
          </w:p>
        </w:tc>
        <w:tc>
          <w:tcPr>
            <w:tcW w:w="7442" w:type="dxa"/>
            <w:noWrap/>
            <w:vAlign w:val="center"/>
            <w:hideMark/>
          </w:tcPr>
          <w:p w14:paraId="6D0BBCE6"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Comisión Estatal del Agua de Colima.</w:t>
            </w:r>
          </w:p>
        </w:tc>
      </w:tr>
      <w:tr w:rsidR="00BF5974" w14:paraId="1C6983A8" w14:textId="77777777" w:rsidTr="00BF5974">
        <w:trPr>
          <w:trHeight w:val="20"/>
          <w:jc w:val="center"/>
        </w:trPr>
        <w:tc>
          <w:tcPr>
            <w:tcW w:w="1200" w:type="dxa"/>
            <w:noWrap/>
            <w:vAlign w:val="center"/>
            <w:hideMark/>
          </w:tcPr>
          <w:p w14:paraId="110F5281"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6.13</w:t>
            </w:r>
          </w:p>
        </w:tc>
        <w:tc>
          <w:tcPr>
            <w:tcW w:w="7442" w:type="dxa"/>
            <w:noWrap/>
            <w:vAlign w:val="center"/>
            <w:hideMark/>
          </w:tcPr>
          <w:p w14:paraId="13DCE5D3"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Instituto para el Medio Ambiente y Desarrollo Sustentable.</w:t>
            </w:r>
          </w:p>
        </w:tc>
      </w:tr>
      <w:tr w:rsidR="00BF5974" w14:paraId="09F7C4AB" w14:textId="77777777" w:rsidTr="00BF5974">
        <w:trPr>
          <w:trHeight w:val="20"/>
          <w:jc w:val="center"/>
        </w:trPr>
        <w:tc>
          <w:tcPr>
            <w:tcW w:w="1200" w:type="dxa"/>
            <w:noWrap/>
            <w:vAlign w:val="center"/>
            <w:hideMark/>
          </w:tcPr>
          <w:p w14:paraId="16EC79C2"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6.14</w:t>
            </w:r>
          </w:p>
        </w:tc>
        <w:tc>
          <w:tcPr>
            <w:tcW w:w="7442" w:type="dxa"/>
            <w:noWrap/>
            <w:vAlign w:val="center"/>
            <w:hideMark/>
          </w:tcPr>
          <w:p w14:paraId="0907C406"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Instituto Colimense del Deporte.</w:t>
            </w:r>
          </w:p>
        </w:tc>
      </w:tr>
      <w:tr w:rsidR="00BF5974" w14:paraId="7661E78C" w14:textId="77777777" w:rsidTr="00BF5974">
        <w:trPr>
          <w:trHeight w:val="20"/>
          <w:jc w:val="center"/>
        </w:trPr>
        <w:tc>
          <w:tcPr>
            <w:tcW w:w="1200" w:type="dxa"/>
            <w:noWrap/>
            <w:vAlign w:val="center"/>
            <w:hideMark/>
          </w:tcPr>
          <w:p w14:paraId="0140873A"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6.15</w:t>
            </w:r>
          </w:p>
        </w:tc>
        <w:tc>
          <w:tcPr>
            <w:tcW w:w="7442" w:type="dxa"/>
            <w:noWrap/>
            <w:vAlign w:val="center"/>
            <w:hideMark/>
          </w:tcPr>
          <w:p w14:paraId="23906AE7"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Instituto Colimense de Infraestructura Física Educativa.</w:t>
            </w:r>
          </w:p>
        </w:tc>
      </w:tr>
      <w:tr w:rsidR="00BF5974" w14:paraId="21E95924" w14:textId="77777777" w:rsidTr="00BF5974">
        <w:trPr>
          <w:trHeight w:val="20"/>
          <w:jc w:val="center"/>
        </w:trPr>
        <w:tc>
          <w:tcPr>
            <w:tcW w:w="1200" w:type="dxa"/>
            <w:noWrap/>
            <w:vAlign w:val="center"/>
            <w:hideMark/>
          </w:tcPr>
          <w:p w14:paraId="24FCE414"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6.16</w:t>
            </w:r>
          </w:p>
        </w:tc>
        <w:tc>
          <w:tcPr>
            <w:tcW w:w="7442" w:type="dxa"/>
            <w:noWrap/>
            <w:vAlign w:val="center"/>
            <w:hideMark/>
          </w:tcPr>
          <w:p w14:paraId="14C69907"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Universidad Tecnológica de Manzanillo.</w:t>
            </w:r>
          </w:p>
        </w:tc>
      </w:tr>
      <w:tr w:rsidR="00BF5974" w14:paraId="4EAC07D9" w14:textId="77777777" w:rsidTr="00BF5974">
        <w:trPr>
          <w:trHeight w:val="20"/>
          <w:jc w:val="center"/>
        </w:trPr>
        <w:tc>
          <w:tcPr>
            <w:tcW w:w="1200" w:type="dxa"/>
            <w:noWrap/>
            <w:vAlign w:val="center"/>
            <w:hideMark/>
          </w:tcPr>
          <w:p w14:paraId="100D8B61"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6.17</w:t>
            </w:r>
          </w:p>
        </w:tc>
        <w:tc>
          <w:tcPr>
            <w:tcW w:w="7442" w:type="dxa"/>
            <w:noWrap/>
            <w:vAlign w:val="center"/>
            <w:hideMark/>
          </w:tcPr>
          <w:p w14:paraId="72A8BEC9"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Instituto Colimense de Radio y Televisión.</w:t>
            </w:r>
          </w:p>
        </w:tc>
      </w:tr>
      <w:tr w:rsidR="00BF5974" w14:paraId="1805181F" w14:textId="77777777" w:rsidTr="00BF5974">
        <w:trPr>
          <w:trHeight w:val="20"/>
          <w:jc w:val="center"/>
        </w:trPr>
        <w:tc>
          <w:tcPr>
            <w:tcW w:w="1200" w:type="dxa"/>
            <w:noWrap/>
            <w:vAlign w:val="center"/>
            <w:hideMark/>
          </w:tcPr>
          <w:p w14:paraId="38B60026"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6.18</w:t>
            </w:r>
          </w:p>
        </w:tc>
        <w:tc>
          <w:tcPr>
            <w:tcW w:w="7442" w:type="dxa"/>
            <w:noWrap/>
            <w:vAlign w:val="center"/>
            <w:hideMark/>
          </w:tcPr>
          <w:p w14:paraId="3930965C"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Colegio de Educación Profesional Técnica del Estado de Colima.</w:t>
            </w:r>
          </w:p>
        </w:tc>
      </w:tr>
      <w:tr w:rsidR="00BF5974" w14:paraId="4C1E012C" w14:textId="77777777" w:rsidTr="00BF5974">
        <w:trPr>
          <w:trHeight w:val="20"/>
          <w:jc w:val="center"/>
        </w:trPr>
        <w:tc>
          <w:tcPr>
            <w:tcW w:w="1200" w:type="dxa"/>
            <w:noWrap/>
            <w:vAlign w:val="center"/>
            <w:hideMark/>
          </w:tcPr>
          <w:p w14:paraId="167B28CB"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6.19</w:t>
            </w:r>
          </w:p>
        </w:tc>
        <w:tc>
          <w:tcPr>
            <w:tcW w:w="7442" w:type="dxa"/>
            <w:noWrap/>
            <w:vAlign w:val="center"/>
            <w:hideMark/>
          </w:tcPr>
          <w:p w14:paraId="0DD8AAD2"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Colegio de Educación Profesional Técnica (Tecomán).</w:t>
            </w:r>
          </w:p>
        </w:tc>
      </w:tr>
      <w:tr w:rsidR="00BF5974" w14:paraId="334524F2" w14:textId="77777777" w:rsidTr="00BF5974">
        <w:trPr>
          <w:trHeight w:val="20"/>
          <w:jc w:val="center"/>
        </w:trPr>
        <w:tc>
          <w:tcPr>
            <w:tcW w:w="1200" w:type="dxa"/>
            <w:noWrap/>
            <w:vAlign w:val="center"/>
            <w:hideMark/>
          </w:tcPr>
          <w:p w14:paraId="361FC861"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6.20</w:t>
            </w:r>
          </w:p>
        </w:tc>
        <w:tc>
          <w:tcPr>
            <w:tcW w:w="7442" w:type="dxa"/>
            <w:noWrap/>
            <w:vAlign w:val="center"/>
            <w:hideMark/>
          </w:tcPr>
          <w:p w14:paraId="7C571171"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Universidad de Colima.</w:t>
            </w:r>
          </w:p>
        </w:tc>
      </w:tr>
      <w:tr w:rsidR="00BF5974" w14:paraId="1707526F" w14:textId="77777777" w:rsidTr="00BF5974">
        <w:trPr>
          <w:trHeight w:val="20"/>
          <w:jc w:val="center"/>
        </w:trPr>
        <w:tc>
          <w:tcPr>
            <w:tcW w:w="1200" w:type="dxa"/>
            <w:noWrap/>
            <w:vAlign w:val="center"/>
            <w:hideMark/>
          </w:tcPr>
          <w:p w14:paraId="7EA72C5B"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6.21</w:t>
            </w:r>
          </w:p>
        </w:tc>
        <w:tc>
          <w:tcPr>
            <w:tcW w:w="7442" w:type="dxa"/>
            <w:noWrap/>
            <w:vAlign w:val="center"/>
            <w:hideMark/>
          </w:tcPr>
          <w:p w14:paraId="6E5D9418"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Universidad Intercultural de Colima.</w:t>
            </w:r>
          </w:p>
        </w:tc>
      </w:tr>
      <w:tr w:rsidR="00BF5974" w14:paraId="50F8F9B6" w14:textId="77777777" w:rsidTr="00BF5974">
        <w:trPr>
          <w:trHeight w:val="20"/>
          <w:jc w:val="center"/>
        </w:trPr>
        <w:tc>
          <w:tcPr>
            <w:tcW w:w="1200" w:type="dxa"/>
            <w:noWrap/>
            <w:vAlign w:val="center"/>
            <w:hideMark/>
          </w:tcPr>
          <w:p w14:paraId="0EF22D97"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6.22</w:t>
            </w:r>
          </w:p>
        </w:tc>
        <w:tc>
          <w:tcPr>
            <w:tcW w:w="7442" w:type="dxa"/>
            <w:noWrap/>
            <w:vAlign w:val="center"/>
            <w:hideMark/>
          </w:tcPr>
          <w:p w14:paraId="7BCBB558"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Instituto Estatal de Educación para Adultos.</w:t>
            </w:r>
          </w:p>
        </w:tc>
      </w:tr>
      <w:tr w:rsidR="00BF5974" w14:paraId="24FA7278" w14:textId="77777777" w:rsidTr="00BF5974">
        <w:trPr>
          <w:trHeight w:val="20"/>
          <w:jc w:val="center"/>
        </w:trPr>
        <w:tc>
          <w:tcPr>
            <w:tcW w:w="1200" w:type="dxa"/>
            <w:noWrap/>
            <w:vAlign w:val="center"/>
            <w:hideMark/>
          </w:tcPr>
          <w:p w14:paraId="7A90A7FC"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6.23</w:t>
            </w:r>
          </w:p>
        </w:tc>
        <w:tc>
          <w:tcPr>
            <w:tcW w:w="7442" w:type="dxa"/>
            <w:noWrap/>
            <w:vAlign w:val="center"/>
            <w:hideMark/>
          </w:tcPr>
          <w:p w14:paraId="1A896BD4"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Comisión Estatal de Conciliación y Arbitraje Médico de Colima.</w:t>
            </w:r>
          </w:p>
        </w:tc>
      </w:tr>
      <w:tr w:rsidR="00BF5974" w14:paraId="4B962A0E" w14:textId="77777777" w:rsidTr="00BF5974">
        <w:trPr>
          <w:trHeight w:val="20"/>
          <w:jc w:val="center"/>
        </w:trPr>
        <w:tc>
          <w:tcPr>
            <w:tcW w:w="1200" w:type="dxa"/>
            <w:noWrap/>
            <w:vAlign w:val="center"/>
            <w:hideMark/>
          </w:tcPr>
          <w:p w14:paraId="37061FE4"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6.24</w:t>
            </w:r>
          </w:p>
        </w:tc>
        <w:tc>
          <w:tcPr>
            <w:tcW w:w="7442" w:type="dxa"/>
            <w:noWrap/>
            <w:vAlign w:val="center"/>
            <w:hideMark/>
          </w:tcPr>
          <w:p w14:paraId="01022D72"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Junta de Asistencia Privada.</w:t>
            </w:r>
          </w:p>
        </w:tc>
      </w:tr>
      <w:tr w:rsidR="00BF5974" w14:paraId="22B7F75F" w14:textId="77777777" w:rsidTr="00BF5974">
        <w:trPr>
          <w:trHeight w:val="20"/>
          <w:jc w:val="center"/>
        </w:trPr>
        <w:tc>
          <w:tcPr>
            <w:tcW w:w="1200" w:type="dxa"/>
            <w:noWrap/>
            <w:vAlign w:val="center"/>
            <w:hideMark/>
          </w:tcPr>
          <w:p w14:paraId="5AD84B67" w14:textId="77777777" w:rsidR="00BF5974" w:rsidRDefault="00BF5974">
            <w:pPr>
              <w:spacing w:line="256" w:lineRule="auto"/>
              <w:jc w:val="left"/>
              <w:rPr>
                <w:rFonts w:eastAsia="Times New Roman" w:cs="Arial"/>
                <w:b/>
                <w:bCs/>
                <w:sz w:val="20"/>
                <w:szCs w:val="20"/>
                <w:lang w:val="es-ES" w:eastAsia="en-US"/>
              </w:rPr>
            </w:pPr>
            <w:r>
              <w:rPr>
                <w:rFonts w:eastAsia="Times New Roman" w:cs="Arial"/>
                <w:b/>
                <w:bCs/>
                <w:sz w:val="20"/>
                <w:szCs w:val="20"/>
                <w:lang w:val="es-ES" w:eastAsia="en-US"/>
              </w:rPr>
              <w:t>Anexo 6.25</w:t>
            </w:r>
          </w:p>
        </w:tc>
        <w:tc>
          <w:tcPr>
            <w:tcW w:w="7442" w:type="dxa"/>
            <w:noWrap/>
            <w:vAlign w:val="center"/>
            <w:hideMark/>
          </w:tcPr>
          <w:p w14:paraId="36D19E70" w14:textId="77777777" w:rsidR="00BF5974" w:rsidRDefault="00BF5974">
            <w:pPr>
              <w:spacing w:line="256" w:lineRule="auto"/>
              <w:jc w:val="left"/>
              <w:rPr>
                <w:rFonts w:eastAsia="Times New Roman" w:cs="Arial"/>
                <w:sz w:val="20"/>
                <w:szCs w:val="20"/>
                <w:lang w:val="es-ES" w:eastAsia="en-US"/>
              </w:rPr>
            </w:pPr>
            <w:r>
              <w:rPr>
                <w:rFonts w:eastAsia="Times New Roman" w:cs="Arial"/>
                <w:sz w:val="20"/>
                <w:szCs w:val="20"/>
                <w:lang w:val="es-ES" w:eastAsia="en-US"/>
              </w:rPr>
              <w:t>Secretaría Ejecutiva del Sistema Anticorrupción del Estado de Colima.</w:t>
            </w:r>
          </w:p>
        </w:tc>
      </w:tr>
      <w:bookmarkEnd w:id="115"/>
    </w:tbl>
    <w:p w14:paraId="0699B256" w14:textId="4B797506" w:rsidR="00BF5974" w:rsidRDefault="00BF5974" w:rsidP="00BF5974">
      <w:pPr>
        <w:tabs>
          <w:tab w:val="left" w:pos="1276"/>
        </w:tabs>
        <w:rPr>
          <w:rFonts w:cs="Arial"/>
          <w:lang w:val="es-ES"/>
        </w:rPr>
      </w:pPr>
    </w:p>
    <w:p w14:paraId="0D8B44C5" w14:textId="32D9E806" w:rsidR="00657B7A" w:rsidRDefault="00657B7A" w:rsidP="00BF5974">
      <w:pPr>
        <w:tabs>
          <w:tab w:val="left" w:pos="1276"/>
        </w:tabs>
        <w:rPr>
          <w:rFonts w:cs="Arial"/>
          <w:lang w:val="es-ES"/>
        </w:rPr>
      </w:pPr>
    </w:p>
    <w:p w14:paraId="6CA6F955" w14:textId="456BA3B2" w:rsidR="00657B7A" w:rsidRDefault="00657B7A" w:rsidP="00BF5974">
      <w:pPr>
        <w:tabs>
          <w:tab w:val="left" w:pos="1276"/>
        </w:tabs>
        <w:rPr>
          <w:rFonts w:cs="Arial"/>
          <w:lang w:val="es-ES"/>
        </w:rPr>
      </w:pPr>
    </w:p>
    <w:p w14:paraId="4D73CD3D" w14:textId="376981C7" w:rsidR="00657B7A" w:rsidRDefault="00657B7A" w:rsidP="00BF5974">
      <w:pPr>
        <w:tabs>
          <w:tab w:val="left" w:pos="1276"/>
        </w:tabs>
        <w:rPr>
          <w:rFonts w:cs="Arial"/>
          <w:lang w:val="es-ES"/>
        </w:rPr>
      </w:pPr>
    </w:p>
    <w:p w14:paraId="65A47772" w14:textId="77777777" w:rsidR="00657B7A" w:rsidRDefault="00657B7A" w:rsidP="00BF5974">
      <w:pPr>
        <w:tabs>
          <w:tab w:val="left" w:pos="1276"/>
        </w:tabs>
        <w:rPr>
          <w:rFonts w:cs="Arial"/>
          <w:lang w:val="es-ES"/>
        </w:rPr>
      </w:pPr>
    </w:p>
    <w:p w14:paraId="515B30E8" w14:textId="77777777" w:rsidR="00BF5974" w:rsidRDefault="00BF5974" w:rsidP="00BF5974">
      <w:pPr>
        <w:jc w:val="center"/>
        <w:rPr>
          <w:rFonts w:eastAsia="Times New Roman" w:cs="Arial"/>
          <w:b/>
          <w:lang w:val="es-ES"/>
        </w:rPr>
      </w:pPr>
      <w:bookmarkStart w:id="117" w:name="_Toc22021908"/>
      <w:bookmarkStart w:id="118" w:name="_Toc22983174"/>
      <w:r>
        <w:rPr>
          <w:rFonts w:eastAsia="Times New Roman" w:cs="Arial"/>
          <w:b/>
          <w:lang w:val="es-ES"/>
        </w:rPr>
        <w:lastRenderedPageBreak/>
        <w:t>CAPÍTULO V</w:t>
      </w:r>
      <w:bookmarkEnd w:id="117"/>
      <w:bookmarkEnd w:id="118"/>
      <w:r>
        <w:rPr>
          <w:rFonts w:eastAsia="Times New Roman" w:cs="Arial"/>
          <w:b/>
          <w:lang w:val="es-ES"/>
        </w:rPr>
        <w:t>I</w:t>
      </w:r>
    </w:p>
    <w:p w14:paraId="32701FCE" w14:textId="77777777" w:rsidR="00BF5974" w:rsidRDefault="00BF5974" w:rsidP="00BF5974">
      <w:pPr>
        <w:keepNext/>
        <w:keepLines/>
        <w:jc w:val="center"/>
        <w:outlineLvl w:val="0"/>
        <w:rPr>
          <w:rFonts w:eastAsia="Times New Roman" w:cs="Arial"/>
          <w:b/>
          <w:szCs w:val="32"/>
          <w:lang w:val="es-ES"/>
        </w:rPr>
      </w:pPr>
      <w:bookmarkStart w:id="119" w:name="_Toc22021909"/>
      <w:bookmarkStart w:id="120" w:name="_Toc22983175"/>
      <w:r>
        <w:rPr>
          <w:rFonts w:eastAsia="Times New Roman" w:cs="Arial"/>
          <w:b/>
          <w:szCs w:val="32"/>
          <w:lang w:val="es-ES"/>
        </w:rPr>
        <w:t>DE LAS PREVISIONES PARA ATENDER DESASTRES NATURALES</w:t>
      </w:r>
      <w:bookmarkEnd w:id="119"/>
      <w:bookmarkEnd w:id="120"/>
    </w:p>
    <w:p w14:paraId="1280EE6A" w14:textId="77777777" w:rsidR="00BF5974" w:rsidRDefault="00BF5974" w:rsidP="00BF5974">
      <w:pPr>
        <w:rPr>
          <w:rFonts w:cs="Arial"/>
          <w:lang w:val="es-ES"/>
        </w:rPr>
      </w:pPr>
    </w:p>
    <w:p w14:paraId="77472468" w14:textId="77777777" w:rsidR="00BF5974" w:rsidRDefault="00BF5974" w:rsidP="00BF5974">
      <w:pPr>
        <w:rPr>
          <w:rFonts w:cs="Arial"/>
        </w:rPr>
      </w:pPr>
      <w:r>
        <w:rPr>
          <w:rFonts w:cs="Arial"/>
          <w:b/>
        </w:rPr>
        <w:t>Artículo 24</w:t>
      </w:r>
      <w:r>
        <w:rPr>
          <w:rFonts w:cs="Arial"/>
        </w:rPr>
        <w:t xml:space="preserve">. En cumplimiento a lo dispuesto por los artículos 9 y Quinto Transitorio de la Ley de Disciplina Financiera, y la Ley General de Protección Civil, las </w:t>
      </w:r>
      <w:r>
        <w:rPr>
          <w:rFonts w:cs="Arial"/>
          <w:bCs/>
        </w:rPr>
        <w:t xml:space="preserve">Previsiones para atender Desastres Naturales y otros Siniestros </w:t>
      </w:r>
      <w:r>
        <w:rPr>
          <w:rFonts w:cs="Arial"/>
        </w:rPr>
        <w:t xml:space="preserve">en el </w:t>
      </w:r>
      <w:r>
        <w:rPr>
          <w:rFonts w:cs="Arial"/>
          <w:lang w:val="es-ES"/>
        </w:rPr>
        <w:t xml:space="preserve">Presupuesto de Egresos del Estado de Colima para el Ejercicio Fiscal 2025 </w:t>
      </w:r>
      <w:r>
        <w:rPr>
          <w:rFonts w:cs="Arial"/>
        </w:rPr>
        <w:t>se distribuyen de la siguiente forma:</w:t>
      </w:r>
    </w:p>
    <w:p w14:paraId="7F4CAA0E" w14:textId="77777777" w:rsidR="00BF5974" w:rsidRDefault="00BF5974" w:rsidP="00BF5974">
      <w:pPr>
        <w:keepNext/>
        <w:keepLines/>
        <w:outlineLvl w:val="2"/>
        <w:rPr>
          <w:rFonts w:eastAsia="Times New Roman" w:cs="Arial"/>
          <w:b/>
          <w:szCs w:val="24"/>
          <w:lang w:val="es-ES" w:eastAsia="en-US"/>
        </w:rPr>
      </w:pPr>
    </w:p>
    <w:tbl>
      <w:tblPr>
        <w:tblW w:w="90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5"/>
        <w:gridCol w:w="6491"/>
        <w:gridCol w:w="1404"/>
      </w:tblGrid>
      <w:tr w:rsidR="00BF5974" w14:paraId="0FCF79B4" w14:textId="77777777" w:rsidTr="00BF5974">
        <w:trPr>
          <w:trHeight w:val="20"/>
          <w:tblHeader/>
          <w:jc w:val="right"/>
        </w:trPr>
        <w:tc>
          <w:tcPr>
            <w:tcW w:w="9059" w:type="dxa"/>
            <w:gridSpan w:val="3"/>
            <w:tcBorders>
              <w:top w:val="nil"/>
              <w:left w:val="nil"/>
              <w:bottom w:val="single" w:sz="4" w:space="0" w:color="auto"/>
              <w:right w:val="nil"/>
            </w:tcBorders>
            <w:vAlign w:val="center"/>
            <w:hideMark/>
          </w:tcPr>
          <w:p w14:paraId="3B24DA17" w14:textId="77777777" w:rsidR="00BF5974" w:rsidRDefault="00BF5974">
            <w:pPr>
              <w:spacing w:line="256" w:lineRule="auto"/>
              <w:jc w:val="center"/>
              <w:rPr>
                <w:rFonts w:cs="Arial"/>
                <w:b/>
                <w:bCs/>
                <w:sz w:val="20"/>
                <w:szCs w:val="20"/>
                <w:lang w:val="es-ES" w:eastAsia="en-US"/>
              </w:rPr>
            </w:pPr>
            <w:r>
              <w:rPr>
                <w:rFonts w:cs="Arial"/>
                <w:b/>
                <w:bCs/>
                <w:sz w:val="20"/>
                <w:szCs w:val="20"/>
                <w:lang w:val="es-ES" w:eastAsia="en-US"/>
              </w:rPr>
              <w:t>Tabla 23. Previsiones para Atender Desastres Naturales y otros Siniestros</w:t>
            </w:r>
          </w:p>
        </w:tc>
      </w:tr>
      <w:tr w:rsidR="00105286" w:rsidRPr="00105286" w14:paraId="060DF962" w14:textId="77777777" w:rsidTr="00BF5974">
        <w:trPr>
          <w:trHeight w:val="20"/>
          <w:tblHeader/>
          <w:jc w:val="right"/>
        </w:trPr>
        <w:tc>
          <w:tcPr>
            <w:tcW w:w="1165" w:type="dxa"/>
            <w:tcBorders>
              <w:top w:val="single" w:sz="4" w:space="0" w:color="auto"/>
              <w:left w:val="single" w:sz="4" w:space="0" w:color="auto"/>
              <w:bottom w:val="single" w:sz="4" w:space="0" w:color="auto"/>
              <w:right w:val="single" w:sz="4" w:space="0" w:color="auto"/>
            </w:tcBorders>
            <w:vAlign w:val="center"/>
            <w:hideMark/>
          </w:tcPr>
          <w:p w14:paraId="257C9D99" w14:textId="77777777" w:rsidR="00BF5974" w:rsidRPr="00105286" w:rsidRDefault="00BF5974">
            <w:pPr>
              <w:spacing w:line="256" w:lineRule="auto"/>
              <w:jc w:val="center"/>
              <w:rPr>
                <w:rFonts w:eastAsia="Times New Roman" w:cs="Arial"/>
                <w:b/>
                <w:bCs/>
                <w:sz w:val="18"/>
                <w:szCs w:val="18"/>
                <w:lang w:val="es-ES" w:eastAsia="en-US"/>
              </w:rPr>
            </w:pPr>
            <w:r w:rsidRPr="00105286">
              <w:rPr>
                <w:rFonts w:cs="Arial"/>
                <w:b/>
                <w:bCs/>
                <w:sz w:val="18"/>
                <w:szCs w:val="18"/>
                <w:lang w:val="es-ES" w:eastAsia="en-US"/>
              </w:rPr>
              <w:t>Partida</w:t>
            </w:r>
          </w:p>
        </w:tc>
        <w:tc>
          <w:tcPr>
            <w:tcW w:w="6490" w:type="dxa"/>
            <w:tcBorders>
              <w:top w:val="single" w:sz="4" w:space="0" w:color="auto"/>
              <w:left w:val="single" w:sz="4" w:space="0" w:color="auto"/>
              <w:bottom w:val="single" w:sz="4" w:space="0" w:color="auto"/>
              <w:right w:val="single" w:sz="4" w:space="0" w:color="auto"/>
            </w:tcBorders>
            <w:vAlign w:val="center"/>
            <w:hideMark/>
          </w:tcPr>
          <w:p w14:paraId="38B6BAB1" w14:textId="77777777" w:rsidR="00BF5974" w:rsidRPr="00105286" w:rsidRDefault="00BF5974">
            <w:pPr>
              <w:spacing w:line="256" w:lineRule="auto"/>
              <w:jc w:val="center"/>
              <w:rPr>
                <w:rFonts w:eastAsia="Times New Roman" w:cs="Arial"/>
                <w:b/>
                <w:bCs/>
                <w:sz w:val="18"/>
                <w:szCs w:val="18"/>
                <w:lang w:val="es-ES" w:eastAsia="en-US"/>
              </w:rPr>
            </w:pPr>
            <w:r w:rsidRPr="00105286">
              <w:rPr>
                <w:rFonts w:cs="Arial"/>
                <w:b/>
                <w:bCs/>
                <w:sz w:val="18"/>
                <w:szCs w:val="18"/>
                <w:lang w:val="es-ES" w:eastAsia="en-US"/>
              </w:rPr>
              <w:t>Concepto</w:t>
            </w:r>
          </w:p>
        </w:tc>
        <w:tc>
          <w:tcPr>
            <w:tcW w:w="1404" w:type="dxa"/>
            <w:tcBorders>
              <w:top w:val="single" w:sz="4" w:space="0" w:color="auto"/>
              <w:left w:val="single" w:sz="4" w:space="0" w:color="auto"/>
              <w:bottom w:val="single" w:sz="4" w:space="0" w:color="auto"/>
              <w:right w:val="single" w:sz="4" w:space="0" w:color="auto"/>
            </w:tcBorders>
            <w:vAlign w:val="center"/>
            <w:hideMark/>
          </w:tcPr>
          <w:p w14:paraId="5524F669" w14:textId="77777777" w:rsidR="00BF5974" w:rsidRPr="00105286" w:rsidRDefault="00BF5974">
            <w:pPr>
              <w:spacing w:line="256" w:lineRule="auto"/>
              <w:jc w:val="center"/>
              <w:rPr>
                <w:rFonts w:cs="Arial"/>
                <w:b/>
                <w:bCs/>
                <w:sz w:val="18"/>
                <w:szCs w:val="18"/>
                <w:lang w:val="es-ES" w:eastAsia="en-US"/>
              </w:rPr>
            </w:pPr>
            <w:r w:rsidRPr="00105286">
              <w:rPr>
                <w:rFonts w:cs="Arial"/>
                <w:b/>
                <w:bCs/>
                <w:sz w:val="18"/>
                <w:szCs w:val="18"/>
                <w:lang w:val="es-ES" w:eastAsia="en-US"/>
              </w:rPr>
              <w:t>Asignación Presupuestal</w:t>
            </w:r>
          </w:p>
        </w:tc>
      </w:tr>
      <w:tr w:rsidR="00105286" w:rsidRPr="00105286" w14:paraId="299F7600" w14:textId="77777777" w:rsidTr="00BF5974">
        <w:trPr>
          <w:trHeight w:val="20"/>
          <w:jc w:val="right"/>
        </w:trPr>
        <w:tc>
          <w:tcPr>
            <w:tcW w:w="1165" w:type="dxa"/>
            <w:tcBorders>
              <w:top w:val="single" w:sz="4" w:space="0" w:color="auto"/>
              <w:left w:val="single" w:sz="4" w:space="0" w:color="auto"/>
              <w:bottom w:val="single" w:sz="4" w:space="0" w:color="auto"/>
              <w:right w:val="single" w:sz="4" w:space="0" w:color="auto"/>
            </w:tcBorders>
            <w:vAlign w:val="center"/>
            <w:hideMark/>
          </w:tcPr>
          <w:p w14:paraId="6124D2E8" w14:textId="77777777" w:rsidR="00BF5974" w:rsidRPr="00105286" w:rsidRDefault="00BF5974">
            <w:pPr>
              <w:spacing w:line="256" w:lineRule="auto"/>
              <w:jc w:val="center"/>
              <w:rPr>
                <w:rFonts w:eastAsia="Times New Roman" w:cs="Arial"/>
                <w:b/>
                <w:bCs/>
                <w:sz w:val="18"/>
                <w:szCs w:val="18"/>
                <w:lang w:val="es-ES" w:eastAsia="en-US"/>
              </w:rPr>
            </w:pPr>
            <w:r w:rsidRPr="00105286">
              <w:rPr>
                <w:rFonts w:eastAsia="Times New Roman" w:cs="Arial"/>
                <w:b/>
                <w:bCs/>
                <w:sz w:val="18"/>
                <w:szCs w:val="18"/>
                <w:lang w:val="es-ES" w:eastAsia="en-US"/>
              </w:rPr>
              <w:t>030405000</w:t>
            </w:r>
          </w:p>
        </w:tc>
        <w:tc>
          <w:tcPr>
            <w:tcW w:w="6490" w:type="dxa"/>
            <w:tcBorders>
              <w:top w:val="single" w:sz="4" w:space="0" w:color="auto"/>
              <w:left w:val="single" w:sz="4" w:space="0" w:color="auto"/>
              <w:bottom w:val="single" w:sz="4" w:space="0" w:color="auto"/>
              <w:right w:val="single" w:sz="4" w:space="0" w:color="auto"/>
            </w:tcBorders>
            <w:vAlign w:val="center"/>
            <w:hideMark/>
          </w:tcPr>
          <w:p w14:paraId="5CBBF1DC" w14:textId="77777777" w:rsidR="00BF5974" w:rsidRPr="00105286" w:rsidRDefault="00BF5974">
            <w:pPr>
              <w:spacing w:line="256" w:lineRule="auto"/>
              <w:rPr>
                <w:rFonts w:eastAsia="Times New Roman" w:cs="Arial"/>
                <w:b/>
                <w:bCs/>
                <w:sz w:val="18"/>
                <w:szCs w:val="18"/>
                <w:lang w:val="es-ES" w:eastAsia="en-US"/>
              </w:rPr>
            </w:pPr>
            <w:r w:rsidRPr="00105286">
              <w:rPr>
                <w:rFonts w:eastAsia="Times New Roman" w:cs="Arial"/>
                <w:b/>
                <w:bCs/>
                <w:sz w:val="18"/>
                <w:szCs w:val="18"/>
                <w:lang w:val="es-ES" w:eastAsia="en-US"/>
              </w:rPr>
              <w:t>Seguro de Bienes Patrimoniales.</w:t>
            </w:r>
          </w:p>
        </w:tc>
        <w:tc>
          <w:tcPr>
            <w:tcW w:w="1404" w:type="dxa"/>
            <w:tcBorders>
              <w:top w:val="single" w:sz="4" w:space="0" w:color="auto"/>
              <w:left w:val="single" w:sz="4" w:space="0" w:color="auto"/>
              <w:bottom w:val="single" w:sz="4" w:space="0" w:color="auto"/>
              <w:right w:val="single" w:sz="4" w:space="0" w:color="auto"/>
            </w:tcBorders>
            <w:vAlign w:val="center"/>
            <w:hideMark/>
          </w:tcPr>
          <w:p w14:paraId="313A6E1F" w14:textId="77777777" w:rsidR="00BF5974" w:rsidRPr="00105286" w:rsidRDefault="00BF5974">
            <w:pPr>
              <w:spacing w:line="256" w:lineRule="auto"/>
              <w:jc w:val="right"/>
              <w:rPr>
                <w:rFonts w:eastAsia="Times New Roman" w:cs="Arial"/>
                <w:b/>
                <w:bCs/>
                <w:sz w:val="18"/>
                <w:szCs w:val="18"/>
                <w:lang w:val="es-ES" w:eastAsia="en-US"/>
              </w:rPr>
            </w:pPr>
            <w:r w:rsidRPr="00105286">
              <w:rPr>
                <w:rFonts w:cs="Arial"/>
                <w:b/>
                <w:bCs/>
                <w:sz w:val="18"/>
                <w:szCs w:val="18"/>
                <w:lang w:val="es-ES" w:eastAsia="en-US"/>
              </w:rPr>
              <w:t xml:space="preserve">25,000,000 </w:t>
            </w:r>
          </w:p>
        </w:tc>
      </w:tr>
      <w:tr w:rsidR="00105286" w:rsidRPr="00105286" w14:paraId="336A775A" w14:textId="77777777" w:rsidTr="00BF5974">
        <w:trPr>
          <w:trHeight w:val="20"/>
          <w:jc w:val="right"/>
        </w:trPr>
        <w:tc>
          <w:tcPr>
            <w:tcW w:w="1165" w:type="dxa"/>
            <w:tcBorders>
              <w:top w:val="single" w:sz="4" w:space="0" w:color="auto"/>
              <w:left w:val="single" w:sz="4" w:space="0" w:color="auto"/>
              <w:bottom w:val="single" w:sz="4" w:space="0" w:color="auto"/>
              <w:right w:val="single" w:sz="4" w:space="0" w:color="auto"/>
            </w:tcBorders>
            <w:vAlign w:val="center"/>
            <w:hideMark/>
          </w:tcPr>
          <w:p w14:paraId="657EB690"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030405002</w:t>
            </w:r>
          </w:p>
        </w:tc>
        <w:tc>
          <w:tcPr>
            <w:tcW w:w="6490" w:type="dxa"/>
            <w:tcBorders>
              <w:top w:val="single" w:sz="4" w:space="0" w:color="auto"/>
              <w:left w:val="single" w:sz="4" w:space="0" w:color="auto"/>
              <w:bottom w:val="single" w:sz="4" w:space="0" w:color="auto"/>
              <w:right w:val="single" w:sz="4" w:space="0" w:color="auto"/>
            </w:tcBorders>
            <w:vAlign w:val="center"/>
            <w:hideMark/>
          </w:tcPr>
          <w:p w14:paraId="492EA6FA" w14:textId="77777777" w:rsidR="00BF5974" w:rsidRPr="00105286" w:rsidRDefault="00BF5974">
            <w:pPr>
              <w:spacing w:line="256" w:lineRule="auto"/>
              <w:rPr>
                <w:rFonts w:eastAsia="Times New Roman" w:cs="Arial"/>
                <w:sz w:val="18"/>
                <w:szCs w:val="18"/>
                <w:lang w:val="es-ES" w:eastAsia="en-US"/>
              </w:rPr>
            </w:pPr>
            <w:r w:rsidRPr="00105286">
              <w:rPr>
                <w:rFonts w:eastAsia="Times New Roman" w:cs="Arial"/>
                <w:sz w:val="18"/>
                <w:szCs w:val="18"/>
                <w:lang w:val="es-ES" w:eastAsia="en-US"/>
              </w:rPr>
              <w:t>Seguro de Gastos Catastróficos.</w:t>
            </w:r>
          </w:p>
        </w:tc>
        <w:tc>
          <w:tcPr>
            <w:tcW w:w="1404" w:type="dxa"/>
            <w:tcBorders>
              <w:top w:val="single" w:sz="4" w:space="0" w:color="auto"/>
              <w:left w:val="single" w:sz="4" w:space="0" w:color="auto"/>
              <w:bottom w:val="single" w:sz="4" w:space="0" w:color="auto"/>
              <w:right w:val="single" w:sz="4" w:space="0" w:color="auto"/>
            </w:tcBorders>
            <w:vAlign w:val="center"/>
            <w:hideMark/>
          </w:tcPr>
          <w:p w14:paraId="1DC8978B" w14:textId="77777777" w:rsidR="00BF5974" w:rsidRPr="00105286" w:rsidRDefault="00BF5974">
            <w:pPr>
              <w:spacing w:line="256" w:lineRule="auto"/>
              <w:jc w:val="right"/>
              <w:rPr>
                <w:rFonts w:eastAsia="Times New Roman" w:cs="Arial"/>
                <w:sz w:val="18"/>
                <w:szCs w:val="18"/>
                <w:lang w:val="es-ES" w:eastAsia="en-US"/>
              </w:rPr>
            </w:pPr>
            <w:r w:rsidRPr="00105286">
              <w:rPr>
                <w:rFonts w:cs="Arial"/>
                <w:sz w:val="18"/>
                <w:szCs w:val="18"/>
                <w:lang w:val="es-ES" w:eastAsia="en-US"/>
              </w:rPr>
              <w:t xml:space="preserve">25,000,000 </w:t>
            </w:r>
          </w:p>
        </w:tc>
      </w:tr>
      <w:tr w:rsidR="00105286" w:rsidRPr="00105286" w14:paraId="26861F5A" w14:textId="77777777" w:rsidTr="00BF5974">
        <w:trPr>
          <w:trHeight w:val="20"/>
          <w:jc w:val="right"/>
        </w:trPr>
        <w:tc>
          <w:tcPr>
            <w:tcW w:w="1165" w:type="dxa"/>
            <w:tcBorders>
              <w:top w:val="single" w:sz="4" w:space="0" w:color="auto"/>
              <w:left w:val="single" w:sz="4" w:space="0" w:color="auto"/>
              <w:bottom w:val="single" w:sz="4" w:space="0" w:color="auto"/>
              <w:right w:val="single" w:sz="4" w:space="0" w:color="auto"/>
            </w:tcBorders>
            <w:vAlign w:val="center"/>
            <w:hideMark/>
          </w:tcPr>
          <w:p w14:paraId="167198F5" w14:textId="77777777" w:rsidR="00BF5974" w:rsidRPr="00105286" w:rsidRDefault="00BF5974">
            <w:pPr>
              <w:spacing w:line="256" w:lineRule="auto"/>
              <w:jc w:val="center"/>
              <w:rPr>
                <w:rFonts w:eastAsia="Times New Roman" w:cs="Arial"/>
                <w:b/>
                <w:bCs/>
                <w:sz w:val="18"/>
                <w:szCs w:val="18"/>
                <w:lang w:val="es-ES" w:eastAsia="en-US"/>
              </w:rPr>
            </w:pPr>
            <w:r w:rsidRPr="00105286">
              <w:rPr>
                <w:rFonts w:eastAsia="Times New Roman" w:cs="Arial"/>
                <w:b/>
                <w:bCs/>
                <w:sz w:val="18"/>
                <w:szCs w:val="18"/>
                <w:lang w:val="es-ES" w:eastAsia="en-US"/>
              </w:rPr>
              <w:t>040408000</w:t>
            </w:r>
          </w:p>
        </w:tc>
        <w:tc>
          <w:tcPr>
            <w:tcW w:w="6490" w:type="dxa"/>
            <w:tcBorders>
              <w:top w:val="single" w:sz="4" w:space="0" w:color="auto"/>
              <w:left w:val="single" w:sz="4" w:space="0" w:color="auto"/>
              <w:bottom w:val="single" w:sz="4" w:space="0" w:color="auto"/>
              <w:right w:val="single" w:sz="4" w:space="0" w:color="auto"/>
            </w:tcBorders>
            <w:vAlign w:val="center"/>
            <w:hideMark/>
          </w:tcPr>
          <w:p w14:paraId="1F0599A4" w14:textId="77777777" w:rsidR="00BF5974" w:rsidRPr="00105286" w:rsidRDefault="00BF5974">
            <w:pPr>
              <w:spacing w:line="256" w:lineRule="auto"/>
              <w:rPr>
                <w:rFonts w:eastAsia="Times New Roman" w:cs="Arial"/>
                <w:b/>
                <w:bCs/>
                <w:sz w:val="18"/>
                <w:szCs w:val="18"/>
                <w:lang w:val="es-ES" w:eastAsia="en-US"/>
              </w:rPr>
            </w:pPr>
            <w:r w:rsidRPr="00105286">
              <w:rPr>
                <w:rFonts w:eastAsia="Times New Roman" w:cs="Arial"/>
                <w:b/>
                <w:bCs/>
                <w:sz w:val="18"/>
                <w:szCs w:val="18"/>
                <w:lang w:val="es-ES" w:eastAsia="en-US"/>
              </w:rPr>
              <w:t>Ayudas por Desastres Naturales y Otros Siniestros.</w:t>
            </w:r>
          </w:p>
        </w:tc>
        <w:tc>
          <w:tcPr>
            <w:tcW w:w="1404" w:type="dxa"/>
            <w:tcBorders>
              <w:top w:val="single" w:sz="4" w:space="0" w:color="auto"/>
              <w:left w:val="single" w:sz="4" w:space="0" w:color="auto"/>
              <w:bottom w:val="single" w:sz="4" w:space="0" w:color="auto"/>
              <w:right w:val="single" w:sz="4" w:space="0" w:color="auto"/>
            </w:tcBorders>
            <w:vAlign w:val="center"/>
            <w:hideMark/>
          </w:tcPr>
          <w:p w14:paraId="34E3E99E" w14:textId="77777777" w:rsidR="00BF5974" w:rsidRPr="00105286" w:rsidRDefault="00BF5974">
            <w:pPr>
              <w:spacing w:line="256" w:lineRule="auto"/>
              <w:jc w:val="right"/>
              <w:rPr>
                <w:rFonts w:eastAsia="Times New Roman" w:cs="Arial"/>
                <w:b/>
                <w:bCs/>
                <w:sz w:val="18"/>
                <w:szCs w:val="18"/>
                <w:lang w:val="es-ES" w:eastAsia="en-US"/>
              </w:rPr>
            </w:pPr>
            <w:r w:rsidRPr="00105286">
              <w:rPr>
                <w:rFonts w:cs="Arial"/>
                <w:b/>
                <w:bCs/>
                <w:sz w:val="18"/>
                <w:szCs w:val="18"/>
                <w:lang w:val="es-ES" w:eastAsia="en-US"/>
              </w:rPr>
              <w:t xml:space="preserve">37,210,284 </w:t>
            </w:r>
          </w:p>
        </w:tc>
      </w:tr>
      <w:tr w:rsidR="00105286" w:rsidRPr="00105286" w14:paraId="79BA5B08" w14:textId="77777777" w:rsidTr="00BF5974">
        <w:trPr>
          <w:trHeight w:val="20"/>
          <w:jc w:val="right"/>
        </w:trPr>
        <w:tc>
          <w:tcPr>
            <w:tcW w:w="1165" w:type="dxa"/>
            <w:tcBorders>
              <w:top w:val="single" w:sz="4" w:space="0" w:color="auto"/>
              <w:left w:val="single" w:sz="4" w:space="0" w:color="auto"/>
              <w:bottom w:val="single" w:sz="4" w:space="0" w:color="auto"/>
              <w:right w:val="single" w:sz="4" w:space="0" w:color="auto"/>
            </w:tcBorders>
            <w:vAlign w:val="center"/>
            <w:hideMark/>
          </w:tcPr>
          <w:p w14:paraId="026D8815"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040408001</w:t>
            </w:r>
          </w:p>
        </w:tc>
        <w:tc>
          <w:tcPr>
            <w:tcW w:w="6490" w:type="dxa"/>
            <w:tcBorders>
              <w:top w:val="single" w:sz="4" w:space="0" w:color="auto"/>
              <w:left w:val="single" w:sz="4" w:space="0" w:color="auto"/>
              <w:bottom w:val="single" w:sz="4" w:space="0" w:color="auto"/>
              <w:right w:val="single" w:sz="4" w:space="0" w:color="auto"/>
            </w:tcBorders>
            <w:vAlign w:val="center"/>
            <w:hideMark/>
          </w:tcPr>
          <w:p w14:paraId="3F0A2C93" w14:textId="77777777" w:rsidR="00BF5974" w:rsidRPr="00105286" w:rsidRDefault="00BF5974">
            <w:pPr>
              <w:spacing w:line="256" w:lineRule="auto"/>
              <w:rPr>
                <w:rFonts w:eastAsia="Times New Roman" w:cs="Arial"/>
                <w:sz w:val="18"/>
                <w:szCs w:val="18"/>
                <w:lang w:val="es-ES" w:eastAsia="en-US"/>
              </w:rPr>
            </w:pPr>
            <w:r w:rsidRPr="00105286">
              <w:rPr>
                <w:rFonts w:eastAsia="Times New Roman" w:cs="Arial"/>
                <w:sz w:val="18"/>
                <w:szCs w:val="18"/>
                <w:lang w:val="es-ES" w:eastAsia="en-US"/>
              </w:rPr>
              <w:t>Unidad Estatal de Protección Civil.</w:t>
            </w:r>
          </w:p>
        </w:tc>
        <w:tc>
          <w:tcPr>
            <w:tcW w:w="1404" w:type="dxa"/>
            <w:tcBorders>
              <w:top w:val="single" w:sz="4" w:space="0" w:color="auto"/>
              <w:left w:val="single" w:sz="4" w:space="0" w:color="auto"/>
              <w:bottom w:val="single" w:sz="4" w:space="0" w:color="auto"/>
              <w:right w:val="single" w:sz="4" w:space="0" w:color="auto"/>
            </w:tcBorders>
            <w:vAlign w:val="center"/>
            <w:hideMark/>
          </w:tcPr>
          <w:p w14:paraId="045CDDEC" w14:textId="77777777" w:rsidR="00BF5974" w:rsidRPr="00105286" w:rsidRDefault="00BF5974">
            <w:pPr>
              <w:spacing w:line="256" w:lineRule="auto"/>
              <w:jc w:val="right"/>
              <w:rPr>
                <w:rFonts w:eastAsia="Times New Roman" w:cs="Arial"/>
                <w:sz w:val="18"/>
                <w:szCs w:val="18"/>
                <w:lang w:val="es-ES" w:eastAsia="en-US"/>
              </w:rPr>
            </w:pPr>
            <w:r w:rsidRPr="00105286">
              <w:rPr>
                <w:rFonts w:cs="Arial"/>
                <w:sz w:val="18"/>
                <w:szCs w:val="18"/>
                <w:lang w:val="es-ES" w:eastAsia="en-US"/>
              </w:rPr>
              <w:t xml:space="preserve">25,343,686 </w:t>
            </w:r>
          </w:p>
        </w:tc>
      </w:tr>
      <w:tr w:rsidR="00105286" w:rsidRPr="00105286" w14:paraId="24B6399B" w14:textId="77777777" w:rsidTr="00BF5974">
        <w:trPr>
          <w:trHeight w:val="20"/>
          <w:jc w:val="right"/>
        </w:trPr>
        <w:tc>
          <w:tcPr>
            <w:tcW w:w="1165" w:type="dxa"/>
            <w:tcBorders>
              <w:top w:val="single" w:sz="4" w:space="0" w:color="auto"/>
              <w:left w:val="single" w:sz="4" w:space="0" w:color="auto"/>
              <w:bottom w:val="single" w:sz="4" w:space="0" w:color="auto"/>
              <w:right w:val="single" w:sz="4" w:space="0" w:color="auto"/>
            </w:tcBorders>
            <w:vAlign w:val="center"/>
            <w:hideMark/>
          </w:tcPr>
          <w:p w14:paraId="7D4339DD"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040408002</w:t>
            </w:r>
          </w:p>
        </w:tc>
        <w:tc>
          <w:tcPr>
            <w:tcW w:w="6490" w:type="dxa"/>
            <w:tcBorders>
              <w:top w:val="single" w:sz="4" w:space="0" w:color="auto"/>
              <w:left w:val="single" w:sz="4" w:space="0" w:color="auto"/>
              <w:bottom w:val="single" w:sz="4" w:space="0" w:color="auto"/>
              <w:right w:val="single" w:sz="4" w:space="0" w:color="auto"/>
            </w:tcBorders>
            <w:vAlign w:val="center"/>
            <w:hideMark/>
          </w:tcPr>
          <w:p w14:paraId="170FCC26" w14:textId="77777777" w:rsidR="00BF5974" w:rsidRPr="00105286" w:rsidRDefault="00BF5974">
            <w:pPr>
              <w:spacing w:line="256" w:lineRule="auto"/>
              <w:rPr>
                <w:rFonts w:eastAsia="Times New Roman" w:cs="Arial"/>
                <w:sz w:val="18"/>
                <w:szCs w:val="18"/>
                <w:lang w:val="es-ES" w:eastAsia="en-US"/>
              </w:rPr>
            </w:pPr>
            <w:r w:rsidRPr="00105286">
              <w:rPr>
                <w:rFonts w:eastAsia="Times New Roman" w:cs="Arial"/>
                <w:sz w:val="18"/>
                <w:szCs w:val="18"/>
                <w:lang w:val="es-ES" w:eastAsia="en-US"/>
              </w:rPr>
              <w:t>Cruz Roja Mexicana, I.A.P.</w:t>
            </w:r>
          </w:p>
        </w:tc>
        <w:tc>
          <w:tcPr>
            <w:tcW w:w="1404" w:type="dxa"/>
            <w:tcBorders>
              <w:top w:val="single" w:sz="4" w:space="0" w:color="auto"/>
              <w:left w:val="single" w:sz="4" w:space="0" w:color="auto"/>
              <w:bottom w:val="single" w:sz="4" w:space="0" w:color="auto"/>
              <w:right w:val="single" w:sz="4" w:space="0" w:color="auto"/>
            </w:tcBorders>
            <w:vAlign w:val="center"/>
            <w:hideMark/>
          </w:tcPr>
          <w:p w14:paraId="541780D4" w14:textId="77777777" w:rsidR="00BF5974" w:rsidRPr="00105286" w:rsidRDefault="00BF5974">
            <w:pPr>
              <w:spacing w:line="256" w:lineRule="auto"/>
              <w:jc w:val="right"/>
              <w:rPr>
                <w:rFonts w:eastAsia="Times New Roman" w:cs="Arial"/>
                <w:sz w:val="18"/>
                <w:szCs w:val="18"/>
                <w:lang w:val="es-ES" w:eastAsia="en-US"/>
              </w:rPr>
            </w:pPr>
            <w:r w:rsidRPr="00105286">
              <w:rPr>
                <w:rFonts w:cs="Arial"/>
                <w:sz w:val="18"/>
                <w:szCs w:val="18"/>
                <w:lang w:val="es-ES" w:eastAsia="en-US"/>
              </w:rPr>
              <w:t xml:space="preserve">9,376,318 </w:t>
            </w:r>
          </w:p>
        </w:tc>
      </w:tr>
      <w:tr w:rsidR="00105286" w:rsidRPr="00105286" w14:paraId="6E9FB2F6" w14:textId="77777777" w:rsidTr="00BF5974">
        <w:trPr>
          <w:trHeight w:val="20"/>
          <w:jc w:val="right"/>
        </w:trPr>
        <w:tc>
          <w:tcPr>
            <w:tcW w:w="1165" w:type="dxa"/>
            <w:tcBorders>
              <w:top w:val="single" w:sz="4" w:space="0" w:color="auto"/>
              <w:left w:val="single" w:sz="4" w:space="0" w:color="auto"/>
              <w:bottom w:val="single" w:sz="4" w:space="0" w:color="auto"/>
              <w:right w:val="single" w:sz="4" w:space="0" w:color="auto"/>
            </w:tcBorders>
            <w:vAlign w:val="center"/>
            <w:hideMark/>
          </w:tcPr>
          <w:p w14:paraId="7DCCBB0F"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040408003</w:t>
            </w:r>
          </w:p>
        </w:tc>
        <w:tc>
          <w:tcPr>
            <w:tcW w:w="6490" w:type="dxa"/>
            <w:tcBorders>
              <w:top w:val="single" w:sz="4" w:space="0" w:color="auto"/>
              <w:left w:val="single" w:sz="4" w:space="0" w:color="auto"/>
              <w:bottom w:val="single" w:sz="4" w:space="0" w:color="auto"/>
              <w:right w:val="single" w:sz="4" w:space="0" w:color="auto"/>
            </w:tcBorders>
            <w:vAlign w:val="center"/>
            <w:hideMark/>
          </w:tcPr>
          <w:p w14:paraId="323120CA" w14:textId="77777777" w:rsidR="00BF5974" w:rsidRPr="00105286" w:rsidRDefault="00BF5974">
            <w:pPr>
              <w:spacing w:line="256" w:lineRule="auto"/>
              <w:rPr>
                <w:rFonts w:eastAsia="Times New Roman" w:cs="Arial"/>
                <w:sz w:val="18"/>
                <w:szCs w:val="18"/>
                <w:lang w:val="es-ES" w:eastAsia="en-US"/>
              </w:rPr>
            </w:pPr>
            <w:r w:rsidRPr="00105286">
              <w:rPr>
                <w:rFonts w:eastAsia="Times New Roman" w:cs="Arial"/>
                <w:sz w:val="18"/>
                <w:szCs w:val="18"/>
                <w:lang w:val="es-ES" w:eastAsia="en-US"/>
              </w:rPr>
              <w:t>Patronato del Cuerpo de Bomberos Voluntarios de Colima, A.C.</w:t>
            </w:r>
          </w:p>
        </w:tc>
        <w:tc>
          <w:tcPr>
            <w:tcW w:w="1404" w:type="dxa"/>
            <w:tcBorders>
              <w:top w:val="single" w:sz="4" w:space="0" w:color="auto"/>
              <w:left w:val="single" w:sz="4" w:space="0" w:color="auto"/>
              <w:bottom w:val="single" w:sz="4" w:space="0" w:color="auto"/>
              <w:right w:val="single" w:sz="4" w:space="0" w:color="auto"/>
            </w:tcBorders>
            <w:vAlign w:val="center"/>
            <w:hideMark/>
          </w:tcPr>
          <w:p w14:paraId="21C3C66B" w14:textId="77777777" w:rsidR="00BF5974" w:rsidRPr="00105286" w:rsidRDefault="00BF5974">
            <w:pPr>
              <w:spacing w:line="256" w:lineRule="auto"/>
              <w:jc w:val="right"/>
              <w:rPr>
                <w:rFonts w:eastAsia="Times New Roman" w:cs="Arial"/>
                <w:sz w:val="18"/>
                <w:szCs w:val="18"/>
                <w:lang w:val="es-ES" w:eastAsia="en-US"/>
              </w:rPr>
            </w:pPr>
            <w:r w:rsidRPr="00105286">
              <w:rPr>
                <w:rFonts w:cs="Arial"/>
                <w:sz w:val="18"/>
                <w:szCs w:val="18"/>
                <w:lang w:val="es-ES" w:eastAsia="en-US"/>
              </w:rPr>
              <w:t xml:space="preserve">836,680 </w:t>
            </w:r>
          </w:p>
        </w:tc>
      </w:tr>
      <w:tr w:rsidR="00105286" w:rsidRPr="00105286" w14:paraId="666239A0" w14:textId="77777777" w:rsidTr="00BF5974">
        <w:trPr>
          <w:trHeight w:val="20"/>
          <w:jc w:val="right"/>
        </w:trPr>
        <w:tc>
          <w:tcPr>
            <w:tcW w:w="1165" w:type="dxa"/>
            <w:tcBorders>
              <w:top w:val="single" w:sz="4" w:space="0" w:color="auto"/>
              <w:left w:val="single" w:sz="4" w:space="0" w:color="auto"/>
              <w:bottom w:val="single" w:sz="4" w:space="0" w:color="auto"/>
              <w:right w:val="single" w:sz="4" w:space="0" w:color="auto"/>
            </w:tcBorders>
            <w:vAlign w:val="center"/>
            <w:hideMark/>
          </w:tcPr>
          <w:p w14:paraId="7FA17B21"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040408004</w:t>
            </w:r>
          </w:p>
        </w:tc>
        <w:tc>
          <w:tcPr>
            <w:tcW w:w="6490" w:type="dxa"/>
            <w:tcBorders>
              <w:top w:val="single" w:sz="4" w:space="0" w:color="auto"/>
              <w:left w:val="single" w:sz="4" w:space="0" w:color="auto"/>
              <w:bottom w:val="single" w:sz="4" w:space="0" w:color="auto"/>
              <w:right w:val="single" w:sz="4" w:space="0" w:color="auto"/>
            </w:tcBorders>
            <w:vAlign w:val="center"/>
            <w:hideMark/>
          </w:tcPr>
          <w:p w14:paraId="70FD9340" w14:textId="77777777" w:rsidR="00BF5974" w:rsidRPr="00105286" w:rsidRDefault="00BF5974">
            <w:pPr>
              <w:spacing w:line="256" w:lineRule="auto"/>
              <w:rPr>
                <w:rFonts w:eastAsia="Times New Roman" w:cs="Arial"/>
                <w:sz w:val="18"/>
                <w:szCs w:val="18"/>
                <w:lang w:val="es-ES" w:eastAsia="en-US"/>
              </w:rPr>
            </w:pPr>
            <w:r w:rsidRPr="00105286">
              <w:rPr>
                <w:rFonts w:eastAsia="Times New Roman" w:cs="Arial"/>
                <w:sz w:val="18"/>
                <w:szCs w:val="18"/>
                <w:lang w:val="es-ES" w:eastAsia="en-US"/>
              </w:rPr>
              <w:t>Patronato del H. Cuerpo de Bomberos Voluntarios de Villa de Álvarez, A.C.</w:t>
            </w:r>
          </w:p>
        </w:tc>
        <w:tc>
          <w:tcPr>
            <w:tcW w:w="1404" w:type="dxa"/>
            <w:tcBorders>
              <w:top w:val="single" w:sz="4" w:space="0" w:color="auto"/>
              <w:left w:val="single" w:sz="4" w:space="0" w:color="auto"/>
              <w:bottom w:val="single" w:sz="4" w:space="0" w:color="auto"/>
              <w:right w:val="single" w:sz="4" w:space="0" w:color="auto"/>
            </w:tcBorders>
            <w:vAlign w:val="center"/>
            <w:hideMark/>
          </w:tcPr>
          <w:p w14:paraId="4B06FE9A" w14:textId="77777777" w:rsidR="00BF5974" w:rsidRPr="00105286" w:rsidRDefault="00BF5974">
            <w:pPr>
              <w:spacing w:line="256" w:lineRule="auto"/>
              <w:jc w:val="right"/>
              <w:rPr>
                <w:rFonts w:eastAsia="Times New Roman" w:cs="Arial"/>
                <w:sz w:val="18"/>
                <w:szCs w:val="18"/>
                <w:lang w:val="es-ES" w:eastAsia="en-US"/>
              </w:rPr>
            </w:pPr>
            <w:r w:rsidRPr="00105286">
              <w:rPr>
                <w:rFonts w:cs="Arial"/>
                <w:sz w:val="18"/>
                <w:szCs w:val="18"/>
                <w:lang w:val="es-ES" w:eastAsia="en-US"/>
              </w:rPr>
              <w:t xml:space="preserve">826,800 </w:t>
            </w:r>
          </w:p>
        </w:tc>
      </w:tr>
      <w:tr w:rsidR="00105286" w:rsidRPr="00105286" w14:paraId="73F81393" w14:textId="77777777" w:rsidTr="00BF5974">
        <w:trPr>
          <w:trHeight w:val="20"/>
          <w:jc w:val="right"/>
        </w:trPr>
        <w:tc>
          <w:tcPr>
            <w:tcW w:w="1165" w:type="dxa"/>
            <w:tcBorders>
              <w:top w:val="single" w:sz="4" w:space="0" w:color="auto"/>
              <w:left w:val="single" w:sz="4" w:space="0" w:color="auto"/>
              <w:bottom w:val="single" w:sz="4" w:space="0" w:color="auto"/>
              <w:right w:val="single" w:sz="4" w:space="0" w:color="auto"/>
            </w:tcBorders>
            <w:vAlign w:val="center"/>
            <w:hideMark/>
          </w:tcPr>
          <w:p w14:paraId="6149AD9A"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040408005</w:t>
            </w:r>
          </w:p>
        </w:tc>
        <w:tc>
          <w:tcPr>
            <w:tcW w:w="6490" w:type="dxa"/>
            <w:tcBorders>
              <w:top w:val="single" w:sz="4" w:space="0" w:color="auto"/>
              <w:left w:val="single" w:sz="4" w:space="0" w:color="auto"/>
              <w:bottom w:val="single" w:sz="4" w:space="0" w:color="auto"/>
              <w:right w:val="single" w:sz="4" w:space="0" w:color="auto"/>
            </w:tcBorders>
            <w:vAlign w:val="center"/>
            <w:hideMark/>
          </w:tcPr>
          <w:p w14:paraId="6295DE29" w14:textId="77777777" w:rsidR="00BF5974" w:rsidRPr="00105286" w:rsidRDefault="00BF5974">
            <w:pPr>
              <w:spacing w:line="256" w:lineRule="auto"/>
              <w:rPr>
                <w:rFonts w:eastAsia="Times New Roman" w:cs="Arial"/>
                <w:sz w:val="18"/>
                <w:szCs w:val="18"/>
                <w:lang w:val="es-ES" w:eastAsia="en-US"/>
              </w:rPr>
            </w:pPr>
            <w:r w:rsidRPr="00105286">
              <w:rPr>
                <w:rFonts w:eastAsia="Times New Roman" w:cs="Arial"/>
                <w:sz w:val="18"/>
                <w:szCs w:val="18"/>
                <w:lang w:val="es-ES" w:eastAsia="en-US"/>
              </w:rPr>
              <w:t>Patronato H. Cuerpo Bomberos Voluntarios de Tecomán, A.C.</w:t>
            </w:r>
          </w:p>
        </w:tc>
        <w:tc>
          <w:tcPr>
            <w:tcW w:w="1404" w:type="dxa"/>
            <w:tcBorders>
              <w:top w:val="single" w:sz="4" w:space="0" w:color="auto"/>
              <w:left w:val="single" w:sz="4" w:space="0" w:color="auto"/>
              <w:bottom w:val="single" w:sz="4" w:space="0" w:color="auto"/>
              <w:right w:val="single" w:sz="4" w:space="0" w:color="auto"/>
            </w:tcBorders>
            <w:vAlign w:val="center"/>
            <w:hideMark/>
          </w:tcPr>
          <w:p w14:paraId="2A78B658" w14:textId="77777777" w:rsidR="00BF5974" w:rsidRPr="00105286" w:rsidRDefault="00BF5974">
            <w:pPr>
              <w:spacing w:line="256" w:lineRule="auto"/>
              <w:jc w:val="right"/>
              <w:rPr>
                <w:rFonts w:eastAsia="Times New Roman" w:cs="Arial"/>
                <w:sz w:val="18"/>
                <w:szCs w:val="18"/>
                <w:lang w:val="es-ES" w:eastAsia="en-US"/>
              </w:rPr>
            </w:pPr>
            <w:r w:rsidRPr="00105286">
              <w:rPr>
                <w:rFonts w:cs="Arial"/>
                <w:sz w:val="18"/>
                <w:szCs w:val="18"/>
                <w:lang w:val="es-ES" w:eastAsia="en-US"/>
              </w:rPr>
              <w:t xml:space="preserve">826,800 </w:t>
            </w:r>
          </w:p>
        </w:tc>
      </w:tr>
      <w:tr w:rsidR="00105286" w:rsidRPr="00105286" w14:paraId="71ADF210" w14:textId="77777777" w:rsidTr="00BF5974">
        <w:trPr>
          <w:trHeight w:val="20"/>
          <w:jc w:val="right"/>
        </w:trPr>
        <w:tc>
          <w:tcPr>
            <w:tcW w:w="1165" w:type="dxa"/>
            <w:tcBorders>
              <w:top w:val="single" w:sz="4" w:space="0" w:color="auto"/>
              <w:left w:val="single" w:sz="4" w:space="0" w:color="auto"/>
              <w:bottom w:val="single" w:sz="4" w:space="0" w:color="auto"/>
              <w:right w:val="single" w:sz="4" w:space="0" w:color="auto"/>
            </w:tcBorders>
            <w:vAlign w:val="center"/>
            <w:hideMark/>
          </w:tcPr>
          <w:p w14:paraId="0F13E4CB" w14:textId="77777777" w:rsidR="00BF5974" w:rsidRPr="00105286" w:rsidRDefault="00BF5974">
            <w:pPr>
              <w:spacing w:line="256" w:lineRule="auto"/>
              <w:jc w:val="center"/>
              <w:rPr>
                <w:rFonts w:eastAsia="Times New Roman" w:cs="Arial"/>
                <w:b/>
                <w:bCs/>
                <w:sz w:val="18"/>
                <w:szCs w:val="18"/>
                <w:lang w:val="es-ES" w:eastAsia="en-US"/>
              </w:rPr>
            </w:pPr>
            <w:r w:rsidRPr="00105286">
              <w:rPr>
                <w:rFonts w:eastAsia="Times New Roman" w:cs="Arial"/>
                <w:b/>
                <w:bCs/>
                <w:sz w:val="18"/>
                <w:szCs w:val="18"/>
                <w:lang w:val="es-ES" w:eastAsia="en-US"/>
              </w:rPr>
              <w:t>070901000</w:t>
            </w:r>
          </w:p>
        </w:tc>
        <w:tc>
          <w:tcPr>
            <w:tcW w:w="6490" w:type="dxa"/>
            <w:tcBorders>
              <w:top w:val="single" w:sz="4" w:space="0" w:color="auto"/>
              <w:left w:val="single" w:sz="4" w:space="0" w:color="auto"/>
              <w:bottom w:val="single" w:sz="4" w:space="0" w:color="auto"/>
              <w:right w:val="single" w:sz="4" w:space="0" w:color="auto"/>
            </w:tcBorders>
            <w:vAlign w:val="center"/>
            <w:hideMark/>
          </w:tcPr>
          <w:p w14:paraId="093CF2ED" w14:textId="77777777" w:rsidR="00BF5974" w:rsidRPr="00105286" w:rsidRDefault="00BF5974">
            <w:pPr>
              <w:spacing w:line="256" w:lineRule="auto"/>
              <w:rPr>
                <w:rFonts w:eastAsia="Times New Roman" w:cs="Arial"/>
                <w:b/>
                <w:bCs/>
                <w:sz w:val="18"/>
                <w:szCs w:val="18"/>
                <w:lang w:val="es-ES" w:eastAsia="en-US"/>
              </w:rPr>
            </w:pPr>
            <w:r w:rsidRPr="00105286">
              <w:rPr>
                <w:rFonts w:eastAsia="Times New Roman" w:cs="Arial"/>
                <w:b/>
                <w:bCs/>
                <w:sz w:val="18"/>
                <w:szCs w:val="18"/>
                <w:lang w:val="es-ES" w:eastAsia="en-US"/>
              </w:rPr>
              <w:t>Contingencias por Fenómenos Naturales.</w:t>
            </w:r>
          </w:p>
        </w:tc>
        <w:tc>
          <w:tcPr>
            <w:tcW w:w="1404" w:type="dxa"/>
            <w:tcBorders>
              <w:top w:val="single" w:sz="4" w:space="0" w:color="auto"/>
              <w:left w:val="single" w:sz="4" w:space="0" w:color="auto"/>
              <w:bottom w:val="single" w:sz="4" w:space="0" w:color="auto"/>
              <w:right w:val="single" w:sz="4" w:space="0" w:color="auto"/>
            </w:tcBorders>
            <w:vAlign w:val="center"/>
            <w:hideMark/>
          </w:tcPr>
          <w:p w14:paraId="024023E6" w14:textId="77777777" w:rsidR="00BF5974" w:rsidRPr="00105286" w:rsidRDefault="00BF5974">
            <w:pPr>
              <w:spacing w:line="256" w:lineRule="auto"/>
              <w:jc w:val="right"/>
              <w:rPr>
                <w:rFonts w:eastAsia="Times New Roman" w:cs="Arial"/>
                <w:b/>
                <w:bCs/>
                <w:sz w:val="18"/>
                <w:szCs w:val="18"/>
                <w:lang w:val="es-ES" w:eastAsia="en-US"/>
              </w:rPr>
            </w:pPr>
            <w:r w:rsidRPr="00105286">
              <w:rPr>
                <w:rFonts w:cs="Arial"/>
                <w:b/>
                <w:bCs/>
                <w:sz w:val="18"/>
                <w:szCs w:val="18"/>
                <w:lang w:val="es-ES" w:eastAsia="en-US"/>
              </w:rPr>
              <w:t xml:space="preserve">3,000,000 </w:t>
            </w:r>
          </w:p>
        </w:tc>
      </w:tr>
      <w:tr w:rsidR="00105286" w:rsidRPr="00105286" w14:paraId="21667EAC" w14:textId="77777777" w:rsidTr="00BF5974">
        <w:trPr>
          <w:trHeight w:val="20"/>
          <w:jc w:val="right"/>
        </w:trPr>
        <w:tc>
          <w:tcPr>
            <w:tcW w:w="1165" w:type="dxa"/>
            <w:tcBorders>
              <w:top w:val="single" w:sz="4" w:space="0" w:color="auto"/>
              <w:left w:val="single" w:sz="4" w:space="0" w:color="auto"/>
              <w:bottom w:val="single" w:sz="4" w:space="0" w:color="auto"/>
              <w:right w:val="single" w:sz="4" w:space="0" w:color="auto"/>
            </w:tcBorders>
            <w:vAlign w:val="center"/>
            <w:hideMark/>
          </w:tcPr>
          <w:p w14:paraId="392C42E8"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sz w:val="18"/>
                <w:szCs w:val="18"/>
                <w:lang w:val="es-ES" w:eastAsia="en-US"/>
              </w:rPr>
              <w:t>070901001</w:t>
            </w:r>
          </w:p>
        </w:tc>
        <w:tc>
          <w:tcPr>
            <w:tcW w:w="6490" w:type="dxa"/>
            <w:tcBorders>
              <w:top w:val="single" w:sz="4" w:space="0" w:color="auto"/>
              <w:left w:val="single" w:sz="4" w:space="0" w:color="auto"/>
              <w:bottom w:val="single" w:sz="4" w:space="0" w:color="auto"/>
              <w:right w:val="single" w:sz="4" w:space="0" w:color="auto"/>
            </w:tcBorders>
            <w:vAlign w:val="center"/>
            <w:hideMark/>
          </w:tcPr>
          <w:p w14:paraId="720F88D5" w14:textId="77777777" w:rsidR="00BF5974" w:rsidRPr="00105286" w:rsidRDefault="00BF5974">
            <w:pPr>
              <w:spacing w:line="256" w:lineRule="auto"/>
              <w:rPr>
                <w:rFonts w:eastAsia="Times New Roman" w:cs="Arial"/>
                <w:sz w:val="18"/>
                <w:szCs w:val="18"/>
                <w:lang w:val="es-ES" w:eastAsia="en-US"/>
              </w:rPr>
            </w:pPr>
            <w:r w:rsidRPr="00105286">
              <w:rPr>
                <w:rFonts w:eastAsia="Times New Roman" w:cs="Arial"/>
                <w:sz w:val="18"/>
                <w:szCs w:val="18"/>
                <w:lang w:val="es-ES" w:eastAsia="en-US"/>
              </w:rPr>
              <w:t>Fondo de Desastres Naturales.</w:t>
            </w:r>
          </w:p>
        </w:tc>
        <w:tc>
          <w:tcPr>
            <w:tcW w:w="1404" w:type="dxa"/>
            <w:tcBorders>
              <w:top w:val="single" w:sz="4" w:space="0" w:color="auto"/>
              <w:left w:val="single" w:sz="4" w:space="0" w:color="auto"/>
              <w:bottom w:val="single" w:sz="4" w:space="0" w:color="auto"/>
              <w:right w:val="single" w:sz="4" w:space="0" w:color="auto"/>
            </w:tcBorders>
            <w:vAlign w:val="center"/>
            <w:hideMark/>
          </w:tcPr>
          <w:p w14:paraId="59014951" w14:textId="77777777" w:rsidR="00BF5974" w:rsidRPr="00105286" w:rsidRDefault="00BF5974">
            <w:pPr>
              <w:spacing w:line="256" w:lineRule="auto"/>
              <w:jc w:val="right"/>
              <w:rPr>
                <w:rFonts w:eastAsia="Times New Roman" w:cs="Arial"/>
                <w:sz w:val="18"/>
                <w:szCs w:val="18"/>
                <w:lang w:val="es-ES" w:eastAsia="en-US"/>
              </w:rPr>
            </w:pPr>
            <w:r w:rsidRPr="00105286">
              <w:rPr>
                <w:rFonts w:cs="Arial"/>
                <w:sz w:val="18"/>
                <w:szCs w:val="18"/>
                <w:lang w:val="es-ES" w:eastAsia="en-US"/>
              </w:rPr>
              <w:t xml:space="preserve">3,000,000 </w:t>
            </w:r>
          </w:p>
        </w:tc>
      </w:tr>
      <w:tr w:rsidR="00105286" w:rsidRPr="00105286" w14:paraId="2FC88260" w14:textId="77777777" w:rsidTr="00BF5974">
        <w:trPr>
          <w:trHeight w:val="20"/>
          <w:jc w:val="right"/>
        </w:trPr>
        <w:tc>
          <w:tcPr>
            <w:tcW w:w="1165" w:type="dxa"/>
            <w:tcBorders>
              <w:top w:val="single" w:sz="4" w:space="0" w:color="auto"/>
              <w:left w:val="single" w:sz="4" w:space="0" w:color="auto"/>
              <w:bottom w:val="single" w:sz="4" w:space="0" w:color="auto"/>
              <w:right w:val="single" w:sz="4" w:space="0" w:color="auto"/>
            </w:tcBorders>
            <w:vAlign w:val="center"/>
          </w:tcPr>
          <w:p w14:paraId="74164294" w14:textId="77777777" w:rsidR="00BF5974" w:rsidRPr="00105286" w:rsidRDefault="00BF5974">
            <w:pPr>
              <w:spacing w:line="256" w:lineRule="auto"/>
              <w:jc w:val="center"/>
              <w:rPr>
                <w:rFonts w:eastAsia="Times New Roman" w:cs="Arial"/>
                <w:sz w:val="18"/>
                <w:szCs w:val="18"/>
                <w:lang w:val="es-ES" w:eastAsia="en-US"/>
              </w:rPr>
            </w:pPr>
          </w:p>
        </w:tc>
        <w:tc>
          <w:tcPr>
            <w:tcW w:w="6490" w:type="dxa"/>
            <w:tcBorders>
              <w:top w:val="single" w:sz="4" w:space="0" w:color="auto"/>
              <w:left w:val="single" w:sz="4" w:space="0" w:color="auto"/>
              <w:bottom w:val="single" w:sz="4" w:space="0" w:color="auto"/>
              <w:right w:val="single" w:sz="4" w:space="0" w:color="auto"/>
            </w:tcBorders>
            <w:vAlign w:val="center"/>
            <w:hideMark/>
          </w:tcPr>
          <w:p w14:paraId="15052D84" w14:textId="77777777" w:rsidR="00BF5974" w:rsidRPr="00105286" w:rsidRDefault="00BF5974">
            <w:pPr>
              <w:spacing w:line="256" w:lineRule="auto"/>
              <w:jc w:val="center"/>
              <w:rPr>
                <w:rFonts w:eastAsia="Times New Roman" w:cs="Arial"/>
                <w:sz w:val="18"/>
                <w:szCs w:val="18"/>
                <w:lang w:val="es-ES" w:eastAsia="en-US"/>
              </w:rPr>
            </w:pPr>
            <w:r w:rsidRPr="00105286">
              <w:rPr>
                <w:rFonts w:eastAsia="Times New Roman" w:cs="Arial"/>
                <w:b/>
                <w:bCs/>
                <w:sz w:val="18"/>
                <w:szCs w:val="18"/>
                <w:lang w:val="es-ES" w:eastAsia="en-US"/>
              </w:rPr>
              <w:t>Total</w:t>
            </w:r>
          </w:p>
        </w:tc>
        <w:tc>
          <w:tcPr>
            <w:tcW w:w="1404" w:type="dxa"/>
            <w:tcBorders>
              <w:top w:val="single" w:sz="4" w:space="0" w:color="auto"/>
              <w:left w:val="single" w:sz="4" w:space="0" w:color="auto"/>
              <w:bottom w:val="single" w:sz="4" w:space="0" w:color="auto"/>
              <w:right w:val="single" w:sz="4" w:space="0" w:color="auto"/>
            </w:tcBorders>
            <w:vAlign w:val="center"/>
            <w:hideMark/>
          </w:tcPr>
          <w:p w14:paraId="02AFDD46" w14:textId="77777777" w:rsidR="00BF5974" w:rsidRPr="00105286" w:rsidRDefault="00BF5974">
            <w:pPr>
              <w:spacing w:line="256" w:lineRule="auto"/>
              <w:jc w:val="right"/>
              <w:rPr>
                <w:rFonts w:eastAsia="Times New Roman" w:cs="Arial"/>
                <w:sz w:val="18"/>
                <w:szCs w:val="18"/>
                <w:lang w:val="es-ES" w:eastAsia="en-US"/>
              </w:rPr>
            </w:pPr>
            <w:r w:rsidRPr="00105286">
              <w:rPr>
                <w:rFonts w:cs="Arial"/>
                <w:b/>
                <w:bCs/>
                <w:sz w:val="18"/>
                <w:szCs w:val="18"/>
                <w:lang w:val="es-ES" w:eastAsia="en-US"/>
              </w:rPr>
              <w:t xml:space="preserve">65,210,284 </w:t>
            </w:r>
          </w:p>
        </w:tc>
      </w:tr>
    </w:tbl>
    <w:p w14:paraId="3A3E5C58" w14:textId="77777777" w:rsidR="00BF5974" w:rsidRDefault="00BF5974" w:rsidP="00BF5974">
      <w:pPr>
        <w:rPr>
          <w:rFonts w:cs="Arial"/>
        </w:rPr>
      </w:pPr>
    </w:p>
    <w:p w14:paraId="056960AF" w14:textId="77777777" w:rsidR="00BF5974" w:rsidRDefault="00BF5974" w:rsidP="00BF5974">
      <w:pPr>
        <w:rPr>
          <w:rFonts w:cs="Arial"/>
        </w:rPr>
      </w:pPr>
      <w:r>
        <w:rPr>
          <w:rFonts w:cs="Arial"/>
        </w:rPr>
        <w:t>En cumplimiento a lo dispuesto por el artículo 18 de la Ley General de Protección Civil, para el Ejercicio Fiscal 2025 se asigna para la partida específica de gasto 030405002 Seguro de Gastos Catastróficos un monto de 25,000,000 pesos para la contratación de seguros y demás instrumentos de administración y transferencia de riesgos para la cobertura de daños causados por un desastre natural en bienes e infraestructura estatal.</w:t>
      </w:r>
    </w:p>
    <w:p w14:paraId="36AEBC58" w14:textId="77777777" w:rsidR="00BF5974" w:rsidRDefault="00BF5974" w:rsidP="00BF5974">
      <w:pPr>
        <w:rPr>
          <w:rFonts w:cs="Arial"/>
        </w:rPr>
      </w:pPr>
    </w:p>
    <w:p w14:paraId="687C3A3B" w14:textId="7232897C" w:rsidR="00BF5974" w:rsidRDefault="00BF5974" w:rsidP="00BF5974">
      <w:pPr>
        <w:rPr>
          <w:rFonts w:cs="Arial"/>
        </w:rPr>
      </w:pPr>
      <w:r>
        <w:rPr>
          <w:rFonts w:cs="Arial"/>
        </w:rPr>
        <w:t>Para el Ejercicio Fiscal 2025, se prevén en la partida 070901001 Fondo de Desastres Naturales, 3,000,000 pesos de aportación al Fideicomiso del Fondo de Desastres Naturales.</w:t>
      </w:r>
    </w:p>
    <w:p w14:paraId="17D14652" w14:textId="77777777" w:rsidR="00657B7A" w:rsidRDefault="00657B7A" w:rsidP="00BF5974">
      <w:pPr>
        <w:rPr>
          <w:rFonts w:cs="Arial"/>
        </w:rPr>
      </w:pPr>
    </w:p>
    <w:p w14:paraId="00D2E778" w14:textId="77777777" w:rsidR="00BF5974" w:rsidRDefault="00BF5974" w:rsidP="00BF5974">
      <w:pPr>
        <w:rPr>
          <w:rFonts w:cs="Arial"/>
        </w:rPr>
      </w:pPr>
    </w:p>
    <w:p w14:paraId="360687A3" w14:textId="77777777" w:rsidR="00BF5974" w:rsidRDefault="00BF5974" w:rsidP="00BF5974">
      <w:pPr>
        <w:jc w:val="center"/>
        <w:rPr>
          <w:rFonts w:eastAsia="Times New Roman" w:cs="Arial"/>
          <w:b/>
          <w:lang w:val="es-ES"/>
        </w:rPr>
      </w:pPr>
      <w:bookmarkStart w:id="121" w:name="_Toc526757469"/>
      <w:bookmarkStart w:id="122" w:name="_Toc22021911"/>
      <w:bookmarkStart w:id="123" w:name="_Toc22983176"/>
      <w:r>
        <w:rPr>
          <w:rFonts w:eastAsia="Times New Roman" w:cs="Arial"/>
          <w:b/>
          <w:lang w:val="es-ES"/>
        </w:rPr>
        <w:t xml:space="preserve">CAPÍTULO </w:t>
      </w:r>
      <w:bookmarkEnd w:id="121"/>
      <w:r>
        <w:rPr>
          <w:rFonts w:eastAsia="Times New Roman" w:cs="Arial"/>
          <w:b/>
          <w:lang w:val="es-ES"/>
        </w:rPr>
        <w:t>V</w:t>
      </w:r>
      <w:bookmarkEnd w:id="122"/>
      <w:bookmarkEnd w:id="123"/>
      <w:r>
        <w:rPr>
          <w:rFonts w:eastAsia="Times New Roman" w:cs="Arial"/>
          <w:b/>
          <w:lang w:val="es-ES"/>
        </w:rPr>
        <w:t>II</w:t>
      </w:r>
    </w:p>
    <w:p w14:paraId="338E5607" w14:textId="77777777" w:rsidR="00BF5974" w:rsidRDefault="00BF5974" w:rsidP="00BF5974">
      <w:pPr>
        <w:keepNext/>
        <w:keepLines/>
        <w:jc w:val="center"/>
        <w:outlineLvl w:val="0"/>
        <w:rPr>
          <w:rFonts w:eastAsia="Times New Roman" w:cs="Arial"/>
          <w:b/>
          <w:szCs w:val="32"/>
          <w:lang w:val="es-ES"/>
        </w:rPr>
      </w:pPr>
      <w:bookmarkStart w:id="124" w:name="_Toc526757470"/>
      <w:bookmarkStart w:id="125" w:name="_Toc22021912"/>
      <w:bookmarkStart w:id="126" w:name="_Toc22983177"/>
      <w:r>
        <w:rPr>
          <w:rFonts w:eastAsia="Times New Roman" w:cs="Arial"/>
          <w:b/>
          <w:szCs w:val="32"/>
          <w:lang w:val="es-ES"/>
        </w:rPr>
        <w:t>DE LOS FIDEICOMISOS PÚBLICOS</w:t>
      </w:r>
      <w:bookmarkEnd w:id="124"/>
      <w:bookmarkEnd w:id="125"/>
      <w:bookmarkEnd w:id="126"/>
    </w:p>
    <w:p w14:paraId="7687195D" w14:textId="77777777" w:rsidR="00BF5974" w:rsidRDefault="00BF5974" w:rsidP="00BF5974">
      <w:pPr>
        <w:rPr>
          <w:rFonts w:cs="Arial"/>
          <w:lang w:val="es-ES"/>
        </w:rPr>
      </w:pPr>
    </w:p>
    <w:p w14:paraId="37E50849" w14:textId="77777777" w:rsidR="00BF5974" w:rsidRDefault="00BF5974" w:rsidP="00BF5974">
      <w:pPr>
        <w:rPr>
          <w:rFonts w:cs="Arial"/>
          <w:lang w:val="es-ES"/>
        </w:rPr>
      </w:pPr>
      <w:r>
        <w:rPr>
          <w:rFonts w:cs="Arial"/>
          <w:b/>
          <w:lang w:val="es-ES"/>
        </w:rPr>
        <w:t>Artículo 25</w:t>
      </w:r>
      <w:r>
        <w:rPr>
          <w:rFonts w:cs="Arial"/>
          <w:lang w:val="es-ES"/>
        </w:rPr>
        <w:t>. En apego a lo establecido en los artículos 48 y 49 de la Ley Orgánica del Poder Ejecutivo y de la Administración Pública del Estado de Colima, la persona titular del Poder ejecutivo aprobará la constitución o aumento de fideicomisos públicos. Las autorizaciones serán otorgadas por conducto de la Secretaría de Planeación, Finanzas y Administración, la que fungirá como fideicomitente único de la Administración Pública del Estado.</w:t>
      </w:r>
    </w:p>
    <w:p w14:paraId="687BA9F7" w14:textId="77777777" w:rsidR="00BF5974" w:rsidRDefault="00BF5974" w:rsidP="00BF5974">
      <w:pPr>
        <w:rPr>
          <w:rFonts w:cs="Arial"/>
          <w:lang w:val="es-ES"/>
        </w:rPr>
      </w:pPr>
    </w:p>
    <w:p w14:paraId="6B345393" w14:textId="77777777" w:rsidR="00BF5974" w:rsidRDefault="00BF5974" w:rsidP="00BF5974">
      <w:pPr>
        <w:rPr>
          <w:rFonts w:cs="Arial"/>
          <w:lang w:val="es-ES"/>
        </w:rPr>
      </w:pPr>
      <w:r>
        <w:rPr>
          <w:rFonts w:cs="Arial"/>
          <w:b/>
          <w:lang w:val="es-ES"/>
        </w:rPr>
        <w:lastRenderedPageBreak/>
        <w:t>Artículo 26</w:t>
      </w:r>
      <w:r>
        <w:rPr>
          <w:rFonts w:cs="Arial"/>
          <w:lang w:val="es-ES"/>
        </w:rPr>
        <w:t>. Tratándose de recursos federales cuyo destino sea su transmisión al patrimonio fideicomitido, el procedimiento respectivo se realizará por conducto de la Secretaría, en apego a lo dispuesto por los artículos 48 y 49 de la Ley Orgánica del Poder Ejecutivo y de la Administración Pública del Estado de Colima.</w:t>
      </w:r>
    </w:p>
    <w:p w14:paraId="51772F5A" w14:textId="77777777" w:rsidR="00BF5974" w:rsidRDefault="00BF5974" w:rsidP="00BF5974">
      <w:pPr>
        <w:rPr>
          <w:rFonts w:cs="Arial"/>
          <w:lang w:val="es-ES"/>
        </w:rPr>
      </w:pPr>
    </w:p>
    <w:p w14:paraId="646080C3" w14:textId="77777777" w:rsidR="00BF5974" w:rsidRDefault="00BF5974" w:rsidP="00BF5974">
      <w:pPr>
        <w:rPr>
          <w:rFonts w:cs="Arial"/>
          <w:lang w:val="es-ES"/>
        </w:rPr>
      </w:pPr>
      <w:r>
        <w:rPr>
          <w:rFonts w:cs="Arial"/>
          <w:b/>
          <w:lang w:val="es-ES"/>
        </w:rPr>
        <w:t>Artículo 27</w:t>
      </w:r>
      <w:r>
        <w:rPr>
          <w:rFonts w:cs="Arial"/>
          <w:lang w:val="es-ES"/>
        </w:rPr>
        <w:t xml:space="preserve">. En aquellos fideicomisos en los que se involucren recursos públicos estatales, se deberá establecer una subcuenta específica, con el objeto de diferenciarlos del resto de las demás aportaciones. La Secretaría llevará el registro y control de los fideicomisos en los que participe el Gobierno del Estado. </w:t>
      </w:r>
    </w:p>
    <w:p w14:paraId="65389659" w14:textId="77777777" w:rsidR="00BF5974" w:rsidRDefault="00BF5974" w:rsidP="00BF5974">
      <w:pPr>
        <w:rPr>
          <w:rFonts w:cs="Arial"/>
          <w:lang w:val="es-ES"/>
        </w:rPr>
      </w:pPr>
    </w:p>
    <w:p w14:paraId="46ECC88C" w14:textId="77777777" w:rsidR="00BF5974" w:rsidRDefault="00BF5974" w:rsidP="00BF5974">
      <w:pPr>
        <w:rPr>
          <w:rFonts w:cs="Arial"/>
          <w:lang w:val="es-ES"/>
        </w:rPr>
      </w:pPr>
      <w:r>
        <w:rPr>
          <w:rFonts w:cs="Arial"/>
          <w:lang w:val="es-ES"/>
        </w:rPr>
        <w:t xml:space="preserve">Los fideicomisos, a través de su Comité Técnico, deberán informar trimestralmente a la Secretaría, dentro de los treinta días siguientes a cada trimestre, el saldo de la subcuenta a que se refiere el párrafo anterior. Adicionalmente, la Secretaría podrá solicitarles con la periodicidad que determine y bajo el plazo que establezca, la información jurídica, patrimonial o financiera que requiera, en los términos y condiciones de las disposiciones aplicables. En los contratos respectivos deberá pactarse expresamente tal previsión. </w:t>
      </w:r>
    </w:p>
    <w:p w14:paraId="04D67223" w14:textId="77777777" w:rsidR="00BF5974" w:rsidRDefault="00BF5974" w:rsidP="00BF5974">
      <w:pPr>
        <w:rPr>
          <w:rFonts w:cs="Arial"/>
          <w:lang w:val="es-ES"/>
        </w:rPr>
      </w:pPr>
    </w:p>
    <w:p w14:paraId="31E562EF" w14:textId="77777777" w:rsidR="00BF5974" w:rsidRDefault="00BF5974" w:rsidP="00BF5974">
      <w:pPr>
        <w:rPr>
          <w:rFonts w:cs="Arial"/>
          <w:lang w:val="es-ES"/>
        </w:rPr>
      </w:pPr>
      <w:r>
        <w:rPr>
          <w:rFonts w:cs="Arial"/>
          <w:lang w:val="es-ES"/>
        </w:rPr>
        <w:t>En caso de que exista compromiso del Municipio, o de los particulares con el Gobierno Estatal para otorgar sumas de recursos al patrimonio del fideicomiso y aquéllos incumplan con la aportación de dichos recursos, con las reglas de operación del fideicomiso o del Programa Presupuestario correspondiente, el Gobierno Estatal, por conducto de la Dependencia de la Administración Pública Centralizada o Entidad de la Administración Pública Paraestatal que coordine la operación del fideicomiso, podrá suspender las aportaciones subsecuentes.</w:t>
      </w:r>
    </w:p>
    <w:p w14:paraId="481149D5" w14:textId="77777777" w:rsidR="00BF5974" w:rsidRDefault="00BF5974" w:rsidP="00BF5974">
      <w:pPr>
        <w:rPr>
          <w:rFonts w:cs="Arial"/>
          <w:lang w:val="es-ES"/>
        </w:rPr>
      </w:pPr>
    </w:p>
    <w:p w14:paraId="5A4A5681" w14:textId="77777777" w:rsidR="00BF5974" w:rsidRDefault="00BF5974" w:rsidP="00BF5974">
      <w:pPr>
        <w:rPr>
          <w:rFonts w:cs="Arial"/>
          <w:lang w:val="es-ES"/>
        </w:rPr>
      </w:pPr>
      <w:r>
        <w:rPr>
          <w:rFonts w:cs="Arial"/>
          <w:b/>
          <w:lang w:val="es-ES"/>
        </w:rPr>
        <w:t>Artículo 28</w:t>
      </w:r>
      <w:r>
        <w:rPr>
          <w:rFonts w:cs="Arial"/>
          <w:lang w:val="es-ES"/>
        </w:rPr>
        <w:t>. Los fideicomisos, fondos, mandatos o análogos públicos o privados que se constituyan, así como las aportaciones, transferencias o pagos de cualquier naturaleza que se realicen a los mismos, deberán apegarse estrictamente a las reglas de disciplina financiera, transparencia, rendición de cuentas y fiscalización del gasto. Todos los recursos en numerario, así como activos, derechos, títulos, certificados o cualquier otro análogo que se aporten o incorporen al patrimonio de fondos o fidecomisos serán públicos, y no se podrá invocar secreto o reserva fiduciaria para su fiscalización.</w:t>
      </w:r>
    </w:p>
    <w:p w14:paraId="70E582CE" w14:textId="77777777" w:rsidR="00BF5974" w:rsidRDefault="00BF5974" w:rsidP="00BF5974">
      <w:pPr>
        <w:rPr>
          <w:rFonts w:cs="Arial"/>
          <w:lang w:val="es-ES"/>
        </w:rPr>
      </w:pPr>
    </w:p>
    <w:p w14:paraId="2FD800EA" w14:textId="77777777" w:rsidR="00BF5974" w:rsidRDefault="00BF5974" w:rsidP="00BF5974">
      <w:pPr>
        <w:rPr>
          <w:rFonts w:cs="Arial"/>
          <w:lang w:val="es-ES"/>
        </w:rPr>
      </w:pPr>
      <w:r>
        <w:rPr>
          <w:rFonts w:cs="Arial"/>
          <w:lang w:val="es-ES"/>
        </w:rPr>
        <w:t>Se prohíbe la celebración de fideicomisos, mandatos o contratos análogos, que tengan como propósito eludir la anualidad de este Presupuesto.</w:t>
      </w:r>
    </w:p>
    <w:p w14:paraId="0CA7D007" w14:textId="77777777" w:rsidR="00BF5974" w:rsidRDefault="00BF5974" w:rsidP="00BF5974">
      <w:pPr>
        <w:rPr>
          <w:rFonts w:cs="Arial"/>
          <w:b/>
          <w:lang w:val="es-ES"/>
        </w:rPr>
      </w:pPr>
    </w:p>
    <w:p w14:paraId="1CE446CE" w14:textId="77777777" w:rsidR="00BF5974" w:rsidRDefault="00BF5974" w:rsidP="00BF5974">
      <w:pPr>
        <w:rPr>
          <w:rFonts w:cs="Arial"/>
          <w:lang w:val="es-ES"/>
        </w:rPr>
      </w:pPr>
      <w:r>
        <w:rPr>
          <w:rFonts w:cs="Arial"/>
          <w:b/>
          <w:lang w:val="es-ES"/>
        </w:rPr>
        <w:t>Artículo 29</w:t>
      </w:r>
      <w:r>
        <w:rPr>
          <w:rFonts w:cs="Arial"/>
          <w:lang w:val="es-ES"/>
        </w:rPr>
        <w:t xml:space="preserve">. Las transferencias internas otorgadas a </w:t>
      </w:r>
      <w:r>
        <w:rPr>
          <w:rFonts w:cs="Arial"/>
          <w:bCs/>
          <w:lang w:val="es-ES"/>
        </w:rPr>
        <w:t>Fideicomisos Públicos Con Estructura</w:t>
      </w:r>
      <w:r>
        <w:rPr>
          <w:rFonts w:cs="Arial"/>
          <w:lang w:val="es-ES"/>
        </w:rPr>
        <w:t xml:space="preserve"> en el Presupuesto de Egresos del Estado de Colima para el Ejercicio Fiscal 2025 se distribuyen de la siguiente forma:</w:t>
      </w:r>
    </w:p>
    <w:p w14:paraId="7C7D1164" w14:textId="77777777" w:rsidR="00BF5974" w:rsidRDefault="00BF5974" w:rsidP="00BF5974">
      <w:pPr>
        <w:rPr>
          <w:rFonts w:cs="Arial"/>
          <w:lang w:val="es-ES"/>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8"/>
        <w:gridCol w:w="1017"/>
        <w:gridCol w:w="1134"/>
        <w:gridCol w:w="1393"/>
        <w:gridCol w:w="1295"/>
        <w:gridCol w:w="143"/>
      </w:tblGrid>
      <w:tr w:rsidR="00BF5974" w14:paraId="5F9B2AE8" w14:textId="77777777" w:rsidTr="00BF5974">
        <w:trPr>
          <w:trHeight w:val="283"/>
          <w:tblHeader/>
          <w:jc w:val="center"/>
        </w:trPr>
        <w:tc>
          <w:tcPr>
            <w:tcW w:w="9210" w:type="dxa"/>
            <w:gridSpan w:val="6"/>
            <w:tcBorders>
              <w:top w:val="nil"/>
              <w:left w:val="nil"/>
              <w:bottom w:val="single" w:sz="4" w:space="0" w:color="auto"/>
              <w:right w:val="nil"/>
            </w:tcBorders>
            <w:vAlign w:val="center"/>
            <w:hideMark/>
          </w:tcPr>
          <w:p w14:paraId="6511313F" w14:textId="77777777" w:rsidR="00BF5974" w:rsidRDefault="00BF5974">
            <w:pPr>
              <w:spacing w:line="256" w:lineRule="auto"/>
              <w:jc w:val="center"/>
              <w:rPr>
                <w:rFonts w:cs="Arial"/>
                <w:b/>
                <w:bCs/>
                <w:sz w:val="20"/>
                <w:lang w:val="es-ES" w:eastAsia="en-US"/>
              </w:rPr>
            </w:pPr>
            <w:bookmarkStart w:id="127" w:name="_Toc522869261"/>
            <w:bookmarkStart w:id="128" w:name="_Toc22983178"/>
            <w:bookmarkStart w:id="129" w:name="_Toc22021913"/>
            <w:bookmarkStart w:id="130" w:name="_Toc526757471"/>
            <w:r>
              <w:rPr>
                <w:rFonts w:eastAsia="Times New Roman" w:cs="Arial"/>
                <w:b/>
                <w:sz w:val="20"/>
                <w:lang w:val="es-ES" w:eastAsia="en-US"/>
              </w:rPr>
              <w:lastRenderedPageBreak/>
              <w:t>Tabla 24. Fideicomisos Públicos</w:t>
            </w:r>
            <w:bookmarkEnd w:id="127"/>
            <w:r>
              <w:rPr>
                <w:rFonts w:eastAsia="Times New Roman" w:cs="Arial"/>
                <w:b/>
                <w:sz w:val="20"/>
                <w:lang w:val="es-ES" w:eastAsia="en-US"/>
              </w:rPr>
              <w:t xml:space="preserve"> Con Estructura</w:t>
            </w:r>
            <w:bookmarkEnd w:id="128"/>
            <w:bookmarkEnd w:id="129"/>
            <w:bookmarkEnd w:id="130"/>
          </w:p>
        </w:tc>
      </w:tr>
      <w:tr w:rsidR="00BF5974" w14:paraId="29141953" w14:textId="77777777" w:rsidTr="00BF5974">
        <w:trPr>
          <w:trHeight w:val="283"/>
          <w:tblHeader/>
          <w:jc w:val="center"/>
        </w:trPr>
        <w:tc>
          <w:tcPr>
            <w:tcW w:w="4228" w:type="dxa"/>
            <w:tcBorders>
              <w:top w:val="single" w:sz="4" w:space="0" w:color="auto"/>
              <w:left w:val="single" w:sz="4" w:space="0" w:color="auto"/>
              <w:bottom w:val="single" w:sz="4" w:space="0" w:color="auto"/>
              <w:right w:val="single" w:sz="4" w:space="0" w:color="auto"/>
            </w:tcBorders>
            <w:vAlign w:val="center"/>
            <w:hideMark/>
          </w:tcPr>
          <w:p w14:paraId="5EC9EB22" w14:textId="77777777" w:rsidR="00BF5974" w:rsidRDefault="00BF5974">
            <w:pPr>
              <w:spacing w:line="256" w:lineRule="auto"/>
              <w:jc w:val="center"/>
              <w:rPr>
                <w:rFonts w:cs="Arial"/>
                <w:b/>
                <w:bCs/>
                <w:sz w:val="18"/>
                <w:szCs w:val="18"/>
                <w:lang w:val="es-ES" w:eastAsia="en-US"/>
              </w:rPr>
            </w:pPr>
            <w:r>
              <w:rPr>
                <w:rFonts w:cs="Arial"/>
                <w:b/>
                <w:bCs/>
                <w:sz w:val="18"/>
                <w:szCs w:val="18"/>
                <w:lang w:val="es-ES" w:eastAsia="en-US"/>
              </w:rPr>
              <w:t>Dependencia / Fideicomiso</w:t>
            </w:r>
          </w:p>
        </w:tc>
        <w:tc>
          <w:tcPr>
            <w:tcW w:w="1017" w:type="dxa"/>
            <w:tcBorders>
              <w:top w:val="single" w:sz="4" w:space="0" w:color="auto"/>
              <w:left w:val="single" w:sz="4" w:space="0" w:color="auto"/>
              <w:bottom w:val="single" w:sz="4" w:space="0" w:color="auto"/>
              <w:right w:val="single" w:sz="4" w:space="0" w:color="auto"/>
            </w:tcBorders>
            <w:vAlign w:val="center"/>
            <w:hideMark/>
          </w:tcPr>
          <w:p w14:paraId="034E63ED" w14:textId="77777777" w:rsidR="00BF5974" w:rsidRDefault="00BF5974">
            <w:pPr>
              <w:spacing w:line="256" w:lineRule="auto"/>
              <w:ind w:right="-108"/>
              <w:jc w:val="center"/>
              <w:rPr>
                <w:rFonts w:cs="Arial"/>
                <w:b/>
                <w:bCs/>
                <w:sz w:val="18"/>
                <w:szCs w:val="18"/>
                <w:lang w:val="es-ES" w:eastAsia="en-US"/>
              </w:rPr>
            </w:pPr>
            <w:r>
              <w:rPr>
                <w:rFonts w:cs="Arial"/>
                <w:b/>
                <w:bCs/>
                <w:sz w:val="18"/>
                <w:szCs w:val="18"/>
                <w:lang w:val="es-ES" w:eastAsia="en-US"/>
              </w:rPr>
              <w:t>Número de Contrato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5C3623" w14:textId="77777777" w:rsidR="00BF5974" w:rsidRDefault="00BF5974">
            <w:pPr>
              <w:spacing w:line="256" w:lineRule="auto"/>
              <w:jc w:val="center"/>
              <w:rPr>
                <w:rFonts w:cs="Arial"/>
                <w:b/>
                <w:bCs/>
                <w:sz w:val="18"/>
                <w:szCs w:val="18"/>
                <w:lang w:val="es-ES" w:eastAsia="en-US"/>
              </w:rPr>
            </w:pPr>
            <w:r>
              <w:rPr>
                <w:rFonts w:cs="Arial"/>
                <w:b/>
                <w:bCs/>
                <w:sz w:val="18"/>
                <w:szCs w:val="18"/>
                <w:lang w:val="es-ES" w:eastAsia="en-US"/>
              </w:rPr>
              <w:t>Fiduciario</w:t>
            </w:r>
          </w:p>
        </w:tc>
        <w:tc>
          <w:tcPr>
            <w:tcW w:w="1393" w:type="dxa"/>
            <w:tcBorders>
              <w:top w:val="single" w:sz="4" w:space="0" w:color="auto"/>
              <w:left w:val="single" w:sz="4" w:space="0" w:color="auto"/>
              <w:bottom w:val="single" w:sz="4" w:space="0" w:color="auto"/>
              <w:right w:val="single" w:sz="4" w:space="0" w:color="auto"/>
            </w:tcBorders>
            <w:vAlign w:val="center"/>
            <w:hideMark/>
          </w:tcPr>
          <w:p w14:paraId="7995E203" w14:textId="77777777" w:rsidR="00BF5974" w:rsidRDefault="00BF5974">
            <w:pPr>
              <w:spacing w:line="256" w:lineRule="auto"/>
              <w:jc w:val="center"/>
              <w:rPr>
                <w:rFonts w:cs="Arial"/>
                <w:b/>
                <w:bCs/>
                <w:sz w:val="18"/>
                <w:szCs w:val="18"/>
                <w:lang w:val="es-ES" w:eastAsia="en-US"/>
              </w:rPr>
            </w:pPr>
            <w:r>
              <w:rPr>
                <w:rFonts w:cs="Arial"/>
                <w:b/>
                <w:bCs/>
                <w:sz w:val="18"/>
                <w:szCs w:val="18"/>
                <w:lang w:val="es-ES" w:eastAsia="en-US"/>
              </w:rPr>
              <w:t>Saldo Patrimonial</w:t>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14:paraId="060C8341" w14:textId="77777777" w:rsidR="00BF5974" w:rsidRDefault="00BF5974">
            <w:pPr>
              <w:spacing w:line="256" w:lineRule="auto"/>
              <w:jc w:val="center"/>
              <w:rPr>
                <w:rFonts w:cs="Arial"/>
                <w:b/>
                <w:bCs/>
                <w:sz w:val="18"/>
                <w:szCs w:val="18"/>
                <w:lang w:val="es-ES" w:eastAsia="en-US"/>
              </w:rPr>
            </w:pPr>
            <w:r>
              <w:rPr>
                <w:rFonts w:cs="Arial"/>
                <w:b/>
                <w:bCs/>
                <w:sz w:val="18"/>
                <w:szCs w:val="18"/>
                <w:lang w:val="es-ES" w:eastAsia="en-US"/>
              </w:rPr>
              <w:t>Asignación Presupuestal</w:t>
            </w:r>
          </w:p>
        </w:tc>
      </w:tr>
      <w:tr w:rsidR="00BF5974" w14:paraId="3EAC6C36" w14:textId="77777777" w:rsidTr="00BF5974">
        <w:trPr>
          <w:trHeight w:val="283"/>
          <w:jc w:val="center"/>
        </w:trPr>
        <w:tc>
          <w:tcPr>
            <w:tcW w:w="4228" w:type="dxa"/>
            <w:tcBorders>
              <w:top w:val="single" w:sz="4" w:space="0" w:color="auto"/>
              <w:left w:val="single" w:sz="4" w:space="0" w:color="auto"/>
              <w:bottom w:val="single" w:sz="4" w:space="0" w:color="auto"/>
              <w:right w:val="nil"/>
            </w:tcBorders>
            <w:vAlign w:val="center"/>
            <w:hideMark/>
          </w:tcPr>
          <w:p w14:paraId="031C4E49" w14:textId="77777777" w:rsidR="00BF5974" w:rsidRDefault="00BF5974">
            <w:pPr>
              <w:spacing w:line="256" w:lineRule="auto"/>
              <w:rPr>
                <w:rFonts w:cs="Arial"/>
                <w:b/>
                <w:sz w:val="18"/>
                <w:szCs w:val="18"/>
                <w:lang w:val="es-ES" w:eastAsia="en-US"/>
              </w:rPr>
            </w:pPr>
            <w:r>
              <w:rPr>
                <w:rFonts w:cs="Arial"/>
                <w:b/>
                <w:sz w:val="18"/>
                <w:szCs w:val="18"/>
                <w:lang w:val="es-ES" w:eastAsia="en-US"/>
              </w:rPr>
              <w:t>Secretaría de Desarrollo Económico.</w:t>
            </w:r>
          </w:p>
        </w:tc>
        <w:tc>
          <w:tcPr>
            <w:tcW w:w="1017" w:type="dxa"/>
            <w:tcBorders>
              <w:top w:val="single" w:sz="4" w:space="0" w:color="auto"/>
              <w:left w:val="nil"/>
              <w:bottom w:val="single" w:sz="4" w:space="0" w:color="auto"/>
              <w:right w:val="nil"/>
            </w:tcBorders>
            <w:vAlign w:val="center"/>
          </w:tcPr>
          <w:p w14:paraId="6FF404C8" w14:textId="77777777" w:rsidR="00BF5974" w:rsidRDefault="00BF5974">
            <w:pPr>
              <w:spacing w:line="256" w:lineRule="auto"/>
              <w:jc w:val="center"/>
              <w:rPr>
                <w:rFonts w:cs="Arial"/>
                <w:sz w:val="18"/>
                <w:szCs w:val="18"/>
                <w:lang w:val="es-ES" w:eastAsia="en-US"/>
              </w:rPr>
            </w:pPr>
          </w:p>
        </w:tc>
        <w:tc>
          <w:tcPr>
            <w:tcW w:w="1134" w:type="dxa"/>
            <w:tcBorders>
              <w:top w:val="single" w:sz="4" w:space="0" w:color="auto"/>
              <w:left w:val="nil"/>
              <w:bottom w:val="single" w:sz="4" w:space="0" w:color="auto"/>
              <w:right w:val="nil"/>
            </w:tcBorders>
            <w:vAlign w:val="center"/>
          </w:tcPr>
          <w:p w14:paraId="7F686AAF" w14:textId="77777777" w:rsidR="00BF5974" w:rsidRDefault="00BF5974">
            <w:pPr>
              <w:spacing w:line="256" w:lineRule="auto"/>
              <w:jc w:val="center"/>
              <w:rPr>
                <w:rFonts w:cs="Arial"/>
                <w:sz w:val="18"/>
                <w:szCs w:val="18"/>
                <w:lang w:val="es-ES" w:eastAsia="en-US"/>
              </w:rPr>
            </w:pPr>
          </w:p>
        </w:tc>
        <w:tc>
          <w:tcPr>
            <w:tcW w:w="1393" w:type="dxa"/>
            <w:tcBorders>
              <w:top w:val="single" w:sz="4" w:space="0" w:color="auto"/>
              <w:left w:val="nil"/>
              <w:bottom w:val="single" w:sz="4" w:space="0" w:color="auto"/>
              <w:right w:val="nil"/>
            </w:tcBorders>
            <w:vAlign w:val="center"/>
          </w:tcPr>
          <w:p w14:paraId="63D1C06C" w14:textId="77777777" w:rsidR="00BF5974" w:rsidRDefault="00BF5974">
            <w:pPr>
              <w:spacing w:line="256" w:lineRule="auto"/>
              <w:jc w:val="right"/>
              <w:rPr>
                <w:rFonts w:cs="Arial"/>
                <w:sz w:val="18"/>
                <w:szCs w:val="18"/>
                <w:lang w:val="es-ES" w:eastAsia="en-US"/>
              </w:rPr>
            </w:pPr>
          </w:p>
        </w:tc>
        <w:tc>
          <w:tcPr>
            <w:tcW w:w="1438" w:type="dxa"/>
            <w:gridSpan w:val="2"/>
            <w:tcBorders>
              <w:top w:val="single" w:sz="4" w:space="0" w:color="auto"/>
              <w:left w:val="nil"/>
              <w:bottom w:val="single" w:sz="4" w:space="0" w:color="auto"/>
              <w:right w:val="single" w:sz="4" w:space="0" w:color="auto"/>
            </w:tcBorders>
            <w:noWrap/>
            <w:vAlign w:val="center"/>
          </w:tcPr>
          <w:p w14:paraId="00CFCB07" w14:textId="77777777" w:rsidR="00BF5974" w:rsidRDefault="00BF5974">
            <w:pPr>
              <w:spacing w:line="256" w:lineRule="auto"/>
              <w:jc w:val="right"/>
              <w:rPr>
                <w:rFonts w:cs="Arial"/>
                <w:sz w:val="18"/>
                <w:szCs w:val="18"/>
                <w:lang w:val="es-ES" w:eastAsia="en-US"/>
              </w:rPr>
            </w:pPr>
          </w:p>
        </w:tc>
      </w:tr>
      <w:tr w:rsidR="00BF5974" w14:paraId="378D20B3" w14:textId="77777777" w:rsidTr="00BF5974">
        <w:trPr>
          <w:trHeight w:val="283"/>
          <w:jc w:val="center"/>
        </w:trPr>
        <w:tc>
          <w:tcPr>
            <w:tcW w:w="4228" w:type="dxa"/>
            <w:tcBorders>
              <w:top w:val="single" w:sz="4" w:space="0" w:color="auto"/>
              <w:left w:val="single" w:sz="4" w:space="0" w:color="auto"/>
              <w:bottom w:val="single" w:sz="4" w:space="0" w:color="auto"/>
              <w:right w:val="single" w:sz="4" w:space="0" w:color="auto"/>
            </w:tcBorders>
            <w:vAlign w:val="center"/>
            <w:hideMark/>
          </w:tcPr>
          <w:p w14:paraId="77C034F2" w14:textId="77777777" w:rsidR="00BF5974" w:rsidRDefault="00BF5974">
            <w:pPr>
              <w:spacing w:line="256" w:lineRule="auto"/>
              <w:jc w:val="left"/>
              <w:rPr>
                <w:rFonts w:cs="Arial"/>
                <w:sz w:val="16"/>
                <w:szCs w:val="18"/>
                <w:lang w:val="es-ES" w:eastAsia="en-US"/>
              </w:rPr>
            </w:pPr>
            <w:r>
              <w:rPr>
                <w:rFonts w:cs="Arial"/>
                <w:sz w:val="16"/>
                <w:szCs w:val="18"/>
                <w:lang w:val="es-ES" w:eastAsia="en-US"/>
              </w:rPr>
              <w:t>040109001</w:t>
            </w:r>
            <w:r>
              <w:rPr>
                <w:rFonts w:cs="Arial"/>
                <w:color w:val="FF0000"/>
                <w:sz w:val="16"/>
                <w:szCs w:val="18"/>
                <w:lang w:val="es-ES" w:eastAsia="en-US"/>
              </w:rPr>
              <w:t xml:space="preserve"> </w:t>
            </w:r>
            <w:r>
              <w:rPr>
                <w:rFonts w:cs="Arial"/>
                <w:sz w:val="16"/>
                <w:szCs w:val="18"/>
                <w:lang w:val="es-ES" w:eastAsia="en-US"/>
              </w:rPr>
              <w:t>Fideicomiso Público Revocable de Administración e Inversión para el Desarrollo del Estado de Colima (FIDEC).</w:t>
            </w:r>
          </w:p>
        </w:tc>
        <w:tc>
          <w:tcPr>
            <w:tcW w:w="1017" w:type="dxa"/>
            <w:tcBorders>
              <w:top w:val="single" w:sz="4" w:space="0" w:color="auto"/>
              <w:left w:val="single" w:sz="4" w:space="0" w:color="auto"/>
              <w:bottom w:val="single" w:sz="4" w:space="0" w:color="auto"/>
              <w:right w:val="single" w:sz="4" w:space="0" w:color="auto"/>
            </w:tcBorders>
            <w:vAlign w:val="center"/>
            <w:hideMark/>
          </w:tcPr>
          <w:p w14:paraId="23BC31B6" w14:textId="77777777" w:rsidR="00BF5974" w:rsidRDefault="00BF5974">
            <w:pPr>
              <w:spacing w:line="256" w:lineRule="auto"/>
              <w:jc w:val="center"/>
              <w:rPr>
                <w:rFonts w:cs="Arial"/>
                <w:sz w:val="18"/>
                <w:szCs w:val="18"/>
                <w:lang w:val="es-ES" w:eastAsia="en-US"/>
              </w:rPr>
            </w:pPr>
            <w:r>
              <w:rPr>
                <w:rFonts w:cs="Arial"/>
                <w:sz w:val="18"/>
                <w:szCs w:val="18"/>
                <w:lang w:val="es-ES" w:eastAsia="en-US"/>
              </w:rPr>
              <w:t>106-6917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CBC818" w14:textId="77777777" w:rsidR="00BF5974" w:rsidRDefault="00BF5974">
            <w:pPr>
              <w:spacing w:line="256" w:lineRule="auto"/>
              <w:jc w:val="center"/>
              <w:rPr>
                <w:rFonts w:cs="Arial"/>
                <w:sz w:val="16"/>
                <w:szCs w:val="16"/>
                <w:lang w:val="es-ES" w:eastAsia="en-US"/>
              </w:rPr>
            </w:pPr>
            <w:r>
              <w:rPr>
                <w:rFonts w:cs="Arial"/>
                <w:sz w:val="16"/>
                <w:szCs w:val="16"/>
                <w:lang w:val="es-ES" w:eastAsia="en-US"/>
              </w:rPr>
              <w:t>BANAMEX</w:t>
            </w:r>
          </w:p>
        </w:tc>
        <w:tc>
          <w:tcPr>
            <w:tcW w:w="1393" w:type="dxa"/>
            <w:tcBorders>
              <w:top w:val="single" w:sz="4" w:space="0" w:color="auto"/>
              <w:left w:val="single" w:sz="4" w:space="0" w:color="auto"/>
              <w:bottom w:val="single" w:sz="4" w:space="0" w:color="auto"/>
              <w:right w:val="single" w:sz="4" w:space="0" w:color="auto"/>
            </w:tcBorders>
            <w:vAlign w:val="center"/>
            <w:hideMark/>
          </w:tcPr>
          <w:p w14:paraId="75C8044D" w14:textId="77777777" w:rsidR="00BF5974" w:rsidRDefault="00BF5974">
            <w:pPr>
              <w:spacing w:line="256" w:lineRule="auto"/>
              <w:jc w:val="center"/>
              <w:rPr>
                <w:rFonts w:cs="Arial"/>
                <w:sz w:val="16"/>
                <w:szCs w:val="16"/>
                <w:lang w:val="es-ES" w:eastAsia="en-US"/>
              </w:rPr>
            </w:pPr>
            <w:r>
              <w:rPr>
                <w:rFonts w:cs="Arial"/>
                <w:sz w:val="16"/>
                <w:szCs w:val="16"/>
                <w:lang w:val="es-ES" w:eastAsia="en-US"/>
              </w:rPr>
              <w:t>21,713,963.31*</w:t>
            </w:r>
          </w:p>
        </w:tc>
        <w:tc>
          <w:tcPr>
            <w:tcW w:w="1438" w:type="dxa"/>
            <w:gridSpan w:val="2"/>
            <w:tcBorders>
              <w:top w:val="single" w:sz="4" w:space="0" w:color="auto"/>
              <w:left w:val="single" w:sz="4" w:space="0" w:color="auto"/>
              <w:bottom w:val="single" w:sz="4" w:space="0" w:color="auto"/>
              <w:right w:val="single" w:sz="4" w:space="0" w:color="auto"/>
            </w:tcBorders>
            <w:noWrap/>
            <w:vAlign w:val="center"/>
            <w:hideMark/>
          </w:tcPr>
          <w:p w14:paraId="1559F809" w14:textId="77777777" w:rsidR="00BF5974" w:rsidRDefault="00BF5974">
            <w:pPr>
              <w:spacing w:line="256" w:lineRule="auto"/>
              <w:jc w:val="right"/>
              <w:rPr>
                <w:rFonts w:cs="Arial"/>
                <w:sz w:val="16"/>
                <w:szCs w:val="16"/>
                <w:lang w:val="es-ES" w:eastAsia="en-US"/>
              </w:rPr>
            </w:pPr>
            <w:r>
              <w:rPr>
                <w:rFonts w:cs="Arial"/>
                <w:sz w:val="16"/>
                <w:szCs w:val="16"/>
                <w:lang w:val="es-ES" w:eastAsia="en-US"/>
              </w:rPr>
              <w:t>30,000,000</w:t>
            </w:r>
          </w:p>
        </w:tc>
      </w:tr>
      <w:tr w:rsidR="00BF5974" w14:paraId="1B51468F" w14:textId="77777777" w:rsidTr="00BF5974">
        <w:trPr>
          <w:trHeight w:val="283"/>
          <w:jc w:val="center"/>
        </w:trPr>
        <w:tc>
          <w:tcPr>
            <w:tcW w:w="4228" w:type="dxa"/>
            <w:tcBorders>
              <w:top w:val="single" w:sz="4" w:space="0" w:color="auto"/>
              <w:left w:val="single" w:sz="4" w:space="0" w:color="auto"/>
              <w:bottom w:val="single" w:sz="4" w:space="0" w:color="auto"/>
              <w:right w:val="single" w:sz="4" w:space="0" w:color="auto"/>
            </w:tcBorders>
            <w:vAlign w:val="center"/>
            <w:hideMark/>
          </w:tcPr>
          <w:p w14:paraId="3C2C4C0B" w14:textId="77777777" w:rsidR="00BF5974" w:rsidRDefault="00BF5974">
            <w:pPr>
              <w:spacing w:line="256" w:lineRule="auto"/>
              <w:rPr>
                <w:rFonts w:cs="Arial"/>
                <w:sz w:val="16"/>
                <w:szCs w:val="18"/>
                <w:lang w:val="es-ES" w:eastAsia="en-US"/>
              </w:rPr>
            </w:pPr>
            <w:r>
              <w:rPr>
                <w:rFonts w:cs="Arial"/>
                <w:sz w:val="16"/>
                <w:szCs w:val="18"/>
                <w:lang w:val="es-ES" w:eastAsia="en-US"/>
              </w:rPr>
              <w:t>040109002</w:t>
            </w:r>
            <w:r>
              <w:rPr>
                <w:rFonts w:cs="Arial"/>
                <w:color w:val="FF0000"/>
                <w:sz w:val="16"/>
                <w:szCs w:val="18"/>
                <w:lang w:val="es-ES" w:eastAsia="en-US"/>
              </w:rPr>
              <w:t xml:space="preserve"> </w:t>
            </w:r>
            <w:r>
              <w:rPr>
                <w:rFonts w:cs="Arial"/>
                <w:sz w:val="16"/>
                <w:szCs w:val="18"/>
                <w:lang w:val="es-ES" w:eastAsia="en-US"/>
              </w:rPr>
              <w:t>Fideicomiso para la Promoción Turística del Estado de Colima.</w:t>
            </w:r>
          </w:p>
        </w:tc>
        <w:tc>
          <w:tcPr>
            <w:tcW w:w="1017" w:type="dxa"/>
            <w:tcBorders>
              <w:top w:val="single" w:sz="4" w:space="0" w:color="auto"/>
              <w:left w:val="single" w:sz="4" w:space="0" w:color="auto"/>
              <w:bottom w:val="single" w:sz="4" w:space="0" w:color="auto"/>
              <w:right w:val="single" w:sz="4" w:space="0" w:color="auto"/>
            </w:tcBorders>
            <w:vAlign w:val="center"/>
            <w:hideMark/>
          </w:tcPr>
          <w:p w14:paraId="0A6E13BF" w14:textId="77777777" w:rsidR="00BF5974" w:rsidRDefault="00BF5974">
            <w:pPr>
              <w:spacing w:line="256" w:lineRule="auto"/>
              <w:jc w:val="center"/>
              <w:rPr>
                <w:rFonts w:cs="Arial"/>
                <w:sz w:val="16"/>
                <w:szCs w:val="16"/>
                <w:lang w:val="es-ES" w:eastAsia="en-US"/>
              </w:rPr>
            </w:pPr>
            <w:r>
              <w:rPr>
                <w:rFonts w:cs="Arial"/>
                <w:sz w:val="16"/>
                <w:szCs w:val="16"/>
                <w:lang w:val="es-ES" w:eastAsia="en-US"/>
              </w:rPr>
              <w:t>F/4093779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F84062" w14:textId="77777777" w:rsidR="00BF5974" w:rsidRDefault="00BF5974">
            <w:pPr>
              <w:spacing w:line="256" w:lineRule="auto"/>
              <w:jc w:val="center"/>
              <w:rPr>
                <w:rFonts w:cs="Arial"/>
                <w:sz w:val="14"/>
                <w:szCs w:val="16"/>
                <w:lang w:val="es-ES" w:eastAsia="en-US"/>
              </w:rPr>
            </w:pPr>
            <w:r>
              <w:rPr>
                <w:rFonts w:cs="Arial"/>
                <w:sz w:val="14"/>
                <w:szCs w:val="16"/>
                <w:lang w:val="es-ES" w:eastAsia="en-US"/>
              </w:rPr>
              <w:t>BBVA BANCOMER, S.A.</w:t>
            </w:r>
          </w:p>
        </w:tc>
        <w:tc>
          <w:tcPr>
            <w:tcW w:w="1393" w:type="dxa"/>
            <w:tcBorders>
              <w:top w:val="single" w:sz="4" w:space="0" w:color="auto"/>
              <w:left w:val="single" w:sz="4" w:space="0" w:color="auto"/>
              <w:bottom w:val="single" w:sz="4" w:space="0" w:color="auto"/>
              <w:right w:val="single" w:sz="4" w:space="0" w:color="auto"/>
            </w:tcBorders>
            <w:noWrap/>
            <w:vAlign w:val="center"/>
            <w:hideMark/>
          </w:tcPr>
          <w:p w14:paraId="3DCAB9B5" w14:textId="77777777" w:rsidR="00BF5974" w:rsidRDefault="00BF5974">
            <w:pPr>
              <w:spacing w:line="256" w:lineRule="auto"/>
              <w:jc w:val="center"/>
              <w:rPr>
                <w:rFonts w:cs="Arial"/>
                <w:sz w:val="16"/>
                <w:szCs w:val="16"/>
                <w:lang w:val="es-ES" w:eastAsia="en-US"/>
              </w:rPr>
            </w:pPr>
            <w:r>
              <w:rPr>
                <w:rFonts w:cs="Arial"/>
                <w:sz w:val="16"/>
                <w:szCs w:val="16"/>
                <w:lang w:val="es-ES" w:eastAsia="en-US"/>
              </w:rPr>
              <w:t>27,505,944.25</w:t>
            </w:r>
            <w:r>
              <w:rPr>
                <w:rFonts w:cs="Arial"/>
                <w:sz w:val="16"/>
                <w:szCs w:val="16"/>
                <w:vertAlign w:val="superscript"/>
                <w:lang w:val="es-ES" w:eastAsia="en-US"/>
              </w:rPr>
              <w:t>*</w:t>
            </w:r>
          </w:p>
        </w:tc>
        <w:tc>
          <w:tcPr>
            <w:tcW w:w="1438" w:type="dxa"/>
            <w:gridSpan w:val="2"/>
            <w:tcBorders>
              <w:top w:val="single" w:sz="4" w:space="0" w:color="auto"/>
              <w:left w:val="single" w:sz="4" w:space="0" w:color="auto"/>
              <w:bottom w:val="single" w:sz="4" w:space="0" w:color="auto"/>
              <w:right w:val="single" w:sz="4" w:space="0" w:color="auto"/>
            </w:tcBorders>
            <w:noWrap/>
            <w:vAlign w:val="center"/>
            <w:hideMark/>
          </w:tcPr>
          <w:p w14:paraId="254320E2" w14:textId="77777777" w:rsidR="00BF5974" w:rsidRDefault="00BF5974">
            <w:pPr>
              <w:spacing w:line="256" w:lineRule="auto"/>
              <w:jc w:val="right"/>
              <w:rPr>
                <w:rFonts w:cs="Arial"/>
                <w:sz w:val="16"/>
                <w:szCs w:val="16"/>
                <w:lang w:val="es-ES" w:eastAsia="en-US"/>
              </w:rPr>
            </w:pPr>
            <w:r>
              <w:rPr>
                <w:rFonts w:cs="Arial"/>
                <w:sz w:val="16"/>
                <w:szCs w:val="16"/>
                <w:lang w:val="es-ES" w:eastAsia="en-US"/>
              </w:rPr>
              <w:t>20,000,000</w:t>
            </w:r>
          </w:p>
        </w:tc>
      </w:tr>
      <w:tr w:rsidR="00BF5974" w14:paraId="35F28C44" w14:textId="77777777" w:rsidTr="00BF5974">
        <w:trPr>
          <w:gridAfter w:val="1"/>
          <w:wAfter w:w="143" w:type="dxa"/>
          <w:trHeight w:val="283"/>
          <w:jc w:val="center"/>
        </w:trPr>
        <w:tc>
          <w:tcPr>
            <w:tcW w:w="9067" w:type="dxa"/>
            <w:gridSpan w:val="5"/>
            <w:tcBorders>
              <w:top w:val="single" w:sz="4" w:space="0" w:color="auto"/>
              <w:left w:val="nil"/>
              <w:bottom w:val="nil"/>
              <w:right w:val="nil"/>
            </w:tcBorders>
            <w:vAlign w:val="center"/>
            <w:hideMark/>
          </w:tcPr>
          <w:p w14:paraId="180CA83B" w14:textId="77777777" w:rsidR="00BF5974" w:rsidRDefault="00BF5974">
            <w:pPr>
              <w:spacing w:line="256" w:lineRule="auto"/>
              <w:rPr>
                <w:rFonts w:cs="Arial"/>
                <w:sz w:val="16"/>
                <w:szCs w:val="18"/>
                <w:lang w:val="es-ES" w:eastAsia="en-US"/>
              </w:rPr>
            </w:pPr>
            <w:r>
              <w:rPr>
                <w:rFonts w:cs="Arial"/>
                <w:b/>
                <w:sz w:val="16"/>
                <w:szCs w:val="18"/>
                <w:lang w:val="es-ES" w:eastAsia="en-US"/>
              </w:rPr>
              <w:t>Notas</w:t>
            </w:r>
            <w:r>
              <w:rPr>
                <w:rFonts w:cs="Arial"/>
                <w:sz w:val="16"/>
                <w:szCs w:val="18"/>
                <w:lang w:val="es-ES" w:eastAsia="en-US"/>
              </w:rPr>
              <w:t>:</w:t>
            </w:r>
          </w:p>
          <w:p w14:paraId="389E8F77" w14:textId="77777777" w:rsidR="00BF5974" w:rsidRDefault="00BF5974">
            <w:pPr>
              <w:spacing w:line="256" w:lineRule="auto"/>
              <w:rPr>
                <w:rFonts w:cs="Arial"/>
                <w:sz w:val="16"/>
                <w:szCs w:val="18"/>
                <w:lang w:val="es-ES" w:eastAsia="en-US"/>
              </w:rPr>
            </w:pPr>
            <w:r>
              <w:rPr>
                <w:rFonts w:cs="Arial"/>
                <w:sz w:val="16"/>
                <w:szCs w:val="18"/>
                <w:vertAlign w:val="superscript"/>
                <w:lang w:val="es-ES" w:eastAsia="en-US"/>
              </w:rPr>
              <w:t>*</w:t>
            </w:r>
            <w:r>
              <w:rPr>
                <w:rFonts w:cs="Arial"/>
                <w:sz w:val="16"/>
                <w:szCs w:val="18"/>
                <w:lang w:val="es-ES" w:eastAsia="en-US"/>
              </w:rPr>
              <w:t xml:space="preserve"> Saldo patrimonial al 31 de diciembre de 2023</w:t>
            </w:r>
          </w:p>
        </w:tc>
      </w:tr>
    </w:tbl>
    <w:p w14:paraId="34FBE3D9" w14:textId="77777777" w:rsidR="00BF5974" w:rsidRDefault="00BF5974" w:rsidP="00BF5974">
      <w:pPr>
        <w:rPr>
          <w:rFonts w:cs="Arial"/>
          <w:b/>
        </w:rPr>
      </w:pPr>
    </w:p>
    <w:p w14:paraId="3E60B8D3" w14:textId="77777777" w:rsidR="00BF5974" w:rsidRDefault="00BF5974" w:rsidP="00BF5974">
      <w:pPr>
        <w:rPr>
          <w:rFonts w:cs="Arial"/>
          <w:lang w:val="es-ES"/>
        </w:rPr>
      </w:pPr>
      <w:r>
        <w:rPr>
          <w:rFonts w:cs="Arial"/>
          <w:b/>
          <w:lang w:val="es-ES"/>
        </w:rPr>
        <w:t>Artículo 30</w:t>
      </w:r>
      <w:r>
        <w:rPr>
          <w:rFonts w:cs="Arial"/>
          <w:lang w:val="es-ES"/>
        </w:rPr>
        <w:t xml:space="preserve">. Las transferencias internas otorgadas a </w:t>
      </w:r>
      <w:r>
        <w:rPr>
          <w:rFonts w:cs="Arial"/>
          <w:bCs/>
          <w:lang w:val="es-ES"/>
        </w:rPr>
        <w:t>Fideicomisos Públicos sin estructura</w:t>
      </w:r>
      <w:r>
        <w:rPr>
          <w:rFonts w:cs="Arial"/>
          <w:lang w:val="es-ES"/>
        </w:rPr>
        <w:t xml:space="preserve"> en el Ejercicio Fiscal 2025 se distribuyen de la siguiente forma:</w:t>
      </w:r>
    </w:p>
    <w:p w14:paraId="1F9F4AF3" w14:textId="77777777" w:rsidR="00BF5974" w:rsidRDefault="00BF5974" w:rsidP="00BF5974">
      <w:pPr>
        <w:rPr>
          <w:rFonts w:cs="Arial"/>
          <w:lang w:val="es-ES"/>
        </w:rPr>
      </w:pPr>
    </w:p>
    <w:tbl>
      <w:tblPr>
        <w:tblpPr w:leftFromText="141" w:rightFromText="141" w:vertAnchor="text" w:tblpXSpec="center" w:tblpY="1"/>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8"/>
        <w:gridCol w:w="991"/>
        <w:gridCol w:w="1275"/>
        <w:gridCol w:w="1412"/>
        <w:gridCol w:w="1274"/>
      </w:tblGrid>
      <w:tr w:rsidR="00BF5974" w14:paraId="6BFF29E4" w14:textId="77777777" w:rsidTr="00544F94">
        <w:trPr>
          <w:trHeight w:val="283"/>
          <w:tblHeader/>
        </w:trPr>
        <w:tc>
          <w:tcPr>
            <w:tcW w:w="9067" w:type="dxa"/>
            <w:gridSpan w:val="5"/>
            <w:tcBorders>
              <w:top w:val="nil"/>
              <w:left w:val="nil"/>
              <w:bottom w:val="single" w:sz="4" w:space="0" w:color="auto"/>
              <w:right w:val="nil"/>
            </w:tcBorders>
            <w:vAlign w:val="center"/>
            <w:hideMark/>
          </w:tcPr>
          <w:p w14:paraId="3D0B0D04" w14:textId="77777777" w:rsidR="00BF5974" w:rsidRDefault="00BF5974" w:rsidP="00544F94">
            <w:pPr>
              <w:spacing w:line="256" w:lineRule="auto"/>
              <w:jc w:val="center"/>
              <w:rPr>
                <w:rFonts w:cs="Arial"/>
                <w:b/>
                <w:bCs/>
                <w:sz w:val="20"/>
                <w:lang w:val="es-ES" w:eastAsia="en-US"/>
              </w:rPr>
            </w:pPr>
            <w:r>
              <w:rPr>
                <w:rFonts w:eastAsia="Times New Roman" w:cs="Arial"/>
                <w:b/>
                <w:sz w:val="20"/>
                <w:lang w:val="es-ES" w:eastAsia="en-US"/>
              </w:rPr>
              <w:t>Tabla 25. Fideicomisos Públicos Sin Estructura</w:t>
            </w:r>
          </w:p>
        </w:tc>
      </w:tr>
      <w:tr w:rsidR="00BF5974" w14:paraId="7D5BF55D" w14:textId="77777777" w:rsidTr="00544F94">
        <w:trPr>
          <w:trHeight w:val="283"/>
          <w:tblHeader/>
        </w:trPr>
        <w:tc>
          <w:tcPr>
            <w:tcW w:w="4111" w:type="dxa"/>
            <w:tcBorders>
              <w:top w:val="single" w:sz="4" w:space="0" w:color="auto"/>
              <w:left w:val="single" w:sz="4" w:space="0" w:color="auto"/>
              <w:bottom w:val="single" w:sz="4" w:space="0" w:color="auto"/>
              <w:right w:val="single" w:sz="4" w:space="0" w:color="auto"/>
            </w:tcBorders>
            <w:vAlign w:val="center"/>
            <w:hideMark/>
          </w:tcPr>
          <w:p w14:paraId="36F70F0F" w14:textId="77777777" w:rsidR="00BF5974" w:rsidRDefault="00BF5974" w:rsidP="00544F94">
            <w:pPr>
              <w:spacing w:line="256" w:lineRule="auto"/>
              <w:jc w:val="center"/>
              <w:rPr>
                <w:rFonts w:cs="Arial"/>
                <w:b/>
                <w:bCs/>
                <w:sz w:val="18"/>
                <w:szCs w:val="18"/>
                <w:lang w:val="es-ES" w:eastAsia="en-US"/>
              </w:rPr>
            </w:pPr>
            <w:r>
              <w:rPr>
                <w:rFonts w:cs="Arial"/>
                <w:b/>
                <w:bCs/>
                <w:sz w:val="18"/>
                <w:szCs w:val="18"/>
                <w:lang w:val="es-ES" w:eastAsia="en-US"/>
              </w:rPr>
              <w:t>Dependencia / Fideicomiso.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097669" w14:textId="77777777" w:rsidR="00BF5974" w:rsidRDefault="00BF5974" w:rsidP="00544F94">
            <w:pPr>
              <w:spacing w:line="256" w:lineRule="auto"/>
              <w:ind w:right="-108"/>
              <w:jc w:val="center"/>
              <w:rPr>
                <w:rFonts w:cs="Arial"/>
                <w:b/>
                <w:bCs/>
                <w:sz w:val="18"/>
                <w:szCs w:val="18"/>
                <w:lang w:val="es-ES" w:eastAsia="en-US"/>
              </w:rPr>
            </w:pPr>
            <w:r>
              <w:rPr>
                <w:rFonts w:cs="Arial"/>
                <w:b/>
                <w:bCs/>
                <w:sz w:val="16"/>
                <w:szCs w:val="18"/>
                <w:lang w:val="es-ES" w:eastAsia="en-US"/>
              </w:rPr>
              <w:t>Número de Contrato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106A51" w14:textId="77777777" w:rsidR="00BF5974" w:rsidRDefault="00BF5974" w:rsidP="00544F94">
            <w:pPr>
              <w:spacing w:line="256" w:lineRule="auto"/>
              <w:jc w:val="center"/>
              <w:rPr>
                <w:rFonts w:cs="Arial"/>
                <w:b/>
                <w:bCs/>
                <w:sz w:val="18"/>
                <w:szCs w:val="18"/>
                <w:lang w:val="es-ES" w:eastAsia="en-US"/>
              </w:rPr>
            </w:pPr>
            <w:r>
              <w:rPr>
                <w:rFonts w:cs="Arial"/>
                <w:b/>
                <w:bCs/>
                <w:sz w:val="18"/>
                <w:szCs w:val="18"/>
                <w:lang w:val="es-ES" w:eastAsia="en-US"/>
              </w:rPr>
              <w:t>Fiduciario</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5CB8CE7" w14:textId="77777777" w:rsidR="00BF5974" w:rsidRDefault="00BF5974" w:rsidP="00544F94">
            <w:pPr>
              <w:spacing w:line="256" w:lineRule="auto"/>
              <w:jc w:val="center"/>
              <w:rPr>
                <w:rFonts w:cs="Arial"/>
                <w:b/>
                <w:bCs/>
                <w:sz w:val="18"/>
                <w:szCs w:val="18"/>
                <w:lang w:val="es-ES" w:eastAsia="en-US"/>
              </w:rPr>
            </w:pPr>
            <w:r>
              <w:rPr>
                <w:rFonts w:cs="Arial"/>
                <w:b/>
                <w:bCs/>
                <w:sz w:val="18"/>
                <w:szCs w:val="18"/>
                <w:lang w:val="es-ES" w:eastAsia="en-US"/>
              </w:rPr>
              <w:t>Saldo Patrimonial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E94DD6" w14:textId="77777777" w:rsidR="00BF5974" w:rsidRDefault="00BF5974" w:rsidP="00544F94">
            <w:pPr>
              <w:spacing w:line="256" w:lineRule="auto"/>
              <w:jc w:val="center"/>
              <w:rPr>
                <w:rFonts w:cs="Arial"/>
                <w:b/>
                <w:bCs/>
                <w:sz w:val="18"/>
                <w:szCs w:val="18"/>
                <w:lang w:val="es-ES" w:eastAsia="en-US"/>
              </w:rPr>
            </w:pPr>
            <w:r>
              <w:rPr>
                <w:rFonts w:cs="Arial"/>
                <w:b/>
                <w:bCs/>
                <w:sz w:val="16"/>
                <w:szCs w:val="18"/>
                <w:lang w:val="es-ES" w:eastAsia="en-US"/>
              </w:rPr>
              <w:t>Asignación Presupuestal</w:t>
            </w:r>
          </w:p>
        </w:tc>
      </w:tr>
      <w:tr w:rsidR="00BF5974" w14:paraId="50583C22" w14:textId="77777777" w:rsidTr="00544F94">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4BE0DCD5" w14:textId="77777777" w:rsidR="00BF5974" w:rsidRDefault="00BF5974" w:rsidP="00544F94">
            <w:pPr>
              <w:spacing w:line="256" w:lineRule="auto"/>
              <w:rPr>
                <w:rFonts w:cs="Arial"/>
                <w:b/>
                <w:bCs/>
                <w:sz w:val="18"/>
                <w:szCs w:val="18"/>
                <w:lang w:val="es-ES" w:eastAsia="en-US"/>
              </w:rPr>
            </w:pPr>
            <w:r>
              <w:rPr>
                <w:rFonts w:cs="Arial"/>
                <w:b/>
                <w:sz w:val="18"/>
                <w:szCs w:val="18"/>
                <w:lang w:val="es-ES" w:eastAsia="en-US"/>
              </w:rPr>
              <w:t>Secretaría General de Gobierno.</w:t>
            </w:r>
          </w:p>
        </w:tc>
        <w:tc>
          <w:tcPr>
            <w:tcW w:w="992" w:type="dxa"/>
            <w:tcBorders>
              <w:top w:val="single" w:sz="4" w:space="0" w:color="auto"/>
              <w:left w:val="single" w:sz="4" w:space="0" w:color="auto"/>
              <w:bottom w:val="single" w:sz="4" w:space="0" w:color="auto"/>
              <w:right w:val="single" w:sz="4" w:space="0" w:color="auto"/>
            </w:tcBorders>
            <w:vAlign w:val="center"/>
          </w:tcPr>
          <w:p w14:paraId="0C84AE86" w14:textId="77777777" w:rsidR="00BF5974" w:rsidRDefault="00BF5974" w:rsidP="00544F94">
            <w:pPr>
              <w:spacing w:line="256" w:lineRule="auto"/>
              <w:ind w:right="-108"/>
              <w:jc w:val="center"/>
              <w:rPr>
                <w:rFonts w:cs="Arial"/>
                <w:b/>
                <w:bCs/>
                <w:sz w:val="18"/>
                <w:szCs w:val="18"/>
                <w:lang w:val="es-ES"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92807AC" w14:textId="77777777" w:rsidR="00BF5974" w:rsidRDefault="00BF5974" w:rsidP="00544F94">
            <w:pPr>
              <w:spacing w:line="256" w:lineRule="auto"/>
              <w:jc w:val="center"/>
              <w:rPr>
                <w:rFonts w:cs="Arial"/>
                <w:b/>
                <w:bCs/>
                <w:sz w:val="18"/>
                <w:szCs w:val="18"/>
                <w:lang w:val="es-ES" w:eastAsia="en-US"/>
              </w:rPr>
            </w:pPr>
          </w:p>
        </w:tc>
        <w:tc>
          <w:tcPr>
            <w:tcW w:w="1413" w:type="dxa"/>
            <w:tcBorders>
              <w:top w:val="single" w:sz="4" w:space="0" w:color="auto"/>
              <w:left w:val="single" w:sz="4" w:space="0" w:color="auto"/>
              <w:bottom w:val="single" w:sz="4" w:space="0" w:color="auto"/>
              <w:right w:val="single" w:sz="4" w:space="0" w:color="auto"/>
            </w:tcBorders>
            <w:vAlign w:val="center"/>
          </w:tcPr>
          <w:p w14:paraId="6FBB25C7" w14:textId="77777777" w:rsidR="00BF5974" w:rsidRDefault="00BF5974" w:rsidP="00544F94">
            <w:pPr>
              <w:spacing w:line="256" w:lineRule="auto"/>
              <w:jc w:val="center"/>
              <w:rPr>
                <w:rFonts w:cs="Arial"/>
                <w:b/>
                <w:bCs/>
                <w:sz w:val="18"/>
                <w:szCs w:val="18"/>
                <w:lang w:val="es-ES"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79A52A64" w14:textId="77777777" w:rsidR="00BF5974" w:rsidRDefault="00BF5974" w:rsidP="00544F94">
            <w:pPr>
              <w:spacing w:line="256" w:lineRule="auto"/>
              <w:jc w:val="center"/>
              <w:rPr>
                <w:rFonts w:cs="Arial"/>
                <w:b/>
                <w:bCs/>
                <w:sz w:val="16"/>
                <w:szCs w:val="16"/>
                <w:lang w:val="es-ES" w:eastAsia="en-US"/>
              </w:rPr>
            </w:pPr>
          </w:p>
        </w:tc>
      </w:tr>
      <w:tr w:rsidR="00BF5974" w14:paraId="79B5E17D" w14:textId="77777777" w:rsidTr="00544F94">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6407BD4A" w14:textId="77777777" w:rsidR="00BF5974" w:rsidRDefault="00BF5974" w:rsidP="00544F94">
            <w:pPr>
              <w:spacing w:line="256" w:lineRule="auto"/>
              <w:rPr>
                <w:rFonts w:cs="Arial"/>
                <w:sz w:val="16"/>
                <w:szCs w:val="16"/>
                <w:lang w:val="es-ES" w:eastAsia="en-US"/>
              </w:rPr>
            </w:pPr>
            <w:r>
              <w:rPr>
                <w:rFonts w:cs="Arial"/>
                <w:sz w:val="16"/>
                <w:szCs w:val="16"/>
                <w:lang w:val="es-ES" w:eastAsia="en-US"/>
              </w:rPr>
              <w:t>040101006 Fideicomiso del Fondo de Ayuda, Asistencia y Reparación Integral del Estado de Colima.</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F5B107" w14:textId="77777777" w:rsidR="00BF5974" w:rsidRDefault="00BF5974" w:rsidP="00544F94">
            <w:pPr>
              <w:spacing w:line="256" w:lineRule="auto"/>
              <w:jc w:val="center"/>
              <w:rPr>
                <w:rFonts w:cs="Arial"/>
                <w:sz w:val="16"/>
                <w:szCs w:val="16"/>
                <w:lang w:val="es-ES" w:eastAsia="en-US"/>
              </w:rPr>
            </w:pPr>
            <w:r>
              <w:rPr>
                <w:rFonts w:cs="Arial"/>
                <w:sz w:val="16"/>
                <w:szCs w:val="16"/>
                <w:lang w:val="es-ES" w:eastAsia="en-US"/>
              </w:rPr>
              <w:t>19928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9517A9" w14:textId="77777777" w:rsidR="00BF5974" w:rsidRDefault="00BF5974" w:rsidP="00544F94">
            <w:pPr>
              <w:spacing w:line="256" w:lineRule="auto"/>
              <w:jc w:val="center"/>
              <w:rPr>
                <w:rFonts w:cs="Arial"/>
                <w:sz w:val="16"/>
                <w:szCs w:val="16"/>
                <w:lang w:val="es-ES" w:eastAsia="en-US"/>
              </w:rPr>
            </w:pPr>
            <w:r>
              <w:rPr>
                <w:rFonts w:cs="Arial"/>
                <w:sz w:val="16"/>
                <w:szCs w:val="16"/>
                <w:lang w:val="es-ES" w:eastAsia="en-US"/>
              </w:rPr>
              <w:t>Banco del Bajío, S.A.</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3DB97820" w14:textId="77777777" w:rsidR="00BF5974" w:rsidRDefault="00BF5974" w:rsidP="00544F94">
            <w:pPr>
              <w:spacing w:line="256" w:lineRule="auto"/>
              <w:jc w:val="center"/>
              <w:rPr>
                <w:rFonts w:cs="Arial"/>
                <w:sz w:val="16"/>
                <w:szCs w:val="16"/>
                <w:lang w:val="es-ES" w:eastAsia="en-US"/>
              </w:rPr>
            </w:pPr>
            <w:r>
              <w:rPr>
                <w:rFonts w:cs="Arial"/>
                <w:sz w:val="16"/>
                <w:szCs w:val="16"/>
                <w:lang w:val="es-ES" w:eastAsia="en-US"/>
              </w:rPr>
              <w:t>2,345,522</w:t>
            </w:r>
            <w:r>
              <w:rPr>
                <w:rFonts w:cs="Arial"/>
                <w:sz w:val="16"/>
                <w:szCs w:val="16"/>
                <w:vertAlign w:val="superscript"/>
                <w:lang w:val="es-ES" w:eastAsia="en-US"/>
              </w:rPr>
              <w:t>**</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F423347" w14:textId="77777777" w:rsidR="00BF5974" w:rsidRDefault="00BF5974" w:rsidP="00544F94">
            <w:pPr>
              <w:spacing w:line="256" w:lineRule="auto"/>
              <w:jc w:val="right"/>
              <w:rPr>
                <w:rFonts w:cs="Arial"/>
                <w:sz w:val="16"/>
                <w:szCs w:val="16"/>
                <w:lang w:val="es-ES" w:eastAsia="en-US"/>
              </w:rPr>
            </w:pPr>
            <w:r>
              <w:rPr>
                <w:rFonts w:cs="Arial"/>
                <w:sz w:val="16"/>
                <w:szCs w:val="16"/>
                <w:lang w:val="es-ES" w:eastAsia="en-US"/>
              </w:rPr>
              <w:t>1,000,000</w:t>
            </w:r>
          </w:p>
        </w:tc>
      </w:tr>
      <w:tr w:rsidR="00BF5974" w14:paraId="7C23EAFE" w14:textId="77777777" w:rsidTr="00544F94">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5198692D" w14:textId="77777777" w:rsidR="00BF5974" w:rsidRDefault="00BF5974" w:rsidP="00544F94">
            <w:pPr>
              <w:spacing w:line="256" w:lineRule="auto"/>
              <w:rPr>
                <w:rFonts w:cs="Arial"/>
                <w:sz w:val="16"/>
                <w:szCs w:val="16"/>
                <w:lang w:val="es-ES" w:eastAsia="en-US"/>
              </w:rPr>
            </w:pPr>
            <w:r>
              <w:rPr>
                <w:rFonts w:cs="Arial"/>
                <w:sz w:val="16"/>
                <w:szCs w:val="16"/>
                <w:lang w:val="es-ES" w:eastAsia="en-US"/>
              </w:rPr>
              <w:t>070901001</w:t>
            </w:r>
            <w:bookmarkStart w:id="131" w:name="_Hlk117795382"/>
            <w:r>
              <w:rPr>
                <w:rFonts w:cs="Arial"/>
                <w:sz w:val="16"/>
                <w:szCs w:val="16"/>
                <w:lang w:val="es-ES" w:eastAsia="en-US"/>
              </w:rPr>
              <w:t xml:space="preserve"> Fideicomiso del Fondo de Desastres Naturales</w:t>
            </w:r>
            <w:bookmarkEnd w:id="131"/>
            <w:r>
              <w:rPr>
                <w:rFonts w:cs="Arial"/>
                <w:sz w:val="16"/>
                <w:szCs w:val="16"/>
                <w:lang w:val="es-ES"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07CB6C" w14:textId="77777777" w:rsidR="00BF5974" w:rsidRDefault="00BF5974" w:rsidP="00544F94">
            <w:pPr>
              <w:spacing w:line="256" w:lineRule="auto"/>
              <w:jc w:val="center"/>
              <w:rPr>
                <w:rFonts w:cs="Arial"/>
                <w:sz w:val="16"/>
                <w:szCs w:val="16"/>
                <w:lang w:val="es-ES" w:eastAsia="en-US"/>
              </w:rPr>
            </w:pPr>
            <w:r>
              <w:rPr>
                <w:rFonts w:cs="Arial"/>
                <w:sz w:val="16"/>
                <w:szCs w:val="16"/>
                <w:lang w:val="es-ES" w:eastAsia="en-US"/>
              </w:rPr>
              <w:t>0306415590201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13D38A" w14:textId="77777777" w:rsidR="00BF5974" w:rsidRDefault="00BF5974" w:rsidP="00544F94">
            <w:pPr>
              <w:spacing w:line="256" w:lineRule="auto"/>
              <w:jc w:val="center"/>
              <w:rPr>
                <w:rFonts w:cs="Arial"/>
                <w:sz w:val="16"/>
                <w:szCs w:val="16"/>
                <w:lang w:val="es-ES" w:eastAsia="en-US"/>
              </w:rPr>
            </w:pPr>
            <w:r>
              <w:rPr>
                <w:rFonts w:cs="Arial"/>
                <w:sz w:val="16"/>
                <w:szCs w:val="16"/>
                <w:lang w:val="es-ES" w:eastAsia="en-US"/>
              </w:rPr>
              <w:t>Banco del Bajío, S.A.</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18A71ECA" w14:textId="54AC54C6" w:rsidR="00BF5974" w:rsidRDefault="00F071AD" w:rsidP="00F071AD">
            <w:pPr>
              <w:spacing w:line="256" w:lineRule="auto"/>
              <w:jc w:val="center"/>
              <w:rPr>
                <w:rFonts w:cs="Arial"/>
                <w:color w:val="FF0000"/>
                <w:sz w:val="16"/>
                <w:szCs w:val="16"/>
                <w:lang w:val="es-ES" w:eastAsia="en-US"/>
              </w:rPr>
            </w:pPr>
            <w:r>
              <w:rPr>
                <w:rFonts w:cs="Arial"/>
                <w:sz w:val="16"/>
                <w:szCs w:val="16"/>
                <w:lang w:val="es-ES" w:eastAsia="en-US"/>
              </w:rPr>
              <w:t>7,231,814</w:t>
            </w:r>
            <w:r w:rsidRPr="00F071AD">
              <w:rPr>
                <w:rFonts w:cs="Arial"/>
                <w:sz w:val="16"/>
                <w:szCs w:val="16"/>
                <w:vertAlign w:val="superscript"/>
                <w:lang w:val="es-ES" w:eastAsia="en-US"/>
              </w:rPr>
              <w:t>***</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E54F410" w14:textId="77777777" w:rsidR="00BF5974" w:rsidRDefault="00BF5974" w:rsidP="00544F94">
            <w:pPr>
              <w:spacing w:line="256" w:lineRule="auto"/>
              <w:jc w:val="right"/>
              <w:rPr>
                <w:rFonts w:cs="Arial"/>
                <w:sz w:val="16"/>
                <w:szCs w:val="16"/>
                <w:lang w:val="es-ES" w:eastAsia="en-US"/>
              </w:rPr>
            </w:pPr>
            <w:r>
              <w:rPr>
                <w:rFonts w:cs="Arial"/>
                <w:sz w:val="16"/>
                <w:szCs w:val="16"/>
                <w:lang w:val="es-ES" w:eastAsia="en-US"/>
              </w:rPr>
              <w:t>3,000,000</w:t>
            </w:r>
          </w:p>
        </w:tc>
      </w:tr>
      <w:tr w:rsidR="00BF5974" w14:paraId="20A21F48" w14:textId="77777777" w:rsidTr="00544F94">
        <w:trPr>
          <w:trHeight w:val="283"/>
        </w:trPr>
        <w:tc>
          <w:tcPr>
            <w:tcW w:w="9067" w:type="dxa"/>
            <w:gridSpan w:val="5"/>
            <w:tcBorders>
              <w:top w:val="single" w:sz="4" w:space="0" w:color="auto"/>
              <w:left w:val="single" w:sz="4" w:space="0" w:color="auto"/>
              <w:bottom w:val="single" w:sz="4" w:space="0" w:color="auto"/>
              <w:right w:val="single" w:sz="4" w:space="0" w:color="auto"/>
            </w:tcBorders>
            <w:vAlign w:val="center"/>
            <w:hideMark/>
          </w:tcPr>
          <w:p w14:paraId="08FB02AB" w14:textId="77777777" w:rsidR="00BF5974" w:rsidRDefault="00BF5974" w:rsidP="00544F94">
            <w:pPr>
              <w:spacing w:line="256" w:lineRule="auto"/>
              <w:rPr>
                <w:rFonts w:cs="Arial"/>
                <w:b/>
                <w:sz w:val="18"/>
                <w:szCs w:val="18"/>
                <w:lang w:val="es-ES" w:eastAsia="en-US"/>
              </w:rPr>
            </w:pPr>
            <w:r>
              <w:rPr>
                <w:rFonts w:cs="Arial"/>
                <w:b/>
                <w:sz w:val="18"/>
                <w:szCs w:val="18"/>
                <w:lang w:val="es-ES" w:eastAsia="en-US"/>
              </w:rPr>
              <w:t>Secretaría de Planeación, Finanzas y Administración.</w:t>
            </w:r>
          </w:p>
        </w:tc>
      </w:tr>
      <w:tr w:rsidR="00BF5974" w14:paraId="7A53B095" w14:textId="77777777" w:rsidTr="00544F94">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0696D9BD" w14:textId="77777777" w:rsidR="00BF5974" w:rsidRDefault="00BF5974" w:rsidP="00544F94">
            <w:pPr>
              <w:spacing w:line="256" w:lineRule="auto"/>
              <w:rPr>
                <w:rFonts w:cs="Arial"/>
                <w:sz w:val="16"/>
                <w:szCs w:val="16"/>
                <w:lang w:val="es-ES" w:eastAsia="en-US"/>
              </w:rPr>
            </w:pPr>
            <w:r>
              <w:rPr>
                <w:rFonts w:cs="Arial"/>
                <w:sz w:val="16"/>
                <w:szCs w:val="16"/>
                <w:lang w:val="es-ES" w:eastAsia="en-US"/>
              </w:rPr>
              <w:t>040109004 Fideicomiso Irrevocable de Administración y Pago.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2BCD33" w14:textId="77777777" w:rsidR="00BF5974" w:rsidRDefault="00BF5974" w:rsidP="00544F94">
            <w:pPr>
              <w:spacing w:line="256" w:lineRule="auto"/>
              <w:jc w:val="center"/>
              <w:rPr>
                <w:rFonts w:cs="Arial"/>
                <w:sz w:val="16"/>
                <w:szCs w:val="16"/>
                <w:lang w:val="es-ES" w:eastAsia="en-US"/>
              </w:rPr>
            </w:pPr>
            <w:r>
              <w:rPr>
                <w:rFonts w:cs="Arial"/>
                <w:sz w:val="16"/>
                <w:szCs w:val="16"/>
                <w:lang w:val="es-ES" w:eastAsia="en-US"/>
              </w:rPr>
              <w:t>2112337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6BF770" w14:textId="77777777" w:rsidR="00BF5974" w:rsidRDefault="00BF5974" w:rsidP="00544F94">
            <w:pPr>
              <w:spacing w:line="256" w:lineRule="auto"/>
              <w:jc w:val="center"/>
              <w:rPr>
                <w:rFonts w:cs="Arial"/>
                <w:sz w:val="16"/>
                <w:szCs w:val="16"/>
                <w:lang w:val="es-ES" w:eastAsia="en-US"/>
              </w:rPr>
            </w:pPr>
            <w:r>
              <w:rPr>
                <w:rFonts w:cs="Arial"/>
                <w:sz w:val="16"/>
                <w:szCs w:val="16"/>
                <w:lang w:val="es-ES" w:eastAsia="en-US"/>
              </w:rPr>
              <w:t>Banco Santander México, S.A.</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6C0082B0" w14:textId="77777777" w:rsidR="00BF5974" w:rsidRDefault="00BF5974" w:rsidP="00544F94">
            <w:pPr>
              <w:spacing w:line="256" w:lineRule="auto"/>
              <w:jc w:val="center"/>
              <w:rPr>
                <w:rFonts w:cs="Arial"/>
                <w:color w:val="FF0000"/>
                <w:sz w:val="16"/>
                <w:szCs w:val="16"/>
                <w:lang w:val="es-ES" w:eastAsia="en-US"/>
              </w:rPr>
            </w:pPr>
            <w:r>
              <w:rPr>
                <w:rFonts w:cs="Arial"/>
                <w:sz w:val="16"/>
                <w:szCs w:val="16"/>
                <w:lang w:val="es-ES" w:eastAsia="en-US"/>
              </w:rPr>
              <w:t>S/D</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AA295A4" w14:textId="77777777" w:rsidR="00BF5974" w:rsidRDefault="00BF5974" w:rsidP="00544F94">
            <w:pPr>
              <w:spacing w:line="256" w:lineRule="auto"/>
              <w:jc w:val="right"/>
              <w:rPr>
                <w:rFonts w:cs="Arial"/>
                <w:sz w:val="16"/>
                <w:szCs w:val="16"/>
                <w:lang w:val="es-ES" w:eastAsia="en-US"/>
              </w:rPr>
            </w:pPr>
            <w:r>
              <w:rPr>
                <w:rFonts w:cs="Arial"/>
                <w:sz w:val="16"/>
                <w:szCs w:val="16"/>
                <w:lang w:val="es-ES" w:eastAsia="en-US"/>
              </w:rPr>
              <w:t xml:space="preserve"> 1,071,840 </w:t>
            </w:r>
          </w:p>
        </w:tc>
      </w:tr>
      <w:tr w:rsidR="00BF5974" w14:paraId="10CE2612" w14:textId="77777777" w:rsidTr="00544F94">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77AA3591" w14:textId="77777777" w:rsidR="00BF5974" w:rsidRDefault="00BF5974" w:rsidP="00544F94">
            <w:pPr>
              <w:spacing w:line="256" w:lineRule="auto"/>
              <w:rPr>
                <w:rFonts w:cs="Arial"/>
                <w:sz w:val="16"/>
                <w:szCs w:val="16"/>
                <w:lang w:val="es-ES" w:eastAsia="en-US"/>
              </w:rPr>
            </w:pPr>
            <w:r>
              <w:rPr>
                <w:rFonts w:cs="Arial"/>
                <w:sz w:val="16"/>
                <w:szCs w:val="16"/>
                <w:lang w:val="es-ES" w:eastAsia="en-US"/>
              </w:rPr>
              <w:t>040109005 Fideicomiso Irrevocable de Administración y Fuentes de Pago.</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D5FC2D" w14:textId="77777777" w:rsidR="00BF5974" w:rsidRDefault="00BF5974" w:rsidP="00544F94">
            <w:pPr>
              <w:spacing w:line="256" w:lineRule="auto"/>
              <w:jc w:val="center"/>
              <w:rPr>
                <w:rFonts w:cs="Arial"/>
                <w:sz w:val="16"/>
                <w:szCs w:val="16"/>
                <w:lang w:val="es-ES" w:eastAsia="en-US"/>
              </w:rPr>
            </w:pPr>
            <w:r>
              <w:rPr>
                <w:rFonts w:cs="Arial"/>
                <w:sz w:val="16"/>
                <w:szCs w:val="16"/>
                <w:lang w:val="es-ES" w:eastAsia="en-US"/>
              </w:rPr>
              <w:t>790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3837F8" w14:textId="77777777" w:rsidR="00BF5974" w:rsidRDefault="00BF5974" w:rsidP="00544F94">
            <w:pPr>
              <w:spacing w:line="256" w:lineRule="auto"/>
              <w:jc w:val="center"/>
              <w:rPr>
                <w:rFonts w:cs="Arial"/>
                <w:sz w:val="16"/>
                <w:szCs w:val="16"/>
                <w:lang w:val="es-ES" w:eastAsia="en-US"/>
              </w:rPr>
            </w:pPr>
            <w:r>
              <w:rPr>
                <w:rFonts w:cs="Arial"/>
                <w:sz w:val="16"/>
                <w:szCs w:val="16"/>
                <w:lang w:val="es-ES" w:eastAsia="en-US"/>
              </w:rPr>
              <w:t xml:space="preserve">Banco </w:t>
            </w:r>
            <w:proofErr w:type="spellStart"/>
            <w:r>
              <w:rPr>
                <w:rFonts w:cs="Arial"/>
                <w:sz w:val="16"/>
                <w:szCs w:val="16"/>
                <w:lang w:val="es-ES" w:eastAsia="en-US"/>
              </w:rPr>
              <w:t>Invex</w:t>
            </w:r>
            <w:proofErr w:type="spellEnd"/>
            <w:r>
              <w:rPr>
                <w:rFonts w:cs="Arial"/>
                <w:sz w:val="16"/>
                <w:szCs w:val="16"/>
                <w:lang w:val="es-ES" w:eastAsia="en-US"/>
              </w:rPr>
              <w:t>, S.A.</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52C7F4F7" w14:textId="77777777" w:rsidR="00BF5974" w:rsidRDefault="00BF5974" w:rsidP="00544F94">
            <w:pPr>
              <w:spacing w:line="256" w:lineRule="auto"/>
              <w:jc w:val="center"/>
              <w:rPr>
                <w:rFonts w:cs="Arial"/>
                <w:color w:val="FF0000"/>
                <w:sz w:val="16"/>
                <w:szCs w:val="16"/>
                <w:lang w:val="es-ES" w:eastAsia="en-US"/>
              </w:rPr>
            </w:pPr>
            <w:r>
              <w:rPr>
                <w:rFonts w:cs="Arial"/>
                <w:sz w:val="16"/>
                <w:szCs w:val="16"/>
                <w:lang w:val="es-ES" w:eastAsia="en-US"/>
              </w:rPr>
              <w:t>S/D</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C0D99B2" w14:textId="77777777" w:rsidR="00BF5974" w:rsidRDefault="00BF5974" w:rsidP="00544F94">
            <w:pPr>
              <w:spacing w:line="256" w:lineRule="auto"/>
              <w:jc w:val="right"/>
              <w:rPr>
                <w:rFonts w:cs="Arial"/>
                <w:sz w:val="16"/>
                <w:szCs w:val="16"/>
                <w:lang w:val="es-ES" w:eastAsia="en-US"/>
              </w:rPr>
            </w:pPr>
            <w:r>
              <w:rPr>
                <w:rFonts w:cs="Arial"/>
                <w:sz w:val="16"/>
                <w:szCs w:val="16"/>
                <w:lang w:val="es-ES" w:eastAsia="en-US"/>
              </w:rPr>
              <w:t xml:space="preserve"> 1,142,797 </w:t>
            </w:r>
          </w:p>
        </w:tc>
      </w:tr>
      <w:tr w:rsidR="00BF5974" w14:paraId="1505C784" w14:textId="77777777" w:rsidTr="00544F94">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4F97434D" w14:textId="77777777" w:rsidR="00BF5974" w:rsidRDefault="00BF5974" w:rsidP="00544F94">
            <w:pPr>
              <w:spacing w:line="256" w:lineRule="auto"/>
              <w:rPr>
                <w:rFonts w:cs="Arial"/>
                <w:sz w:val="16"/>
                <w:szCs w:val="16"/>
                <w:lang w:val="es-ES" w:eastAsia="en-US"/>
              </w:rPr>
            </w:pPr>
            <w:r>
              <w:rPr>
                <w:rFonts w:cs="Arial"/>
                <w:sz w:val="16"/>
                <w:szCs w:val="16"/>
                <w:lang w:val="es-ES" w:eastAsia="en-US"/>
              </w:rPr>
              <w:t>040109007 Fideicomiso Irrevocable de Administración y Fuentes de Pago.</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FDB4BD" w14:textId="77777777" w:rsidR="00BF5974" w:rsidRDefault="00BF5974" w:rsidP="00544F94">
            <w:pPr>
              <w:spacing w:line="256" w:lineRule="auto"/>
              <w:jc w:val="center"/>
              <w:rPr>
                <w:rFonts w:cs="Arial"/>
                <w:sz w:val="16"/>
                <w:szCs w:val="16"/>
                <w:lang w:val="es-ES" w:eastAsia="en-US"/>
              </w:rPr>
            </w:pPr>
            <w:r>
              <w:rPr>
                <w:rFonts w:cs="Arial"/>
                <w:sz w:val="16"/>
                <w:szCs w:val="16"/>
                <w:lang w:val="es-ES" w:eastAsia="en-US"/>
              </w:rPr>
              <w:t>34549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0BB9B6" w14:textId="77777777" w:rsidR="00BF5974" w:rsidRDefault="00BF5974" w:rsidP="00544F94">
            <w:pPr>
              <w:spacing w:line="256" w:lineRule="auto"/>
              <w:jc w:val="center"/>
              <w:rPr>
                <w:rFonts w:cs="Arial"/>
                <w:sz w:val="16"/>
                <w:szCs w:val="16"/>
                <w:lang w:val="es-ES" w:eastAsia="en-US"/>
              </w:rPr>
            </w:pPr>
            <w:r>
              <w:rPr>
                <w:rFonts w:cs="Arial"/>
                <w:sz w:val="16"/>
                <w:szCs w:val="16"/>
                <w:lang w:val="es-ES" w:eastAsia="en-US"/>
              </w:rPr>
              <w:t>Banco del Bajío, S.A.</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34E0491E" w14:textId="77777777" w:rsidR="00BF5974" w:rsidRDefault="00BF5974" w:rsidP="00544F94">
            <w:pPr>
              <w:spacing w:line="256" w:lineRule="auto"/>
              <w:jc w:val="center"/>
              <w:rPr>
                <w:rFonts w:cs="Arial"/>
                <w:color w:val="FF0000"/>
                <w:sz w:val="16"/>
                <w:szCs w:val="16"/>
                <w:lang w:val="es-ES" w:eastAsia="en-US"/>
              </w:rPr>
            </w:pPr>
            <w:r>
              <w:rPr>
                <w:rFonts w:cs="Arial"/>
                <w:sz w:val="16"/>
                <w:szCs w:val="16"/>
                <w:lang w:val="es-ES" w:eastAsia="en-US"/>
              </w:rPr>
              <w:t>S/D</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B61E11D" w14:textId="77777777" w:rsidR="00BF5974" w:rsidRDefault="00BF5974" w:rsidP="00544F94">
            <w:pPr>
              <w:spacing w:line="256" w:lineRule="auto"/>
              <w:jc w:val="right"/>
              <w:rPr>
                <w:rFonts w:cs="Arial"/>
                <w:sz w:val="16"/>
                <w:szCs w:val="16"/>
                <w:lang w:val="es-ES" w:eastAsia="en-US"/>
              </w:rPr>
            </w:pPr>
            <w:r>
              <w:rPr>
                <w:rFonts w:cs="Arial"/>
                <w:sz w:val="16"/>
                <w:szCs w:val="16"/>
                <w:lang w:val="es-ES" w:eastAsia="en-US"/>
              </w:rPr>
              <w:t>180,000</w:t>
            </w:r>
          </w:p>
        </w:tc>
      </w:tr>
      <w:tr w:rsidR="00BF5974" w14:paraId="0783516B" w14:textId="77777777" w:rsidTr="00544F94">
        <w:trPr>
          <w:trHeight w:val="283"/>
        </w:trPr>
        <w:tc>
          <w:tcPr>
            <w:tcW w:w="9067" w:type="dxa"/>
            <w:gridSpan w:val="5"/>
            <w:tcBorders>
              <w:top w:val="single" w:sz="4" w:space="0" w:color="auto"/>
              <w:left w:val="single" w:sz="4" w:space="0" w:color="auto"/>
              <w:bottom w:val="single" w:sz="4" w:space="0" w:color="auto"/>
              <w:right w:val="single" w:sz="4" w:space="0" w:color="auto"/>
            </w:tcBorders>
            <w:vAlign w:val="center"/>
            <w:hideMark/>
          </w:tcPr>
          <w:p w14:paraId="19C3CC5A" w14:textId="77777777" w:rsidR="00BF5974" w:rsidRDefault="00BF5974" w:rsidP="00544F94">
            <w:pPr>
              <w:spacing w:line="256" w:lineRule="auto"/>
              <w:jc w:val="left"/>
              <w:rPr>
                <w:rFonts w:cs="Arial"/>
                <w:b/>
                <w:sz w:val="18"/>
                <w:szCs w:val="18"/>
                <w:lang w:val="es-ES" w:eastAsia="en-US"/>
              </w:rPr>
            </w:pPr>
            <w:r>
              <w:rPr>
                <w:rFonts w:cs="Arial"/>
                <w:b/>
                <w:sz w:val="18"/>
                <w:szCs w:val="18"/>
                <w:lang w:val="es-ES" w:eastAsia="en-US"/>
              </w:rPr>
              <w:t>Secretaría de Bienestar, Inclusión Social y Mujeres.</w:t>
            </w:r>
          </w:p>
        </w:tc>
      </w:tr>
      <w:tr w:rsidR="00BF5974" w14:paraId="63843BA6" w14:textId="77777777" w:rsidTr="00544F94">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53D73C9A" w14:textId="77777777" w:rsidR="00BF5974" w:rsidRDefault="00BF5974" w:rsidP="00544F94">
            <w:pPr>
              <w:spacing w:line="256" w:lineRule="auto"/>
              <w:rPr>
                <w:rFonts w:cs="Arial"/>
                <w:sz w:val="16"/>
                <w:szCs w:val="16"/>
                <w:lang w:val="es-ES" w:eastAsia="en-US"/>
              </w:rPr>
            </w:pPr>
            <w:r>
              <w:rPr>
                <w:rFonts w:cs="Arial"/>
                <w:sz w:val="16"/>
                <w:szCs w:val="16"/>
                <w:lang w:val="es-ES" w:eastAsia="en-US"/>
              </w:rPr>
              <w:t>040204022 FID 10321 Fideicomiso para el Bienestar</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3CCBC5" w14:textId="77777777" w:rsidR="00BF5974" w:rsidRDefault="00BF5974" w:rsidP="00544F94">
            <w:pPr>
              <w:spacing w:line="256" w:lineRule="auto"/>
              <w:jc w:val="center"/>
              <w:rPr>
                <w:rFonts w:cs="Arial"/>
                <w:sz w:val="16"/>
                <w:szCs w:val="16"/>
                <w:lang w:val="es-ES" w:eastAsia="en-US"/>
              </w:rPr>
            </w:pPr>
            <w:r>
              <w:rPr>
                <w:rFonts w:cs="Arial"/>
                <w:sz w:val="16"/>
                <w:szCs w:val="16"/>
                <w:lang w:val="es-ES" w:eastAsia="en-US"/>
              </w:rPr>
              <w:t>1561116474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6206A7" w14:textId="77777777" w:rsidR="00BF5974" w:rsidRDefault="00BF5974" w:rsidP="00544F94">
            <w:pPr>
              <w:spacing w:line="256" w:lineRule="auto"/>
              <w:jc w:val="center"/>
              <w:rPr>
                <w:rFonts w:cs="Arial"/>
                <w:sz w:val="16"/>
                <w:szCs w:val="16"/>
                <w:lang w:val="es-ES" w:eastAsia="en-US"/>
              </w:rPr>
            </w:pPr>
            <w:r>
              <w:rPr>
                <w:rFonts w:cs="Arial"/>
                <w:sz w:val="16"/>
                <w:szCs w:val="16"/>
                <w:lang w:val="es-ES" w:eastAsia="en-US"/>
              </w:rPr>
              <w:t>Bienestar SNC</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21A61674" w14:textId="77777777" w:rsidR="00BF5974" w:rsidRDefault="00BF5974" w:rsidP="008E444B">
            <w:pPr>
              <w:spacing w:line="256" w:lineRule="auto"/>
              <w:jc w:val="center"/>
              <w:rPr>
                <w:rFonts w:cs="Arial"/>
                <w:sz w:val="16"/>
                <w:szCs w:val="16"/>
                <w:lang w:val="es-ES" w:eastAsia="en-US"/>
              </w:rPr>
            </w:pPr>
            <w:r>
              <w:rPr>
                <w:rFonts w:cs="Arial"/>
                <w:sz w:val="16"/>
                <w:szCs w:val="16"/>
                <w:lang w:val="es-ES" w:eastAsia="en-US"/>
              </w:rPr>
              <w:t>30,947,100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BB82C31" w14:textId="77777777" w:rsidR="00BF5974" w:rsidRDefault="00BF5974" w:rsidP="00544F94">
            <w:pPr>
              <w:spacing w:line="256" w:lineRule="auto"/>
              <w:jc w:val="right"/>
              <w:rPr>
                <w:rFonts w:cs="Arial"/>
                <w:sz w:val="16"/>
                <w:szCs w:val="16"/>
                <w:lang w:val="es-ES" w:eastAsia="en-US"/>
              </w:rPr>
            </w:pPr>
            <w:r>
              <w:rPr>
                <w:rFonts w:cs="Arial"/>
                <w:sz w:val="16"/>
                <w:szCs w:val="16"/>
                <w:lang w:val="es-ES" w:eastAsia="en-US"/>
              </w:rPr>
              <w:t>74,344,200</w:t>
            </w:r>
          </w:p>
        </w:tc>
      </w:tr>
      <w:tr w:rsidR="00BF5974" w14:paraId="5D1F8FEF" w14:textId="77777777" w:rsidTr="00544F94">
        <w:trPr>
          <w:trHeight w:val="283"/>
        </w:trPr>
        <w:tc>
          <w:tcPr>
            <w:tcW w:w="9067" w:type="dxa"/>
            <w:gridSpan w:val="5"/>
            <w:tcBorders>
              <w:top w:val="single" w:sz="4" w:space="0" w:color="auto"/>
              <w:left w:val="single" w:sz="4" w:space="0" w:color="auto"/>
              <w:bottom w:val="single" w:sz="4" w:space="0" w:color="auto"/>
              <w:right w:val="single" w:sz="4" w:space="0" w:color="auto"/>
            </w:tcBorders>
            <w:vAlign w:val="center"/>
            <w:hideMark/>
          </w:tcPr>
          <w:p w14:paraId="62F14637" w14:textId="77777777" w:rsidR="00BF5974" w:rsidRDefault="00BF5974" w:rsidP="00544F94">
            <w:pPr>
              <w:spacing w:line="256" w:lineRule="auto"/>
              <w:jc w:val="left"/>
              <w:rPr>
                <w:rFonts w:cs="Arial"/>
                <w:b/>
                <w:sz w:val="18"/>
                <w:szCs w:val="18"/>
                <w:lang w:val="es-ES" w:eastAsia="en-US"/>
              </w:rPr>
            </w:pPr>
            <w:r>
              <w:rPr>
                <w:rFonts w:cs="Arial"/>
                <w:b/>
                <w:sz w:val="18"/>
                <w:szCs w:val="18"/>
                <w:lang w:val="es-ES" w:eastAsia="en-US"/>
              </w:rPr>
              <w:t>Secretaría de Infraestructura, Desarrollo Urbano y Movilidad.</w:t>
            </w:r>
          </w:p>
        </w:tc>
      </w:tr>
      <w:tr w:rsidR="00BF5974" w14:paraId="26AD0E9B" w14:textId="77777777" w:rsidTr="00544F94">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1EE1A981" w14:textId="7BB7C04E" w:rsidR="00BF5974" w:rsidRDefault="00BF5974" w:rsidP="00544F94">
            <w:pPr>
              <w:spacing w:line="256" w:lineRule="auto"/>
              <w:rPr>
                <w:rFonts w:cs="Arial"/>
                <w:sz w:val="16"/>
                <w:szCs w:val="16"/>
                <w:lang w:val="es-ES" w:eastAsia="en-US"/>
              </w:rPr>
            </w:pPr>
            <w:r>
              <w:rPr>
                <w:rFonts w:cs="Arial"/>
                <w:sz w:val="16"/>
                <w:szCs w:val="16"/>
                <w:lang w:val="es-ES" w:eastAsia="en-US"/>
              </w:rPr>
              <w:t>Fideicomiso del Fondo Ambiental del Estado de Colima.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307FFF" w14:textId="77777777" w:rsidR="00BF5974" w:rsidRDefault="00BF5974" w:rsidP="00544F94">
            <w:pPr>
              <w:spacing w:line="256" w:lineRule="auto"/>
              <w:jc w:val="center"/>
              <w:rPr>
                <w:rFonts w:cs="Arial"/>
                <w:sz w:val="16"/>
                <w:szCs w:val="16"/>
                <w:lang w:val="es-ES" w:eastAsia="en-US"/>
              </w:rPr>
            </w:pPr>
            <w:r>
              <w:rPr>
                <w:rFonts w:cs="Arial"/>
                <w:sz w:val="16"/>
                <w:szCs w:val="16"/>
                <w:lang w:val="es-ES" w:eastAsia="en-US"/>
              </w:rPr>
              <w:t>27285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AB3414" w14:textId="77777777" w:rsidR="00BF5974" w:rsidRDefault="00BF5974" w:rsidP="00544F94">
            <w:pPr>
              <w:spacing w:line="256" w:lineRule="auto"/>
              <w:jc w:val="center"/>
              <w:rPr>
                <w:rFonts w:cs="Arial"/>
                <w:sz w:val="16"/>
                <w:szCs w:val="16"/>
                <w:lang w:val="es-ES" w:eastAsia="en-US"/>
              </w:rPr>
            </w:pPr>
            <w:r>
              <w:rPr>
                <w:rFonts w:cs="Arial"/>
                <w:sz w:val="16"/>
                <w:szCs w:val="16"/>
                <w:lang w:val="es-ES" w:eastAsia="en-US"/>
              </w:rPr>
              <w:t>Banco del Bajío, S.A.</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27F99FF6" w14:textId="60116A6E" w:rsidR="00BF5974" w:rsidRDefault="008E444B" w:rsidP="00544F94">
            <w:pPr>
              <w:spacing w:line="256" w:lineRule="auto"/>
              <w:jc w:val="right"/>
              <w:rPr>
                <w:rFonts w:cs="Arial"/>
                <w:sz w:val="16"/>
                <w:szCs w:val="16"/>
                <w:lang w:val="es-ES" w:eastAsia="en-US"/>
              </w:rPr>
            </w:pPr>
            <w:r>
              <w:rPr>
                <w:rFonts w:cs="Arial"/>
                <w:sz w:val="16"/>
                <w:szCs w:val="16"/>
                <w:lang w:val="es-ES" w:eastAsia="en-US"/>
              </w:rPr>
              <w:t>11,159,906.32</w:t>
            </w:r>
            <w:r>
              <w:rPr>
                <w:rFonts w:cs="Arial"/>
                <w:sz w:val="16"/>
                <w:szCs w:val="16"/>
                <w:vertAlign w:val="superscript"/>
                <w:lang w:val="es-ES" w:eastAsia="en-US"/>
              </w:rPr>
              <w:t>*</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E7A58CA" w14:textId="73EA118D" w:rsidR="00BF5974" w:rsidRDefault="003B03C1" w:rsidP="00544F94">
            <w:pPr>
              <w:spacing w:line="256" w:lineRule="auto"/>
              <w:jc w:val="right"/>
              <w:rPr>
                <w:rFonts w:cs="Arial"/>
                <w:sz w:val="16"/>
                <w:szCs w:val="16"/>
                <w:lang w:val="es-ES" w:eastAsia="en-US"/>
              </w:rPr>
            </w:pPr>
            <w:r>
              <w:rPr>
                <w:rFonts w:cs="Arial"/>
                <w:sz w:val="16"/>
                <w:szCs w:val="16"/>
                <w:lang w:val="es-ES" w:eastAsia="en-US"/>
              </w:rPr>
              <w:t>1,930,534</w:t>
            </w:r>
          </w:p>
        </w:tc>
      </w:tr>
      <w:tr w:rsidR="00BF5974" w14:paraId="47E34B0D" w14:textId="77777777" w:rsidTr="00544F94">
        <w:trPr>
          <w:trHeight w:val="283"/>
        </w:trPr>
        <w:tc>
          <w:tcPr>
            <w:tcW w:w="4111" w:type="dxa"/>
            <w:tcBorders>
              <w:top w:val="single" w:sz="4" w:space="0" w:color="auto"/>
              <w:left w:val="single" w:sz="4" w:space="0" w:color="auto"/>
              <w:bottom w:val="single" w:sz="4" w:space="0" w:color="auto"/>
              <w:right w:val="nil"/>
            </w:tcBorders>
            <w:vAlign w:val="center"/>
            <w:hideMark/>
          </w:tcPr>
          <w:p w14:paraId="58162640" w14:textId="77777777" w:rsidR="00BF5974" w:rsidRDefault="00BF5974" w:rsidP="00544F94">
            <w:pPr>
              <w:spacing w:line="256" w:lineRule="auto"/>
              <w:rPr>
                <w:rFonts w:cs="Arial"/>
                <w:b/>
                <w:sz w:val="18"/>
                <w:szCs w:val="18"/>
                <w:lang w:val="es-ES" w:eastAsia="en-US"/>
              </w:rPr>
            </w:pPr>
            <w:r>
              <w:rPr>
                <w:rFonts w:cs="Arial"/>
                <w:b/>
                <w:sz w:val="18"/>
                <w:szCs w:val="18"/>
                <w:lang w:val="es-ES" w:eastAsia="en-US"/>
              </w:rPr>
              <w:t>Secretaría de Educación y Cultura.</w:t>
            </w:r>
          </w:p>
        </w:tc>
        <w:tc>
          <w:tcPr>
            <w:tcW w:w="992" w:type="dxa"/>
            <w:tcBorders>
              <w:top w:val="single" w:sz="4" w:space="0" w:color="auto"/>
              <w:left w:val="nil"/>
              <w:bottom w:val="single" w:sz="4" w:space="0" w:color="auto"/>
              <w:right w:val="nil"/>
            </w:tcBorders>
            <w:vAlign w:val="center"/>
          </w:tcPr>
          <w:p w14:paraId="64C64C33" w14:textId="77777777" w:rsidR="00BF5974" w:rsidRDefault="00BF5974" w:rsidP="00544F94">
            <w:pPr>
              <w:spacing w:line="256" w:lineRule="auto"/>
              <w:jc w:val="center"/>
              <w:rPr>
                <w:rFonts w:cs="Arial"/>
                <w:sz w:val="18"/>
                <w:szCs w:val="18"/>
                <w:lang w:val="es-ES" w:eastAsia="en-US"/>
              </w:rPr>
            </w:pPr>
          </w:p>
        </w:tc>
        <w:tc>
          <w:tcPr>
            <w:tcW w:w="1276" w:type="dxa"/>
            <w:tcBorders>
              <w:top w:val="single" w:sz="4" w:space="0" w:color="auto"/>
              <w:left w:val="nil"/>
              <w:bottom w:val="single" w:sz="4" w:space="0" w:color="auto"/>
              <w:right w:val="nil"/>
            </w:tcBorders>
            <w:vAlign w:val="center"/>
          </w:tcPr>
          <w:p w14:paraId="26663066" w14:textId="77777777" w:rsidR="00BF5974" w:rsidRDefault="00BF5974" w:rsidP="00544F94">
            <w:pPr>
              <w:spacing w:line="256" w:lineRule="auto"/>
              <w:jc w:val="center"/>
              <w:rPr>
                <w:rFonts w:cs="Arial"/>
                <w:sz w:val="18"/>
                <w:szCs w:val="18"/>
                <w:lang w:val="es-ES" w:eastAsia="en-US"/>
              </w:rPr>
            </w:pPr>
          </w:p>
        </w:tc>
        <w:tc>
          <w:tcPr>
            <w:tcW w:w="1413" w:type="dxa"/>
            <w:tcBorders>
              <w:top w:val="single" w:sz="4" w:space="0" w:color="auto"/>
              <w:left w:val="nil"/>
              <w:bottom w:val="single" w:sz="4" w:space="0" w:color="auto"/>
              <w:right w:val="nil"/>
            </w:tcBorders>
            <w:noWrap/>
            <w:vAlign w:val="center"/>
          </w:tcPr>
          <w:p w14:paraId="395B73CD" w14:textId="77777777" w:rsidR="00BF5974" w:rsidRDefault="00BF5974" w:rsidP="00544F94">
            <w:pPr>
              <w:spacing w:line="256" w:lineRule="auto"/>
              <w:jc w:val="right"/>
              <w:rPr>
                <w:rFonts w:cs="Arial"/>
                <w:sz w:val="18"/>
                <w:szCs w:val="18"/>
                <w:lang w:val="es-ES" w:eastAsia="en-US"/>
              </w:rPr>
            </w:pPr>
          </w:p>
        </w:tc>
        <w:tc>
          <w:tcPr>
            <w:tcW w:w="1275" w:type="dxa"/>
            <w:tcBorders>
              <w:top w:val="single" w:sz="4" w:space="0" w:color="auto"/>
              <w:left w:val="nil"/>
              <w:bottom w:val="single" w:sz="4" w:space="0" w:color="auto"/>
              <w:right w:val="single" w:sz="4" w:space="0" w:color="auto"/>
            </w:tcBorders>
            <w:noWrap/>
            <w:vAlign w:val="center"/>
          </w:tcPr>
          <w:p w14:paraId="0476428A" w14:textId="77777777" w:rsidR="00BF5974" w:rsidRDefault="00BF5974" w:rsidP="00544F94">
            <w:pPr>
              <w:spacing w:line="256" w:lineRule="auto"/>
              <w:jc w:val="right"/>
              <w:rPr>
                <w:rFonts w:cs="Arial"/>
                <w:sz w:val="18"/>
                <w:szCs w:val="18"/>
                <w:lang w:val="es-ES" w:eastAsia="en-US"/>
              </w:rPr>
            </w:pPr>
          </w:p>
        </w:tc>
      </w:tr>
      <w:tr w:rsidR="00BF5974" w14:paraId="1297D86C" w14:textId="77777777" w:rsidTr="00544F94">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75C2FDEC" w14:textId="77777777" w:rsidR="00BF5974" w:rsidRDefault="00BF5974" w:rsidP="00544F94">
            <w:pPr>
              <w:spacing w:line="256" w:lineRule="auto"/>
              <w:rPr>
                <w:rFonts w:cs="Arial"/>
                <w:sz w:val="16"/>
                <w:szCs w:val="16"/>
                <w:lang w:val="es-ES" w:eastAsia="en-US"/>
              </w:rPr>
            </w:pPr>
            <w:r>
              <w:rPr>
                <w:rFonts w:cs="Arial"/>
                <w:sz w:val="16"/>
                <w:szCs w:val="16"/>
                <w:lang w:val="es-ES" w:eastAsia="en-US"/>
              </w:rPr>
              <w:t>Programa Especial de Financiamiento a la Vivienda para el Magisterio del Estado de Colima. (FOVIM).</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943C85" w14:textId="77777777" w:rsidR="00BF5974" w:rsidRDefault="00BF5974" w:rsidP="00544F94">
            <w:pPr>
              <w:spacing w:line="256" w:lineRule="auto"/>
              <w:jc w:val="center"/>
              <w:rPr>
                <w:rFonts w:cs="Arial"/>
                <w:sz w:val="16"/>
                <w:szCs w:val="16"/>
                <w:lang w:val="es-ES" w:eastAsia="en-US"/>
              </w:rPr>
            </w:pPr>
            <w:r>
              <w:rPr>
                <w:rFonts w:cs="Arial"/>
                <w:sz w:val="16"/>
                <w:szCs w:val="16"/>
                <w:lang w:val="es-ES" w:eastAsia="en-US"/>
              </w:rPr>
              <w:t>100008895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E2A8D6" w14:textId="77777777" w:rsidR="00BF5974" w:rsidRDefault="00BF5974" w:rsidP="00544F94">
            <w:pPr>
              <w:spacing w:line="256" w:lineRule="auto"/>
              <w:jc w:val="center"/>
              <w:rPr>
                <w:rFonts w:cs="Arial"/>
                <w:sz w:val="16"/>
                <w:szCs w:val="16"/>
                <w:lang w:val="es-ES" w:eastAsia="en-US"/>
              </w:rPr>
            </w:pPr>
            <w:r>
              <w:rPr>
                <w:rFonts w:cs="Arial"/>
                <w:sz w:val="16"/>
                <w:szCs w:val="16"/>
                <w:lang w:val="es-ES" w:eastAsia="en-US"/>
              </w:rPr>
              <w:t>SCOTIABANK</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7373F082" w14:textId="1E6EA133" w:rsidR="00BF5974" w:rsidRDefault="008E444B" w:rsidP="00544F94">
            <w:pPr>
              <w:spacing w:line="256" w:lineRule="auto"/>
              <w:jc w:val="right"/>
              <w:rPr>
                <w:rFonts w:cs="Arial"/>
                <w:sz w:val="16"/>
                <w:szCs w:val="16"/>
                <w:lang w:val="es-ES" w:eastAsia="en-US"/>
              </w:rPr>
            </w:pPr>
            <w:r>
              <w:rPr>
                <w:rFonts w:cs="Arial"/>
                <w:sz w:val="16"/>
                <w:szCs w:val="16"/>
                <w:lang w:val="es-ES" w:eastAsia="en-US"/>
              </w:rPr>
              <w:t>3,766,945.77</w:t>
            </w:r>
            <w:r>
              <w:rPr>
                <w:rFonts w:cs="Arial"/>
                <w:sz w:val="16"/>
                <w:szCs w:val="16"/>
                <w:vertAlign w:val="superscript"/>
                <w:lang w:val="es-ES" w:eastAsia="en-US"/>
              </w:rPr>
              <w:t>*</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1DE921A" w14:textId="77777777" w:rsidR="00BF5974" w:rsidRDefault="00BF5974" w:rsidP="00544F94">
            <w:pPr>
              <w:spacing w:line="256" w:lineRule="auto"/>
              <w:jc w:val="right"/>
              <w:rPr>
                <w:rFonts w:cs="Arial"/>
                <w:sz w:val="16"/>
                <w:szCs w:val="16"/>
                <w:lang w:val="es-ES" w:eastAsia="en-US"/>
              </w:rPr>
            </w:pPr>
            <w:r>
              <w:rPr>
                <w:rFonts w:cs="Arial"/>
                <w:sz w:val="16"/>
                <w:szCs w:val="16"/>
                <w:lang w:val="es-ES" w:eastAsia="en-US"/>
              </w:rPr>
              <w:t>0</w:t>
            </w:r>
          </w:p>
        </w:tc>
      </w:tr>
      <w:tr w:rsidR="00BF5974" w14:paraId="2D7D9F94" w14:textId="77777777" w:rsidTr="00544F94">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66566D11" w14:textId="77777777" w:rsidR="00BF5974" w:rsidRDefault="00BF5974" w:rsidP="00544F94">
            <w:pPr>
              <w:spacing w:line="256" w:lineRule="auto"/>
              <w:rPr>
                <w:rFonts w:cs="Arial"/>
                <w:sz w:val="16"/>
                <w:szCs w:val="16"/>
                <w:lang w:val="es-ES" w:eastAsia="en-US"/>
              </w:rPr>
            </w:pPr>
            <w:r>
              <w:rPr>
                <w:rFonts w:cs="Arial"/>
                <w:sz w:val="16"/>
                <w:szCs w:val="16"/>
                <w:lang w:val="es-ES" w:eastAsia="en-US"/>
              </w:rPr>
              <w:t>Proyecto "Tecnologías Educativas y de la Información para el Personal al Servicio de la Educación".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A30A1B" w14:textId="77777777" w:rsidR="00BF5974" w:rsidRDefault="00BF5974" w:rsidP="00544F94">
            <w:pPr>
              <w:spacing w:line="256" w:lineRule="auto"/>
              <w:jc w:val="center"/>
              <w:rPr>
                <w:rFonts w:cs="Arial"/>
                <w:sz w:val="16"/>
                <w:szCs w:val="16"/>
                <w:lang w:val="es-ES" w:eastAsia="en-US"/>
              </w:rPr>
            </w:pPr>
            <w:r>
              <w:rPr>
                <w:rFonts w:cs="Arial"/>
                <w:sz w:val="16"/>
                <w:szCs w:val="16"/>
                <w:lang w:val="es-ES" w:eastAsia="en-US"/>
              </w:rPr>
              <w:t>106586-4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C77AFC" w14:textId="77777777" w:rsidR="00BF5974" w:rsidRDefault="00BF5974" w:rsidP="00544F94">
            <w:pPr>
              <w:spacing w:line="256" w:lineRule="auto"/>
              <w:jc w:val="center"/>
              <w:rPr>
                <w:rFonts w:cs="Arial"/>
                <w:sz w:val="16"/>
                <w:szCs w:val="16"/>
                <w:lang w:val="es-ES" w:eastAsia="en-US"/>
              </w:rPr>
            </w:pPr>
            <w:r>
              <w:rPr>
                <w:rFonts w:cs="Arial"/>
                <w:sz w:val="16"/>
                <w:szCs w:val="16"/>
                <w:lang w:val="es-ES" w:eastAsia="en-US"/>
              </w:rPr>
              <w:t>BANAMEX</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40C5F2D5" w14:textId="5E2D8B1F" w:rsidR="00BF5974" w:rsidRDefault="008E444B" w:rsidP="00544F94">
            <w:pPr>
              <w:spacing w:line="256" w:lineRule="auto"/>
              <w:jc w:val="center"/>
              <w:rPr>
                <w:rFonts w:cs="Arial"/>
                <w:sz w:val="16"/>
                <w:szCs w:val="16"/>
                <w:lang w:val="es-ES" w:eastAsia="en-US"/>
              </w:rPr>
            </w:pPr>
            <w:r>
              <w:rPr>
                <w:rFonts w:cs="Arial"/>
                <w:sz w:val="16"/>
                <w:szCs w:val="16"/>
                <w:lang w:val="es-ES" w:eastAsia="en-US"/>
              </w:rPr>
              <w:t>11,250,412.21</w:t>
            </w:r>
            <w:r>
              <w:rPr>
                <w:rFonts w:cs="Arial"/>
                <w:sz w:val="16"/>
                <w:szCs w:val="16"/>
                <w:vertAlign w:val="superscript"/>
                <w:lang w:val="es-ES" w:eastAsia="en-US"/>
              </w:rPr>
              <w:t>*</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501B4B1" w14:textId="77777777" w:rsidR="00BF5974" w:rsidRDefault="00BF5974" w:rsidP="00544F94">
            <w:pPr>
              <w:spacing w:line="256" w:lineRule="auto"/>
              <w:jc w:val="right"/>
              <w:rPr>
                <w:rFonts w:cs="Arial"/>
                <w:sz w:val="16"/>
                <w:szCs w:val="16"/>
                <w:lang w:val="es-ES" w:eastAsia="en-US"/>
              </w:rPr>
            </w:pPr>
            <w:r>
              <w:rPr>
                <w:rFonts w:cs="Arial"/>
                <w:sz w:val="16"/>
                <w:szCs w:val="16"/>
                <w:lang w:val="es-ES" w:eastAsia="en-US"/>
              </w:rPr>
              <w:t>0</w:t>
            </w:r>
          </w:p>
        </w:tc>
      </w:tr>
      <w:tr w:rsidR="00BF5974" w14:paraId="439E2463" w14:textId="77777777" w:rsidTr="00544F94">
        <w:trPr>
          <w:trHeight w:val="283"/>
        </w:trPr>
        <w:tc>
          <w:tcPr>
            <w:tcW w:w="4111" w:type="dxa"/>
            <w:tcBorders>
              <w:top w:val="single" w:sz="4" w:space="0" w:color="auto"/>
              <w:left w:val="single" w:sz="4" w:space="0" w:color="auto"/>
              <w:bottom w:val="single" w:sz="4" w:space="0" w:color="auto"/>
              <w:right w:val="nil"/>
            </w:tcBorders>
            <w:vAlign w:val="center"/>
            <w:hideMark/>
          </w:tcPr>
          <w:p w14:paraId="475FA9DC" w14:textId="77777777" w:rsidR="00BF5974" w:rsidRDefault="00BF5974" w:rsidP="00544F94">
            <w:pPr>
              <w:spacing w:line="256" w:lineRule="auto"/>
              <w:rPr>
                <w:rFonts w:cs="Arial"/>
                <w:sz w:val="18"/>
                <w:szCs w:val="18"/>
                <w:lang w:val="es-ES" w:eastAsia="en-US"/>
              </w:rPr>
            </w:pPr>
            <w:r>
              <w:rPr>
                <w:rFonts w:cs="Arial"/>
                <w:b/>
                <w:sz w:val="18"/>
                <w:szCs w:val="18"/>
                <w:lang w:val="es-ES" w:eastAsia="en-US"/>
              </w:rPr>
              <w:t>Secretaría de Desarrollo Económico.</w:t>
            </w:r>
          </w:p>
        </w:tc>
        <w:tc>
          <w:tcPr>
            <w:tcW w:w="992" w:type="dxa"/>
            <w:tcBorders>
              <w:top w:val="single" w:sz="4" w:space="0" w:color="auto"/>
              <w:left w:val="nil"/>
              <w:bottom w:val="single" w:sz="4" w:space="0" w:color="auto"/>
              <w:right w:val="nil"/>
            </w:tcBorders>
            <w:vAlign w:val="center"/>
          </w:tcPr>
          <w:p w14:paraId="3C04467F" w14:textId="77777777" w:rsidR="00BF5974" w:rsidRDefault="00BF5974" w:rsidP="00544F94">
            <w:pPr>
              <w:spacing w:line="256" w:lineRule="auto"/>
              <w:jc w:val="center"/>
              <w:rPr>
                <w:rFonts w:cs="Arial"/>
                <w:sz w:val="18"/>
                <w:szCs w:val="18"/>
                <w:lang w:val="es-ES" w:eastAsia="en-US"/>
              </w:rPr>
            </w:pPr>
          </w:p>
        </w:tc>
        <w:tc>
          <w:tcPr>
            <w:tcW w:w="1276" w:type="dxa"/>
            <w:tcBorders>
              <w:top w:val="single" w:sz="4" w:space="0" w:color="auto"/>
              <w:left w:val="nil"/>
              <w:bottom w:val="single" w:sz="4" w:space="0" w:color="auto"/>
              <w:right w:val="nil"/>
            </w:tcBorders>
            <w:vAlign w:val="center"/>
          </w:tcPr>
          <w:p w14:paraId="0B114D5B" w14:textId="77777777" w:rsidR="00BF5974" w:rsidRDefault="00BF5974" w:rsidP="00544F94">
            <w:pPr>
              <w:spacing w:line="256" w:lineRule="auto"/>
              <w:jc w:val="center"/>
              <w:rPr>
                <w:rFonts w:cs="Arial"/>
                <w:sz w:val="18"/>
                <w:szCs w:val="18"/>
                <w:lang w:val="es-ES" w:eastAsia="en-US"/>
              </w:rPr>
            </w:pPr>
          </w:p>
        </w:tc>
        <w:tc>
          <w:tcPr>
            <w:tcW w:w="1413" w:type="dxa"/>
            <w:tcBorders>
              <w:top w:val="single" w:sz="4" w:space="0" w:color="auto"/>
              <w:left w:val="nil"/>
              <w:bottom w:val="single" w:sz="4" w:space="0" w:color="auto"/>
              <w:right w:val="nil"/>
            </w:tcBorders>
            <w:noWrap/>
            <w:vAlign w:val="center"/>
          </w:tcPr>
          <w:p w14:paraId="31D16005" w14:textId="77777777" w:rsidR="00BF5974" w:rsidRDefault="00BF5974" w:rsidP="00544F94">
            <w:pPr>
              <w:spacing w:line="256" w:lineRule="auto"/>
              <w:jc w:val="right"/>
              <w:rPr>
                <w:rFonts w:cs="Arial"/>
                <w:sz w:val="18"/>
                <w:szCs w:val="18"/>
                <w:lang w:val="es-ES" w:eastAsia="en-US"/>
              </w:rPr>
            </w:pPr>
          </w:p>
        </w:tc>
        <w:tc>
          <w:tcPr>
            <w:tcW w:w="1275" w:type="dxa"/>
            <w:tcBorders>
              <w:top w:val="single" w:sz="4" w:space="0" w:color="auto"/>
              <w:left w:val="nil"/>
              <w:bottom w:val="single" w:sz="4" w:space="0" w:color="auto"/>
              <w:right w:val="single" w:sz="4" w:space="0" w:color="auto"/>
            </w:tcBorders>
            <w:noWrap/>
            <w:vAlign w:val="center"/>
          </w:tcPr>
          <w:p w14:paraId="485D6FFD" w14:textId="77777777" w:rsidR="00BF5974" w:rsidRDefault="00BF5974" w:rsidP="00544F94">
            <w:pPr>
              <w:spacing w:line="256" w:lineRule="auto"/>
              <w:jc w:val="right"/>
              <w:rPr>
                <w:rFonts w:cs="Arial"/>
                <w:sz w:val="18"/>
                <w:szCs w:val="18"/>
                <w:lang w:val="es-ES" w:eastAsia="en-US"/>
              </w:rPr>
            </w:pPr>
          </w:p>
        </w:tc>
      </w:tr>
      <w:tr w:rsidR="00BF5974" w14:paraId="0B3FDD1C" w14:textId="77777777" w:rsidTr="00544F94">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24E6BDE3" w14:textId="77777777" w:rsidR="00BF5974" w:rsidRDefault="00BF5974" w:rsidP="00544F94">
            <w:pPr>
              <w:spacing w:line="256" w:lineRule="auto"/>
              <w:rPr>
                <w:rFonts w:cs="Arial"/>
                <w:sz w:val="16"/>
                <w:szCs w:val="16"/>
                <w:lang w:val="es-ES" w:eastAsia="en-US"/>
              </w:rPr>
            </w:pPr>
            <w:r>
              <w:rPr>
                <w:rFonts w:cs="Arial"/>
                <w:sz w:val="16"/>
                <w:szCs w:val="16"/>
                <w:lang w:val="es-ES" w:eastAsia="en-US"/>
              </w:rPr>
              <w:t>Fideicomiso del Fondo de Fomento Agropecuario del Estado de Colima. (FOFAE COL).</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0F71BA" w14:textId="77777777" w:rsidR="00BF5974" w:rsidRDefault="00BF5974" w:rsidP="00544F94">
            <w:pPr>
              <w:spacing w:line="256" w:lineRule="auto"/>
              <w:jc w:val="center"/>
              <w:rPr>
                <w:rFonts w:cs="Arial"/>
                <w:sz w:val="16"/>
                <w:szCs w:val="16"/>
                <w:lang w:val="es-ES" w:eastAsia="en-US"/>
              </w:rPr>
            </w:pPr>
            <w:r>
              <w:rPr>
                <w:rFonts w:cs="Arial"/>
                <w:sz w:val="16"/>
                <w:szCs w:val="16"/>
                <w:lang w:val="es-ES" w:eastAsia="en-US"/>
              </w:rPr>
              <w:t>1206011790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8AB241" w14:textId="77777777" w:rsidR="00BF5974" w:rsidRDefault="00BF5974" w:rsidP="00544F94">
            <w:pPr>
              <w:spacing w:line="256" w:lineRule="auto"/>
              <w:jc w:val="center"/>
              <w:rPr>
                <w:rFonts w:cs="Arial"/>
                <w:sz w:val="14"/>
                <w:szCs w:val="14"/>
                <w:lang w:val="es-ES" w:eastAsia="en-US"/>
              </w:rPr>
            </w:pPr>
            <w:r>
              <w:rPr>
                <w:rFonts w:cs="Arial"/>
                <w:sz w:val="14"/>
                <w:szCs w:val="14"/>
                <w:lang w:val="es-ES" w:eastAsia="en-US"/>
              </w:rPr>
              <w:t xml:space="preserve">Financiera Nacional de Desarrollo Agropecuario, </w:t>
            </w:r>
            <w:r>
              <w:rPr>
                <w:rFonts w:cs="Arial"/>
                <w:sz w:val="14"/>
                <w:szCs w:val="14"/>
                <w:lang w:val="es-ES" w:eastAsia="en-US"/>
              </w:rPr>
              <w:lastRenderedPageBreak/>
              <w:t>Rural, Forestal y Pesquero</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5DE53E9B" w14:textId="7C08EC87" w:rsidR="00BF5974" w:rsidRDefault="008E444B" w:rsidP="00544F94">
            <w:pPr>
              <w:spacing w:line="256" w:lineRule="auto"/>
              <w:jc w:val="right"/>
              <w:rPr>
                <w:rFonts w:cs="Arial"/>
                <w:color w:val="FF0000"/>
                <w:sz w:val="16"/>
                <w:szCs w:val="16"/>
                <w:lang w:val="es-ES" w:eastAsia="en-US"/>
              </w:rPr>
            </w:pPr>
            <w:r>
              <w:rPr>
                <w:rFonts w:cs="Arial"/>
                <w:sz w:val="16"/>
                <w:szCs w:val="16"/>
                <w:lang w:val="es-ES" w:eastAsia="en-US"/>
              </w:rPr>
              <w:lastRenderedPageBreak/>
              <w:t>1,360,655.56</w:t>
            </w:r>
            <w:r>
              <w:rPr>
                <w:rFonts w:cs="Arial"/>
                <w:sz w:val="16"/>
                <w:szCs w:val="16"/>
                <w:vertAlign w:val="superscript"/>
                <w:lang w:val="es-ES" w:eastAsia="en-US"/>
              </w:rPr>
              <w:t>**</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E9F95BA" w14:textId="38E7553D" w:rsidR="00BF5974" w:rsidRDefault="005A4A66" w:rsidP="00544F94">
            <w:pPr>
              <w:spacing w:line="256" w:lineRule="auto"/>
              <w:jc w:val="right"/>
              <w:rPr>
                <w:rFonts w:cs="Arial"/>
                <w:sz w:val="16"/>
                <w:szCs w:val="16"/>
                <w:lang w:val="es-ES" w:eastAsia="en-US"/>
              </w:rPr>
            </w:pPr>
            <w:r>
              <w:rPr>
                <w:rFonts w:cs="Arial"/>
                <w:sz w:val="16"/>
                <w:szCs w:val="16"/>
                <w:lang w:val="es-ES" w:eastAsia="en-US"/>
              </w:rPr>
              <w:t>8,000</w:t>
            </w:r>
            <w:r w:rsidR="00BF5974">
              <w:rPr>
                <w:rFonts w:cs="Arial"/>
                <w:sz w:val="16"/>
                <w:szCs w:val="16"/>
                <w:lang w:val="es-ES" w:eastAsia="en-US"/>
              </w:rPr>
              <w:t>,000</w:t>
            </w:r>
          </w:p>
        </w:tc>
      </w:tr>
      <w:tr w:rsidR="00BF5974" w14:paraId="19FCB210" w14:textId="77777777" w:rsidTr="00544F94">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2C123B2A" w14:textId="77777777" w:rsidR="00BF5974" w:rsidRDefault="00BF5974" w:rsidP="00544F94">
            <w:pPr>
              <w:spacing w:line="256" w:lineRule="auto"/>
              <w:rPr>
                <w:rFonts w:cs="Arial"/>
                <w:sz w:val="16"/>
                <w:szCs w:val="16"/>
                <w:lang w:val="es-ES" w:eastAsia="en-US"/>
              </w:rPr>
            </w:pPr>
            <w:r>
              <w:rPr>
                <w:rFonts w:cs="Arial"/>
                <w:sz w:val="16"/>
                <w:szCs w:val="16"/>
                <w:lang w:val="es-ES" w:eastAsia="en-US"/>
              </w:rPr>
              <w:t>040109003</w:t>
            </w:r>
            <w:r>
              <w:rPr>
                <w:rFonts w:cs="Arial"/>
                <w:color w:val="FF0000"/>
                <w:sz w:val="16"/>
                <w:szCs w:val="16"/>
                <w:lang w:val="es-ES" w:eastAsia="en-US"/>
              </w:rPr>
              <w:t xml:space="preserve"> </w:t>
            </w:r>
            <w:r>
              <w:rPr>
                <w:rFonts w:cs="Arial"/>
                <w:sz w:val="16"/>
                <w:szCs w:val="16"/>
                <w:lang w:val="es-ES" w:eastAsia="en-US"/>
              </w:rPr>
              <w:t>Fideicomiso Revocable de Administración e Inversión para la Dotación de Infraestructura Industrial, Comercial, de Servicios y Urbana del Estado de Colima. (FIEC).</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747261" w14:textId="77777777" w:rsidR="00BF5974" w:rsidRDefault="00BF5974" w:rsidP="00544F94">
            <w:pPr>
              <w:spacing w:line="256" w:lineRule="auto"/>
              <w:jc w:val="center"/>
              <w:rPr>
                <w:rFonts w:cs="Arial"/>
                <w:sz w:val="16"/>
                <w:szCs w:val="16"/>
                <w:lang w:val="es-ES" w:eastAsia="en-US"/>
              </w:rPr>
            </w:pPr>
            <w:r>
              <w:rPr>
                <w:rFonts w:cs="Arial"/>
                <w:sz w:val="16"/>
                <w:szCs w:val="16"/>
                <w:lang w:val="es-ES" w:eastAsia="en-US"/>
              </w:rPr>
              <w:t>106698-4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54CEF3" w14:textId="77777777" w:rsidR="00BF5974" w:rsidRDefault="00BF5974" w:rsidP="00544F94">
            <w:pPr>
              <w:spacing w:line="256" w:lineRule="auto"/>
              <w:jc w:val="center"/>
              <w:rPr>
                <w:rFonts w:cs="Arial"/>
                <w:sz w:val="16"/>
                <w:szCs w:val="16"/>
                <w:lang w:val="es-ES" w:eastAsia="en-US"/>
              </w:rPr>
            </w:pPr>
            <w:r>
              <w:rPr>
                <w:rFonts w:cs="Arial"/>
                <w:sz w:val="16"/>
                <w:szCs w:val="16"/>
                <w:lang w:val="es-ES" w:eastAsia="en-US"/>
              </w:rPr>
              <w:t>BANAMEX</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489426B4" w14:textId="27C474AB" w:rsidR="00BF5974" w:rsidRDefault="006A4190" w:rsidP="00544F94">
            <w:pPr>
              <w:spacing w:line="256" w:lineRule="auto"/>
              <w:jc w:val="right"/>
              <w:rPr>
                <w:rFonts w:cs="Arial"/>
                <w:color w:val="FF0000"/>
                <w:sz w:val="16"/>
                <w:szCs w:val="16"/>
                <w:lang w:val="es-ES" w:eastAsia="en-US"/>
              </w:rPr>
            </w:pPr>
            <w:r>
              <w:rPr>
                <w:rFonts w:cs="Arial"/>
                <w:sz w:val="16"/>
                <w:szCs w:val="16"/>
                <w:lang w:val="es-ES" w:eastAsia="en-US"/>
              </w:rPr>
              <w:t>9,995,231.61</w:t>
            </w:r>
            <w:r>
              <w:rPr>
                <w:rFonts w:cs="Arial"/>
                <w:sz w:val="16"/>
                <w:szCs w:val="16"/>
                <w:vertAlign w:val="superscript"/>
                <w:lang w:val="es-ES" w:eastAsia="en-US"/>
              </w:rPr>
              <w:t>*</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69DACD7" w14:textId="77777777" w:rsidR="00BF5974" w:rsidRDefault="00BF5974" w:rsidP="00544F94">
            <w:pPr>
              <w:spacing w:line="256" w:lineRule="auto"/>
              <w:jc w:val="right"/>
              <w:rPr>
                <w:rFonts w:cs="Arial"/>
                <w:sz w:val="16"/>
                <w:szCs w:val="16"/>
                <w:lang w:val="es-ES" w:eastAsia="en-US"/>
              </w:rPr>
            </w:pPr>
            <w:r>
              <w:rPr>
                <w:rFonts w:cs="Arial"/>
                <w:sz w:val="16"/>
                <w:szCs w:val="16"/>
                <w:lang w:val="es-ES" w:eastAsia="en-US"/>
              </w:rPr>
              <w:t>500,000</w:t>
            </w:r>
          </w:p>
        </w:tc>
      </w:tr>
      <w:tr w:rsidR="00BF5974" w14:paraId="5A025F67" w14:textId="77777777" w:rsidTr="00544F94">
        <w:trPr>
          <w:trHeight w:val="283"/>
        </w:trPr>
        <w:tc>
          <w:tcPr>
            <w:tcW w:w="9067" w:type="dxa"/>
            <w:gridSpan w:val="5"/>
            <w:tcBorders>
              <w:top w:val="single" w:sz="4" w:space="0" w:color="auto"/>
              <w:left w:val="nil"/>
              <w:bottom w:val="nil"/>
              <w:right w:val="nil"/>
            </w:tcBorders>
            <w:vAlign w:val="center"/>
            <w:hideMark/>
          </w:tcPr>
          <w:p w14:paraId="0E47D054" w14:textId="77777777" w:rsidR="00BF5974" w:rsidRDefault="00BF5974" w:rsidP="00544F94">
            <w:pPr>
              <w:spacing w:line="256" w:lineRule="auto"/>
              <w:rPr>
                <w:rFonts w:cs="Arial"/>
                <w:sz w:val="16"/>
                <w:szCs w:val="18"/>
                <w:lang w:val="es-ES" w:eastAsia="en-US"/>
              </w:rPr>
            </w:pPr>
            <w:r>
              <w:rPr>
                <w:rFonts w:cs="Arial"/>
                <w:b/>
                <w:sz w:val="16"/>
                <w:szCs w:val="18"/>
                <w:lang w:val="es-ES" w:eastAsia="en-US"/>
              </w:rPr>
              <w:t>Notas</w:t>
            </w:r>
            <w:r>
              <w:rPr>
                <w:rFonts w:cs="Arial"/>
                <w:sz w:val="16"/>
                <w:szCs w:val="18"/>
                <w:lang w:val="es-ES" w:eastAsia="en-US"/>
              </w:rPr>
              <w:t>:</w:t>
            </w:r>
          </w:p>
          <w:p w14:paraId="740FE90D" w14:textId="77777777" w:rsidR="00BF5974" w:rsidRDefault="00BF5974" w:rsidP="00544F94">
            <w:pPr>
              <w:spacing w:line="256" w:lineRule="auto"/>
              <w:rPr>
                <w:rFonts w:cs="Arial"/>
                <w:sz w:val="16"/>
                <w:szCs w:val="18"/>
                <w:lang w:val="es-ES" w:eastAsia="en-US"/>
              </w:rPr>
            </w:pPr>
            <w:r>
              <w:rPr>
                <w:rFonts w:cs="Arial"/>
                <w:sz w:val="16"/>
                <w:szCs w:val="18"/>
                <w:lang w:val="es-ES" w:eastAsia="en-US"/>
              </w:rPr>
              <w:t>* Saldo patrimonial al 31 de diciembre de 2023</w:t>
            </w:r>
          </w:p>
          <w:p w14:paraId="5F0852F9" w14:textId="77777777" w:rsidR="00BF5974" w:rsidRDefault="00BF5974" w:rsidP="00544F94">
            <w:pPr>
              <w:spacing w:line="256" w:lineRule="auto"/>
              <w:rPr>
                <w:rFonts w:cs="Arial"/>
                <w:sz w:val="16"/>
                <w:szCs w:val="18"/>
                <w:lang w:val="es-ES" w:eastAsia="en-US"/>
              </w:rPr>
            </w:pPr>
            <w:r>
              <w:rPr>
                <w:rFonts w:cs="Arial"/>
                <w:sz w:val="16"/>
                <w:szCs w:val="18"/>
                <w:lang w:val="es-ES" w:eastAsia="en-US"/>
              </w:rPr>
              <w:t>** Saldos al 30 de junio de 2024</w:t>
            </w:r>
          </w:p>
          <w:p w14:paraId="216C7CF4" w14:textId="22F62A5F" w:rsidR="00F071AD" w:rsidRDefault="00F071AD" w:rsidP="00544F94">
            <w:pPr>
              <w:spacing w:line="256" w:lineRule="auto"/>
              <w:rPr>
                <w:rFonts w:cs="Arial"/>
                <w:sz w:val="16"/>
                <w:szCs w:val="18"/>
                <w:lang w:val="es-ES" w:eastAsia="en-US"/>
              </w:rPr>
            </w:pPr>
            <w:r>
              <w:rPr>
                <w:rFonts w:cs="Arial"/>
                <w:sz w:val="16"/>
                <w:szCs w:val="18"/>
                <w:lang w:val="es-ES" w:eastAsia="en-US"/>
              </w:rPr>
              <w:t>***Saldo al 30 de septiembre de 2024</w:t>
            </w:r>
          </w:p>
        </w:tc>
      </w:tr>
    </w:tbl>
    <w:p w14:paraId="7349FC1F" w14:textId="3DF3CD5D" w:rsidR="00BF5974" w:rsidRDefault="00544F94" w:rsidP="00BF5974">
      <w:pPr>
        <w:keepNext/>
        <w:keepLines/>
        <w:outlineLvl w:val="2"/>
        <w:rPr>
          <w:rFonts w:eastAsia="Times New Roman" w:cs="Arial"/>
          <w:b/>
          <w:szCs w:val="24"/>
          <w:lang w:eastAsia="en-US"/>
        </w:rPr>
      </w:pPr>
      <w:r>
        <w:rPr>
          <w:rFonts w:eastAsia="Times New Roman" w:cs="Arial"/>
          <w:b/>
          <w:szCs w:val="24"/>
          <w:lang w:eastAsia="en-US"/>
        </w:rPr>
        <w:br w:type="textWrapping" w:clear="all"/>
      </w:r>
    </w:p>
    <w:p w14:paraId="785A258C" w14:textId="77777777" w:rsidR="00BF5974" w:rsidRDefault="00BF5974" w:rsidP="00BF5974">
      <w:pPr>
        <w:jc w:val="center"/>
        <w:rPr>
          <w:rFonts w:eastAsia="Times New Roman" w:cs="Arial"/>
          <w:b/>
          <w:lang w:val="es-ES"/>
        </w:rPr>
      </w:pPr>
      <w:bookmarkStart w:id="132" w:name="_Toc526757473"/>
      <w:bookmarkStart w:id="133" w:name="_Toc22021915"/>
      <w:bookmarkStart w:id="134" w:name="_Toc22983179"/>
      <w:r>
        <w:rPr>
          <w:rFonts w:eastAsia="Times New Roman" w:cs="Arial"/>
          <w:b/>
          <w:lang w:val="es-ES"/>
        </w:rPr>
        <w:t>CAPÍTULO V</w:t>
      </w:r>
      <w:bookmarkEnd w:id="132"/>
      <w:r>
        <w:rPr>
          <w:rFonts w:eastAsia="Times New Roman" w:cs="Arial"/>
          <w:b/>
          <w:lang w:val="es-ES"/>
        </w:rPr>
        <w:t>I</w:t>
      </w:r>
      <w:bookmarkEnd w:id="133"/>
      <w:bookmarkEnd w:id="134"/>
      <w:r>
        <w:rPr>
          <w:rFonts w:eastAsia="Times New Roman" w:cs="Arial"/>
          <w:b/>
          <w:lang w:val="es-ES"/>
        </w:rPr>
        <w:t>II</w:t>
      </w:r>
    </w:p>
    <w:p w14:paraId="355F6877" w14:textId="77777777" w:rsidR="00BF5974" w:rsidRDefault="00BF5974" w:rsidP="00BF5974">
      <w:pPr>
        <w:keepNext/>
        <w:keepLines/>
        <w:jc w:val="center"/>
        <w:outlineLvl w:val="0"/>
        <w:rPr>
          <w:rFonts w:eastAsia="Times New Roman" w:cs="Arial"/>
          <w:b/>
          <w:szCs w:val="32"/>
          <w:lang w:val="es-ES"/>
        </w:rPr>
      </w:pPr>
      <w:bookmarkStart w:id="135" w:name="_Toc526757474"/>
      <w:bookmarkStart w:id="136" w:name="_Toc22021916"/>
      <w:bookmarkStart w:id="137" w:name="_Toc22983180"/>
      <w:r>
        <w:rPr>
          <w:rFonts w:eastAsia="Times New Roman" w:cs="Arial"/>
          <w:b/>
          <w:szCs w:val="32"/>
          <w:lang w:val="es-ES"/>
        </w:rPr>
        <w:t xml:space="preserve">DE LAS ASOCIACIONES PÚBLICO-PRIVADAS E </w:t>
      </w:r>
      <w:r>
        <w:rPr>
          <w:rFonts w:eastAsia="Times New Roman" w:cs="Arial"/>
          <w:b/>
          <w:szCs w:val="32"/>
          <w:lang w:val="es-ES"/>
        </w:rPr>
        <w:br/>
        <w:t>INVERSIÓN PÚBLICA PLURIANUAL</w:t>
      </w:r>
      <w:bookmarkEnd w:id="135"/>
      <w:bookmarkEnd w:id="136"/>
      <w:bookmarkEnd w:id="137"/>
    </w:p>
    <w:p w14:paraId="283779C5" w14:textId="77777777" w:rsidR="00BF5974" w:rsidRDefault="00BF5974" w:rsidP="00BF5974">
      <w:pPr>
        <w:rPr>
          <w:rFonts w:cs="Arial"/>
          <w:b/>
          <w:lang w:val="es-ES"/>
        </w:rPr>
      </w:pPr>
    </w:p>
    <w:p w14:paraId="73473A8D" w14:textId="77777777" w:rsidR="00BF5974" w:rsidRDefault="00BF5974" w:rsidP="00BF5974">
      <w:pPr>
        <w:rPr>
          <w:rFonts w:cs="Arial"/>
          <w:b/>
          <w:u w:val="single"/>
          <w:lang w:val="es-ES"/>
        </w:rPr>
      </w:pPr>
      <w:r>
        <w:rPr>
          <w:rFonts w:cs="Arial"/>
          <w:b/>
          <w:lang w:val="es-ES"/>
        </w:rPr>
        <w:t>Artículo 31</w:t>
      </w:r>
      <w:r>
        <w:rPr>
          <w:rFonts w:cs="Arial"/>
          <w:lang w:val="es-ES"/>
        </w:rPr>
        <w:t>. Los proyectos de Asociación Público-Privada son aquellos que se realicen con cualquier esquema para establecer una relación contractual de largo plazo, entre instancias del sector público y del sector privado, para la prestación de servicios al sector público, mayoristas, intermediarios o al usuario final y en los que se utilice infraestructura proporcionada total o parcialmente por el sector privado con objetivos que aumenten el bienestar social y los niveles de inversión en el Estado y sus municipios.</w:t>
      </w:r>
    </w:p>
    <w:p w14:paraId="0E9E3813" w14:textId="77777777" w:rsidR="00BF5974" w:rsidRDefault="00BF5974" w:rsidP="00BF5974">
      <w:pPr>
        <w:rPr>
          <w:rFonts w:cs="Arial"/>
          <w:lang w:val="es-ES"/>
        </w:rPr>
      </w:pPr>
    </w:p>
    <w:p w14:paraId="66D9E653" w14:textId="60606DF0" w:rsidR="00BF5974" w:rsidRDefault="00BF5974" w:rsidP="00BF5974">
      <w:pPr>
        <w:rPr>
          <w:rFonts w:cs="Arial"/>
          <w:lang w:val="es-ES"/>
        </w:rPr>
      </w:pPr>
      <w:r>
        <w:rPr>
          <w:rFonts w:cs="Arial"/>
          <w:lang w:val="es-ES"/>
        </w:rPr>
        <w:t>Los proyectos de Asociación Público-Privada deberán estar plenamente justificados, especificar el beneficio social que se busca obtener y demostrar su ventaja financiera frente a otras formas de financiamiento y ser congruentes con los objetivos del Plan Estatal</w:t>
      </w:r>
      <w:r w:rsidR="0087024D">
        <w:rPr>
          <w:rFonts w:cs="Arial"/>
          <w:lang w:val="es-ES"/>
        </w:rPr>
        <w:t xml:space="preserve"> de Desarrollo</w:t>
      </w:r>
      <w:r>
        <w:rPr>
          <w:rFonts w:cs="Arial"/>
          <w:lang w:val="es-ES"/>
        </w:rPr>
        <w:t>.</w:t>
      </w:r>
    </w:p>
    <w:p w14:paraId="5065EB8C" w14:textId="77777777" w:rsidR="00BF5974" w:rsidRDefault="00BF5974" w:rsidP="00BF5974">
      <w:pPr>
        <w:rPr>
          <w:rFonts w:cs="Arial"/>
          <w:lang w:val="es-ES"/>
        </w:rPr>
      </w:pPr>
    </w:p>
    <w:p w14:paraId="710A3B30" w14:textId="77777777" w:rsidR="00BF5974" w:rsidRDefault="00BF5974" w:rsidP="00BF5974">
      <w:pPr>
        <w:rPr>
          <w:rFonts w:cs="Arial"/>
          <w:lang w:val="es-ES"/>
        </w:rPr>
      </w:pPr>
      <w:r>
        <w:rPr>
          <w:rFonts w:cs="Arial"/>
          <w:lang w:val="es-ES"/>
        </w:rPr>
        <w:t>El gasto público contemplado para los proyectos de Asociación Público-Privada se ajustará a las disposiciones de la Constitución Política del Estado Libre y Soberano de Colima, de la Ley de Disciplina Financiera, de la Ley de Presupuesto, Ley de Asociaciones Público Privadas del Estado de Colima y las demás que resulten aplicables.</w:t>
      </w:r>
    </w:p>
    <w:p w14:paraId="308D9EC5" w14:textId="77777777" w:rsidR="00BF5974" w:rsidRDefault="00BF5974" w:rsidP="00BF5974">
      <w:pPr>
        <w:rPr>
          <w:rFonts w:cs="Arial"/>
          <w:lang w:val="es-ES"/>
        </w:rPr>
      </w:pPr>
    </w:p>
    <w:p w14:paraId="4410A8A2" w14:textId="77777777" w:rsidR="00BF5974" w:rsidRDefault="00BF5974" w:rsidP="00BF5974">
      <w:pPr>
        <w:rPr>
          <w:rFonts w:cs="Arial"/>
          <w:lang w:val="es-ES"/>
        </w:rPr>
      </w:pPr>
      <w:r>
        <w:rPr>
          <w:rFonts w:cs="Arial"/>
          <w:lang w:val="es-ES"/>
        </w:rPr>
        <w:t xml:space="preserve">Los compromisos presupuestarios futuros que en su caso llegaren a originar los proyectos de Asociación Público-Privada que se prevea iniciar, acumulados o aquellos de los proyectos que ya hubieran iniciado algún procedimiento de contratación o que ya estuvieran operando, serán acordes con las posibilidades agregadas de gasto y de financiamiento del sector público estatal. </w:t>
      </w:r>
    </w:p>
    <w:p w14:paraId="4E222A1D" w14:textId="77777777" w:rsidR="00BF5974" w:rsidRDefault="00BF5974" w:rsidP="00BF5974">
      <w:pPr>
        <w:rPr>
          <w:rFonts w:cs="Arial"/>
          <w:lang w:val="es-ES"/>
        </w:rPr>
      </w:pPr>
    </w:p>
    <w:p w14:paraId="0FB67D85" w14:textId="040A7F90" w:rsidR="00BF5974" w:rsidRPr="00D86DC0" w:rsidRDefault="00BF5974" w:rsidP="00BF5974">
      <w:pPr>
        <w:rPr>
          <w:rFonts w:cs="Arial"/>
          <w:lang w:val="es-ES"/>
        </w:rPr>
      </w:pPr>
      <w:r w:rsidRPr="00D86DC0">
        <w:rPr>
          <w:rFonts w:cs="Arial"/>
          <w:lang w:val="es-ES"/>
        </w:rPr>
        <w:t>Para el Ejercicio Fiscal 2025, no hay asignación presupuestal</w:t>
      </w:r>
      <w:r w:rsidR="007410EC">
        <w:rPr>
          <w:rFonts w:cs="Arial"/>
          <w:lang w:val="es-ES"/>
        </w:rPr>
        <w:t xml:space="preserve"> que implique un costo financiero </w:t>
      </w:r>
      <w:r w:rsidRPr="00D86DC0">
        <w:rPr>
          <w:rFonts w:cs="Arial"/>
          <w:lang w:val="es-ES"/>
        </w:rPr>
        <w:t>para el financiamiento de proyectos de Asociación Público-Privada, suscritos entre instancias del Sector Público de Gobierno del Estado con el Sector Privado.</w:t>
      </w:r>
    </w:p>
    <w:p w14:paraId="66FA08C4" w14:textId="77777777" w:rsidR="00BF5974" w:rsidRPr="00D86DC0" w:rsidRDefault="00BF5974" w:rsidP="00BF5974">
      <w:pPr>
        <w:rPr>
          <w:rFonts w:cs="Arial"/>
          <w:lang w:val="es-ES"/>
        </w:rPr>
      </w:pPr>
    </w:p>
    <w:p w14:paraId="212F42E9" w14:textId="68D57BE5" w:rsidR="00BF5974" w:rsidRPr="00EA3A9A" w:rsidRDefault="00BF5974" w:rsidP="00BF5974">
      <w:pPr>
        <w:rPr>
          <w:rFonts w:cs="Arial"/>
          <w:lang w:val="es-ES"/>
        </w:rPr>
      </w:pPr>
      <w:r w:rsidRPr="00EA3A9A">
        <w:rPr>
          <w:rFonts w:cs="Arial"/>
          <w:b/>
          <w:lang w:val="es-ES"/>
        </w:rPr>
        <w:lastRenderedPageBreak/>
        <w:t>Artículo 32</w:t>
      </w:r>
      <w:r w:rsidRPr="00EA3A9A">
        <w:rPr>
          <w:rFonts w:cs="Arial"/>
          <w:lang w:val="es-ES"/>
        </w:rPr>
        <w:t>. Para el Ejercicio Fiscal 2025, no hay asignación presupuestal para obligaciones contractuales de inversión pública plurianual, de inversión en obra pública, adquisiciones, arrendamientos y servicios.</w:t>
      </w:r>
    </w:p>
    <w:p w14:paraId="44FC95B4" w14:textId="77777777" w:rsidR="00BF5974" w:rsidRDefault="00BF5974" w:rsidP="00BF5974">
      <w:pPr>
        <w:rPr>
          <w:rFonts w:eastAsia="Times New Roman" w:cs="Arial"/>
          <w:lang w:val="es-ES"/>
        </w:rPr>
      </w:pPr>
    </w:p>
    <w:p w14:paraId="41C29417" w14:textId="11158F55" w:rsidR="00BF5974" w:rsidRDefault="00BF5974" w:rsidP="00BF5974">
      <w:pPr>
        <w:rPr>
          <w:rFonts w:cs="Arial"/>
          <w:bCs/>
          <w:lang w:val="es-ES"/>
        </w:rPr>
      </w:pPr>
      <w:r>
        <w:rPr>
          <w:rFonts w:cs="Arial"/>
          <w:b/>
          <w:lang w:val="es-ES"/>
        </w:rPr>
        <w:t>Artículo 33</w:t>
      </w:r>
      <w:r>
        <w:rPr>
          <w:rFonts w:cs="Arial"/>
          <w:lang w:val="es-ES"/>
        </w:rPr>
        <w:t xml:space="preserve">. La asignación presupuestaria para </w:t>
      </w:r>
      <w:r w:rsidR="00DB7B4A">
        <w:rPr>
          <w:rFonts w:cs="Arial"/>
          <w:lang w:val="es-ES"/>
        </w:rPr>
        <w:t>Inversión</w:t>
      </w:r>
      <w:r>
        <w:rPr>
          <w:rFonts w:cs="Arial"/>
          <w:lang w:val="es-ES"/>
        </w:rPr>
        <w:t xml:space="preserve"> Pública del Ejercicio Fiscal 2025 </w:t>
      </w:r>
      <w:r w:rsidR="00286EC1">
        <w:rPr>
          <w:rFonts w:cs="Arial"/>
          <w:lang w:val="es-ES"/>
        </w:rPr>
        <w:t xml:space="preserve">ascienden a </w:t>
      </w:r>
      <w:r w:rsidR="00286EC1" w:rsidRPr="00286EC1">
        <w:rPr>
          <w:rFonts w:cs="Arial"/>
          <w:b/>
          <w:bCs/>
          <w:lang w:val="es-ES"/>
        </w:rPr>
        <w:t>401,328,829</w:t>
      </w:r>
      <w:r w:rsidR="00286EC1" w:rsidRPr="00286EC1">
        <w:rPr>
          <w:rFonts w:cs="Arial"/>
          <w:lang w:val="es-ES"/>
        </w:rPr>
        <w:t xml:space="preserve"> </w:t>
      </w:r>
      <w:r w:rsidR="00286EC1">
        <w:rPr>
          <w:rFonts w:cs="Arial"/>
          <w:lang w:val="es-ES"/>
        </w:rPr>
        <w:t xml:space="preserve">pesos y </w:t>
      </w:r>
      <w:r w:rsidR="00D86DC0">
        <w:rPr>
          <w:rFonts w:cs="Arial"/>
          <w:lang w:val="es-ES"/>
        </w:rPr>
        <w:t>se integra</w:t>
      </w:r>
      <w:r w:rsidR="00286EC1">
        <w:rPr>
          <w:rFonts w:cs="Arial"/>
          <w:lang w:val="es-ES"/>
        </w:rPr>
        <w:t>n</w:t>
      </w:r>
      <w:r w:rsidR="00D86DC0">
        <w:rPr>
          <w:rFonts w:cs="Arial"/>
          <w:lang w:val="es-ES"/>
        </w:rPr>
        <w:t xml:space="preserve"> de la siguiente manera:</w:t>
      </w:r>
    </w:p>
    <w:p w14:paraId="3D9D575E" w14:textId="20FA46DB" w:rsidR="00D86DC0" w:rsidRDefault="00D86DC0" w:rsidP="00BF5974">
      <w:pPr>
        <w:rPr>
          <w:rFonts w:cs="Arial"/>
          <w:lang w:val="es-ES"/>
        </w:rPr>
      </w:pPr>
    </w:p>
    <w:p w14:paraId="305AB257" w14:textId="516F72F3" w:rsidR="00544F94" w:rsidRDefault="00544F94" w:rsidP="00544F94">
      <w:pPr>
        <w:pStyle w:val="Ttulo3"/>
        <w:jc w:val="center"/>
        <w:rPr>
          <w:sz w:val="20"/>
          <w:szCs w:val="22"/>
        </w:rPr>
      </w:pPr>
      <w:r w:rsidRPr="00544F94">
        <w:rPr>
          <w:sz w:val="20"/>
          <w:szCs w:val="22"/>
        </w:rPr>
        <w:t>Tabla 25</w:t>
      </w:r>
      <w:r w:rsidR="00DB7B4A">
        <w:rPr>
          <w:sz w:val="20"/>
          <w:szCs w:val="22"/>
        </w:rPr>
        <w:t>a</w:t>
      </w:r>
      <w:r w:rsidRPr="00544F94">
        <w:rPr>
          <w:sz w:val="20"/>
          <w:szCs w:val="22"/>
        </w:rPr>
        <w:t xml:space="preserve">. </w:t>
      </w:r>
      <w:r w:rsidR="00DB7B4A">
        <w:rPr>
          <w:sz w:val="20"/>
          <w:szCs w:val="22"/>
        </w:rPr>
        <w:t xml:space="preserve">Inversión Pública </w:t>
      </w:r>
    </w:p>
    <w:p w14:paraId="3B99AA26" w14:textId="15F23A7D" w:rsidR="00DB7B4A" w:rsidRPr="00DB7B4A" w:rsidRDefault="00DB7B4A" w:rsidP="00DB7B4A">
      <w:pPr>
        <w:jc w:val="center"/>
        <w:rPr>
          <w:b/>
          <w:bCs/>
          <w:sz w:val="18"/>
          <w:szCs w:val="18"/>
          <w:lang w:val="es-ES" w:eastAsia="en-US"/>
        </w:rPr>
      </w:pPr>
      <w:r w:rsidRPr="00DB7B4A">
        <w:rPr>
          <w:b/>
          <w:bCs/>
          <w:sz w:val="18"/>
          <w:szCs w:val="18"/>
          <w:lang w:val="es-ES" w:eastAsia="en-US"/>
        </w:rPr>
        <w:t>(Fuente de financiamiento)</w:t>
      </w:r>
    </w:p>
    <w:tbl>
      <w:tblPr>
        <w:tblW w:w="6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1"/>
        <w:gridCol w:w="4000"/>
        <w:gridCol w:w="1299"/>
      </w:tblGrid>
      <w:tr w:rsidR="00544F94" w:rsidRPr="00544F94" w14:paraId="3607B19D" w14:textId="77777777" w:rsidTr="00513FDE">
        <w:trPr>
          <w:trHeight w:val="227"/>
          <w:jc w:val="center"/>
        </w:trPr>
        <w:tc>
          <w:tcPr>
            <w:tcW w:w="1021" w:type="dxa"/>
            <w:shd w:val="clear" w:color="auto" w:fill="auto"/>
            <w:noWrap/>
            <w:vAlign w:val="center"/>
            <w:hideMark/>
          </w:tcPr>
          <w:p w14:paraId="294A735E" w14:textId="4B09CAE4" w:rsidR="00544F94" w:rsidRPr="00544F94" w:rsidRDefault="00544F94" w:rsidP="00513FDE">
            <w:pPr>
              <w:jc w:val="center"/>
              <w:rPr>
                <w:rFonts w:eastAsia="Times New Roman" w:cs="Arial"/>
                <w:b/>
                <w:bCs/>
                <w:color w:val="000000"/>
                <w:sz w:val="14"/>
                <w:szCs w:val="14"/>
              </w:rPr>
            </w:pPr>
            <w:r w:rsidRPr="00544F94">
              <w:rPr>
                <w:rFonts w:eastAsia="Times New Roman" w:cs="Arial"/>
                <w:b/>
                <w:bCs/>
                <w:color w:val="000000"/>
                <w:sz w:val="14"/>
                <w:szCs w:val="14"/>
              </w:rPr>
              <w:t>Capítulo</w:t>
            </w:r>
          </w:p>
        </w:tc>
        <w:tc>
          <w:tcPr>
            <w:tcW w:w="4000" w:type="dxa"/>
            <w:shd w:val="clear" w:color="auto" w:fill="auto"/>
            <w:noWrap/>
            <w:vAlign w:val="center"/>
            <w:hideMark/>
          </w:tcPr>
          <w:p w14:paraId="149FB94E" w14:textId="77777777" w:rsidR="00544F94" w:rsidRPr="00544F94" w:rsidRDefault="00544F94" w:rsidP="00513FDE">
            <w:pPr>
              <w:jc w:val="center"/>
              <w:rPr>
                <w:rFonts w:eastAsia="Times New Roman" w:cs="Arial"/>
                <w:b/>
                <w:bCs/>
                <w:color w:val="000000"/>
                <w:sz w:val="18"/>
                <w:szCs w:val="18"/>
              </w:rPr>
            </w:pPr>
            <w:r w:rsidRPr="00544F94">
              <w:rPr>
                <w:rFonts w:eastAsia="Times New Roman" w:cs="Arial"/>
                <w:b/>
                <w:bCs/>
                <w:color w:val="000000"/>
                <w:sz w:val="18"/>
                <w:szCs w:val="18"/>
              </w:rPr>
              <w:t>Descripción</w:t>
            </w:r>
          </w:p>
        </w:tc>
        <w:tc>
          <w:tcPr>
            <w:tcW w:w="1299" w:type="dxa"/>
            <w:shd w:val="clear" w:color="auto" w:fill="auto"/>
            <w:noWrap/>
            <w:vAlign w:val="center"/>
            <w:hideMark/>
          </w:tcPr>
          <w:p w14:paraId="4E949AE9" w14:textId="3D300259" w:rsidR="00544F94" w:rsidRPr="00544F94" w:rsidRDefault="00544F94" w:rsidP="00513FDE">
            <w:pPr>
              <w:jc w:val="center"/>
              <w:rPr>
                <w:rFonts w:eastAsia="Times New Roman" w:cs="Arial"/>
                <w:b/>
                <w:bCs/>
                <w:color w:val="000000"/>
                <w:sz w:val="18"/>
                <w:szCs w:val="18"/>
              </w:rPr>
            </w:pPr>
            <w:r w:rsidRPr="00544F94">
              <w:rPr>
                <w:rFonts w:cs="Arial"/>
                <w:b/>
                <w:bCs/>
                <w:sz w:val="18"/>
                <w:szCs w:val="18"/>
                <w:lang w:val="es-ES" w:eastAsia="en-US"/>
              </w:rPr>
              <w:t>Asignación Presupuestal</w:t>
            </w:r>
          </w:p>
        </w:tc>
      </w:tr>
      <w:tr w:rsidR="00544F94" w:rsidRPr="00544F94" w14:paraId="14FFD051" w14:textId="77777777" w:rsidTr="00513FDE">
        <w:trPr>
          <w:trHeight w:val="227"/>
          <w:jc w:val="center"/>
        </w:trPr>
        <w:tc>
          <w:tcPr>
            <w:tcW w:w="1021" w:type="dxa"/>
            <w:shd w:val="clear" w:color="auto" w:fill="auto"/>
            <w:noWrap/>
            <w:vAlign w:val="center"/>
          </w:tcPr>
          <w:p w14:paraId="6035AD20" w14:textId="3C4BBF10" w:rsidR="00544F94" w:rsidRPr="00544F94" w:rsidRDefault="00544F94" w:rsidP="00513FDE">
            <w:pPr>
              <w:jc w:val="center"/>
              <w:rPr>
                <w:rFonts w:eastAsia="Times New Roman" w:cs="Arial"/>
                <w:b/>
                <w:bCs/>
                <w:color w:val="000000"/>
                <w:sz w:val="18"/>
                <w:szCs w:val="18"/>
              </w:rPr>
            </w:pPr>
            <w:r w:rsidRPr="00DB7B4A">
              <w:rPr>
                <w:rFonts w:eastAsia="Times New Roman" w:cs="Arial"/>
                <w:b/>
                <w:bCs/>
                <w:color w:val="000000"/>
                <w:sz w:val="18"/>
                <w:szCs w:val="18"/>
              </w:rPr>
              <w:t>060000</w:t>
            </w:r>
          </w:p>
        </w:tc>
        <w:tc>
          <w:tcPr>
            <w:tcW w:w="4000" w:type="dxa"/>
            <w:shd w:val="clear" w:color="auto" w:fill="auto"/>
            <w:noWrap/>
            <w:vAlign w:val="center"/>
            <w:hideMark/>
          </w:tcPr>
          <w:p w14:paraId="55B57EF2" w14:textId="48A3A6D1" w:rsidR="00544F94" w:rsidRPr="00544F94" w:rsidRDefault="00544F94" w:rsidP="00513FDE">
            <w:pPr>
              <w:jc w:val="left"/>
              <w:rPr>
                <w:rFonts w:eastAsia="Times New Roman" w:cs="Arial"/>
                <w:b/>
                <w:bCs/>
                <w:color w:val="000000"/>
                <w:sz w:val="18"/>
                <w:szCs w:val="18"/>
              </w:rPr>
            </w:pPr>
            <w:r w:rsidRPr="00544F94">
              <w:rPr>
                <w:rFonts w:eastAsia="Times New Roman" w:cs="Arial"/>
                <w:b/>
                <w:bCs/>
                <w:color w:val="000000"/>
                <w:sz w:val="18"/>
                <w:szCs w:val="18"/>
              </w:rPr>
              <w:t>Inversión Pública</w:t>
            </w:r>
          </w:p>
        </w:tc>
        <w:tc>
          <w:tcPr>
            <w:tcW w:w="1299" w:type="dxa"/>
            <w:shd w:val="clear" w:color="auto" w:fill="auto"/>
            <w:noWrap/>
            <w:vAlign w:val="center"/>
            <w:hideMark/>
          </w:tcPr>
          <w:p w14:paraId="2ED3F8E2" w14:textId="76409865" w:rsidR="00544F94" w:rsidRPr="00544F94" w:rsidRDefault="00544F94" w:rsidP="00513FDE">
            <w:pPr>
              <w:jc w:val="right"/>
              <w:rPr>
                <w:rFonts w:eastAsia="Times New Roman" w:cs="Arial"/>
                <w:b/>
                <w:bCs/>
                <w:color w:val="000000"/>
                <w:sz w:val="18"/>
                <w:szCs w:val="18"/>
              </w:rPr>
            </w:pPr>
            <w:r w:rsidRPr="00544F94">
              <w:rPr>
                <w:rFonts w:eastAsia="Times New Roman" w:cs="Arial"/>
                <w:b/>
                <w:bCs/>
                <w:color w:val="000000"/>
                <w:sz w:val="18"/>
                <w:szCs w:val="18"/>
              </w:rPr>
              <w:t xml:space="preserve">401,328,829 </w:t>
            </w:r>
          </w:p>
        </w:tc>
      </w:tr>
      <w:tr w:rsidR="00544F94" w:rsidRPr="00DB7B4A" w14:paraId="0D5EE78E" w14:textId="77777777" w:rsidTr="00513FDE">
        <w:trPr>
          <w:trHeight w:val="227"/>
          <w:jc w:val="center"/>
        </w:trPr>
        <w:tc>
          <w:tcPr>
            <w:tcW w:w="1021" w:type="dxa"/>
            <w:shd w:val="clear" w:color="auto" w:fill="auto"/>
            <w:noWrap/>
            <w:vAlign w:val="center"/>
          </w:tcPr>
          <w:p w14:paraId="34E78194" w14:textId="71E7F26D" w:rsidR="00544F94" w:rsidRPr="00544F94" w:rsidRDefault="00544F94" w:rsidP="00513FDE">
            <w:pPr>
              <w:jc w:val="center"/>
              <w:rPr>
                <w:rFonts w:eastAsia="Times New Roman" w:cs="Arial"/>
                <w:b/>
                <w:bCs/>
                <w:color w:val="000000"/>
                <w:sz w:val="16"/>
                <w:szCs w:val="16"/>
              </w:rPr>
            </w:pPr>
            <w:r w:rsidRPr="00DB7B4A">
              <w:rPr>
                <w:rFonts w:eastAsia="Times New Roman" w:cs="Arial"/>
                <w:b/>
                <w:bCs/>
                <w:color w:val="000000"/>
                <w:sz w:val="16"/>
                <w:szCs w:val="16"/>
              </w:rPr>
              <w:t>010000000</w:t>
            </w:r>
          </w:p>
        </w:tc>
        <w:tc>
          <w:tcPr>
            <w:tcW w:w="4000" w:type="dxa"/>
            <w:shd w:val="clear" w:color="auto" w:fill="auto"/>
            <w:noWrap/>
            <w:vAlign w:val="center"/>
            <w:hideMark/>
          </w:tcPr>
          <w:p w14:paraId="619B3E4C" w14:textId="33FDA8E4" w:rsidR="00544F94" w:rsidRPr="00544F94" w:rsidRDefault="00DB7B4A" w:rsidP="00513FDE">
            <w:pPr>
              <w:jc w:val="left"/>
              <w:rPr>
                <w:rFonts w:eastAsia="Times New Roman" w:cs="Arial"/>
                <w:b/>
                <w:bCs/>
                <w:color w:val="000000"/>
                <w:sz w:val="16"/>
                <w:szCs w:val="16"/>
              </w:rPr>
            </w:pPr>
            <w:r>
              <w:rPr>
                <w:rFonts w:eastAsia="Times New Roman" w:cs="Arial"/>
                <w:b/>
                <w:bCs/>
                <w:color w:val="000000"/>
                <w:sz w:val="16"/>
                <w:szCs w:val="16"/>
              </w:rPr>
              <w:t xml:space="preserve">  </w:t>
            </w:r>
            <w:r w:rsidR="00544F94" w:rsidRPr="00DB7B4A">
              <w:rPr>
                <w:rFonts w:eastAsia="Times New Roman" w:cs="Arial"/>
                <w:b/>
                <w:bCs/>
                <w:color w:val="000000"/>
                <w:sz w:val="16"/>
                <w:szCs w:val="16"/>
              </w:rPr>
              <w:t>No Etiquetado</w:t>
            </w:r>
          </w:p>
        </w:tc>
        <w:tc>
          <w:tcPr>
            <w:tcW w:w="1299" w:type="dxa"/>
            <w:shd w:val="clear" w:color="auto" w:fill="auto"/>
            <w:noWrap/>
            <w:vAlign w:val="center"/>
            <w:hideMark/>
          </w:tcPr>
          <w:p w14:paraId="1BB1C1A7" w14:textId="272350DB" w:rsidR="00544F94" w:rsidRPr="00544F94" w:rsidRDefault="00544F94" w:rsidP="00513FDE">
            <w:pPr>
              <w:jc w:val="right"/>
              <w:rPr>
                <w:rFonts w:eastAsia="Times New Roman" w:cs="Arial"/>
                <w:b/>
                <w:bCs/>
                <w:color w:val="000000"/>
                <w:sz w:val="16"/>
                <w:szCs w:val="16"/>
              </w:rPr>
            </w:pPr>
            <w:r w:rsidRPr="00544F94">
              <w:rPr>
                <w:rFonts w:eastAsia="Times New Roman" w:cs="Arial"/>
                <w:b/>
                <w:bCs/>
                <w:color w:val="000000"/>
                <w:sz w:val="16"/>
                <w:szCs w:val="16"/>
              </w:rPr>
              <w:t xml:space="preserve">342,875,390 </w:t>
            </w:r>
          </w:p>
        </w:tc>
      </w:tr>
      <w:tr w:rsidR="00544F94" w:rsidRPr="00DB7B4A" w14:paraId="0423E694" w14:textId="77777777" w:rsidTr="00513FDE">
        <w:trPr>
          <w:trHeight w:val="227"/>
          <w:jc w:val="center"/>
        </w:trPr>
        <w:tc>
          <w:tcPr>
            <w:tcW w:w="1021" w:type="dxa"/>
            <w:shd w:val="clear" w:color="auto" w:fill="auto"/>
            <w:noWrap/>
            <w:vAlign w:val="center"/>
          </w:tcPr>
          <w:p w14:paraId="0CE5FBCB" w14:textId="2D664AEA" w:rsidR="00544F94" w:rsidRPr="00544F94" w:rsidRDefault="00544F94" w:rsidP="00513FDE">
            <w:pPr>
              <w:jc w:val="center"/>
              <w:rPr>
                <w:rFonts w:eastAsia="Times New Roman" w:cs="Arial"/>
                <w:color w:val="000000"/>
                <w:sz w:val="16"/>
                <w:szCs w:val="16"/>
              </w:rPr>
            </w:pPr>
            <w:r w:rsidRPr="00DB7B4A">
              <w:rPr>
                <w:rFonts w:eastAsia="Times New Roman" w:cs="Arial"/>
                <w:color w:val="000000"/>
                <w:sz w:val="16"/>
                <w:szCs w:val="16"/>
              </w:rPr>
              <w:t>010100000</w:t>
            </w:r>
          </w:p>
        </w:tc>
        <w:tc>
          <w:tcPr>
            <w:tcW w:w="4000" w:type="dxa"/>
            <w:shd w:val="clear" w:color="auto" w:fill="auto"/>
            <w:noWrap/>
            <w:vAlign w:val="center"/>
            <w:hideMark/>
          </w:tcPr>
          <w:p w14:paraId="4E0A14CA" w14:textId="1CF67C3F" w:rsidR="00544F94" w:rsidRPr="00544F94" w:rsidRDefault="00DB7B4A" w:rsidP="00513FDE">
            <w:pPr>
              <w:tabs>
                <w:tab w:val="left" w:pos="252"/>
              </w:tabs>
              <w:jc w:val="left"/>
              <w:rPr>
                <w:rFonts w:eastAsia="Times New Roman" w:cs="Arial"/>
                <w:color w:val="000000"/>
                <w:sz w:val="16"/>
                <w:szCs w:val="16"/>
              </w:rPr>
            </w:pPr>
            <w:r w:rsidRPr="00DB7B4A">
              <w:rPr>
                <w:rFonts w:eastAsia="Times New Roman" w:cs="Arial"/>
                <w:color w:val="000000"/>
                <w:sz w:val="16"/>
                <w:szCs w:val="16"/>
              </w:rPr>
              <w:tab/>
            </w:r>
            <w:r w:rsidR="00544F94" w:rsidRPr="00DB7B4A">
              <w:rPr>
                <w:rFonts w:eastAsia="Times New Roman" w:cs="Arial"/>
                <w:color w:val="000000"/>
                <w:sz w:val="16"/>
                <w:szCs w:val="16"/>
              </w:rPr>
              <w:t>Recursos Fiscales</w:t>
            </w:r>
          </w:p>
        </w:tc>
        <w:tc>
          <w:tcPr>
            <w:tcW w:w="1299" w:type="dxa"/>
            <w:shd w:val="clear" w:color="auto" w:fill="auto"/>
            <w:noWrap/>
            <w:vAlign w:val="center"/>
            <w:hideMark/>
          </w:tcPr>
          <w:p w14:paraId="73CC6AA3" w14:textId="10E1A645" w:rsidR="00544F94" w:rsidRPr="00544F94" w:rsidRDefault="00544F94" w:rsidP="00513FDE">
            <w:pPr>
              <w:jc w:val="right"/>
              <w:rPr>
                <w:rFonts w:eastAsia="Times New Roman" w:cs="Arial"/>
                <w:color w:val="000000"/>
                <w:sz w:val="16"/>
                <w:szCs w:val="16"/>
              </w:rPr>
            </w:pPr>
            <w:r w:rsidRPr="00544F94">
              <w:rPr>
                <w:rFonts w:eastAsia="Times New Roman" w:cs="Arial"/>
                <w:color w:val="000000"/>
                <w:sz w:val="16"/>
                <w:szCs w:val="16"/>
              </w:rPr>
              <w:t xml:space="preserve">20,000,000 </w:t>
            </w:r>
          </w:p>
        </w:tc>
      </w:tr>
      <w:tr w:rsidR="00544F94" w:rsidRPr="00DB7B4A" w14:paraId="7B00D696" w14:textId="77777777" w:rsidTr="00513FDE">
        <w:trPr>
          <w:trHeight w:val="227"/>
          <w:jc w:val="center"/>
        </w:trPr>
        <w:tc>
          <w:tcPr>
            <w:tcW w:w="1021" w:type="dxa"/>
            <w:shd w:val="clear" w:color="auto" w:fill="auto"/>
            <w:noWrap/>
            <w:vAlign w:val="center"/>
          </w:tcPr>
          <w:p w14:paraId="70517CE0" w14:textId="76242AF2" w:rsidR="00544F94" w:rsidRPr="00544F94" w:rsidRDefault="00544F94" w:rsidP="00513FDE">
            <w:pPr>
              <w:jc w:val="center"/>
              <w:rPr>
                <w:rFonts w:eastAsia="Times New Roman" w:cs="Arial"/>
                <w:color w:val="000000"/>
                <w:sz w:val="16"/>
                <w:szCs w:val="16"/>
              </w:rPr>
            </w:pPr>
            <w:r w:rsidRPr="00DB7B4A">
              <w:rPr>
                <w:rFonts w:eastAsia="Times New Roman" w:cs="Arial"/>
                <w:color w:val="000000"/>
                <w:sz w:val="16"/>
                <w:szCs w:val="16"/>
              </w:rPr>
              <w:t>010700000</w:t>
            </w:r>
          </w:p>
        </w:tc>
        <w:tc>
          <w:tcPr>
            <w:tcW w:w="4000" w:type="dxa"/>
            <w:shd w:val="clear" w:color="auto" w:fill="auto"/>
            <w:noWrap/>
            <w:vAlign w:val="center"/>
            <w:hideMark/>
          </w:tcPr>
          <w:p w14:paraId="1707DCB8" w14:textId="20F43CC8" w:rsidR="00544F94" w:rsidRPr="00544F94" w:rsidRDefault="00DB7B4A" w:rsidP="00513FDE">
            <w:pPr>
              <w:tabs>
                <w:tab w:val="left" w:pos="252"/>
              </w:tabs>
              <w:jc w:val="left"/>
              <w:rPr>
                <w:rFonts w:eastAsia="Times New Roman" w:cs="Arial"/>
                <w:color w:val="000000"/>
                <w:sz w:val="16"/>
                <w:szCs w:val="16"/>
              </w:rPr>
            </w:pPr>
            <w:r w:rsidRPr="00DB7B4A">
              <w:rPr>
                <w:rFonts w:eastAsia="Times New Roman" w:cs="Arial"/>
                <w:color w:val="000000"/>
                <w:sz w:val="16"/>
                <w:szCs w:val="16"/>
              </w:rPr>
              <w:tab/>
            </w:r>
            <w:r w:rsidR="00544F94" w:rsidRPr="00DB7B4A">
              <w:rPr>
                <w:rFonts w:eastAsia="Times New Roman" w:cs="Arial"/>
                <w:color w:val="000000"/>
                <w:sz w:val="16"/>
                <w:szCs w:val="16"/>
              </w:rPr>
              <w:t>Otros Recursos de Libre Disposición</w:t>
            </w:r>
          </w:p>
        </w:tc>
        <w:tc>
          <w:tcPr>
            <w:tcW w:w="1299" w:type="dxa"/>
            <w:shd w:val="clear" w:color="auto" w:fill="auto"/>
            <w:noWrap/>
            <w:vAlign w:val="center"/>
            <w:hideMark/>
          </w:tcPr>
          <w:p w14:paraId="23AB3AF0" w14:textId="3BB46E32" w:rsidR="00544F94" w:rsidRPr="00544F94" w:rsidRDefault="00544F94" w:rsidP="00513FDE">
            <w:pPr>
              <w:jc w:val="right"/>
              <w:rPr>
                <w:rFonts w:eastAsia="Times New Roman" w:cs="Arial"/>
                <w:color w:val="000000"/>
                <w:sz w:val="16"/>
                <w:szCs w:val="16"/>
              </w:rPr>
            </w:pPr>
            <w:r w:rsidRPr="00544F94">
              <w:rPr>
                <w:rFonts w:eastAsia="Times New Roman" w:cs="Arial"/>
                <w:color w:val="000000"/>
                <w:sz w:val="16"/>
                <w:szCs w:val="16"/>
              </w:rPr>
              <w:t xml:space="preserve">322,875,390 </w:t>
            </w:r>
          </w:p>
        </w:tc>
      </w:tr>
      <w:tr w:rsidR="00544F94" w:rsidRPr="00DB7B4A" w14:paraId="1E8D4A4B" w14:textId="77777777" w:rsidTr="00513FDE">
        <w:trPr>
          <w:trHeight w:val="227"/>
          <w:jc w:val="center"/>
        </w:trPr>
        <w:tc>
          <w:tcPr>
            <w:tcW w:w="1021" w:type="dxa"/>
            <w:shd w:val="clear" w:color="auto" w:fill="auto"/>
            <w:noWrap/>
            <w:vAlign w:val="center"/>
          </w:tcPr>
          <w:p w14:paraId="6A352AAE" w14:textId="2C947B7E" w:rsidR="00544F94" w:rsidRPr="00544F94" w:rsidRDefault="00544F94" w:rsidP="00513FDE">
            <w:pPr>
              <w:jc w:val="center"/>
              <w:rPr>
                <w:rFonts w:eastAsia="Times New Roman" w:cs="Arial"/>
                <w:b/>
                <w:bCs/>
                <w:color w:val="000000"/>
                <w:sz w:val="16"/>
                <w:szCs w:val="16"/>
              </w:rPr>
            </w:pPr>
            <w:r w:rsidRPr="00DB7B4A">
              <w:rPr>
                <w:rFonts w:eastAsia="Times New Roman" w:cs="Arial"/>
                <w:b/>
                <w:bCs/>
                <w:color w:val="000000"/>
                <w:sz w:val="16"/>
                <w:szCs w:val="16"/>
              </w:rPr>
              <w:t>020000000</w:t>
            </w:r>
          </w:p>
        </w:tc>
        <w:tc>
          <w:tcPr>
            <w:tcW w:w="4000" w:type="dxa"/>
            <w:shd w:val="clear" w:color="auto" w:fill="auto"/>
            <w:noWrap/>
            <w:vAlign w:val="center"/>
            <w:hideMark/>
          </w:tcPr>
          <w:p w14:paraId="2779D129" w14:textId="6188B5E2" w:rsidR="00544F94" w:rsidRPr="00544F94" w:rsidRDefault="00DB7B4A" w:rsidP="00513FDE">
            <w:pPr>
              <w:jc w:val="left"/>
              <w:rPr>
                <w:rFonts w:eastAsia="Times New Roman" w:cs="Arial"/>
                <w:b/>
                <w:bCs/>
                <w:color w:val="000000"/>
                <w:sz w:val="16"/>
                <w:szCs w:val="16"/>
              </w:rPr>
            </w:pPr>
            <w:r>
              <w:rPr>
                <w:rFonts w:eastAsia="Times New Roman" w:cs="Arial"/>
                <w:b/>
                <w:bCs/>
                <w:color w:val="000000"/>
                <w:sz w:val="16"/>
                <w:szCs w:val="16"/>
              </w:rPr>
              <w:t xml:space="preserve">  </w:t>
            </w:r>
            <w:r w:rsidR="00544F94" w:rsidRPr="00DB7B4A">
              <w:rPr>
                <w:rFonts w:eastAsia="Times New Roman" w:cs="Arial"/>
                <w:b/>
                <w:bCs/>
                <w:color w:val="000000"/>
                <w:sz w:val="16"/>
                <w:szCs w:val="16"/>
              </w:rPr>
              <w:t>Etiquetado</w:t>
            </w:r>
          </w:p>
        </w:tc>
        <w:tc>
          <w:tcPr>
            <w:tcW w:w="1299" w:type="dxa"/>
            <w:shd w:val="clear" w:color="auto" w:fill="auto"/>
            <w:noWrap/>
            <w:vAlign w:val="center"/>
            <w:hideMark/>
          </w:tcPr>
          <w:p w14:paraId="0759E405" w14:textId="13F458CC" w:rsidR="00544F94" w:rsidRPr="00544F94" w:rsidRDefault="00544F94" w:rsidP="00513FDE">
            <w:pPr>
              <w:jc w:val="right"/>
              <w:rPr>
                <w:rFonts w:eastAsia="Times New Roman" w:cs="Arial"/>
                <w:b/>
                <w:bCs/>
                <w:color w:val="000000"/>
                <w:sz w:val="16"/>
                <w:szCs w:val="16"/>
              </w:rPr>
            </w:pPr>
            <w:r w:rsidRPr="00544F94">
              <w:rPr>
                <w:rFonts w:eastAsia="Times New Roman" w:cs="Arial"/>
                <w:b/>
                <w:bCs/>
                <w:color w:val="000000"/>
                <w:sz w:val="16"/>
                <w:szCs w:val="16"/>
              </w:rPr>
              <w:t xml:space="preserve">58,453,439 </w:t>
            </w:r>
          </w:p>
        </w:tc>
      </w:tr>
      <w:tr w:rsidR="00544F94" w:rsidRPr="00DB7B4A" w14:paraId="7AC0F4BF" w14:textId="77777777" w:rsidTr="00513FDE">
        <w:trPr>
          <w:trHeight w:val="227"/>
          <w:jc w:val="center"/>
        </w:trPr>
        <w:tc>
          <w:tcPr>
            <w:tcW w:w="1021" w:type="dxa"/>
            <w:shd w:val="clear" w:color="auto" w:fill="auto"/>
            <w:noWrap/>
            <w:vAlign w:val="center"/>
          </w:tcPr>
          <w:p w14:paraId="2D67D4BF" w14:textId="33F11EFB" w:rsidR="00544F94" w:rsidRPr="00544F94" w:rsidRDefault="00544F94" w:rsidP="00513FDE">
            <w:pPr>
              <w:jc w:val="center"/>
              <w:rPr>
                <w:rFonts w:eastAsia="Times New Roman" w:cs="Arial"/>
                <w:color w:val="000000"/>
                <w:sz w:val="16"/>
                <w:szCs w:val="16"/>
              </w:rPr>
            </w:pPr>
            <w:r w:rsidRPr="00DB7B4A">
              <w:rPr>
                <w:rFonts w:eastAsia="Times New Roman" w:cs="Arial"/>
                <w:color w:val="000000"/>
                <w:sz w:val="16"/>
                <w:szCs w:val="16"/>
              </w:rPr>
              <w:t>025000000</w:t>
            </w:r>
          </w:p>
        </w:tc>
        <w:tc>
          <w:tcPr>
            <w:tcW w:w="4000" w:type="dxa"/>
            <w:shd w:val="clear" w:color="auto" w:fill="auto"/>
            <w:noWrap/>
            <w:vAlign w:val="center"/>
            <w:hideMark/>
          </w:tcPr>
          <w:p w14:paraId="095C56B1" w14:textId="377FFBCE" w:rsidR="00544F94" w:rsidRPr="00544F94" w:rsidRDefault="00DB7B4A" w:rsidP="00513FDE">
            <w:pPr>
              <w:tabs>
                <w:tab w:val="left" w:pos="252"/>
              </w:tabs>
              <w:jc w:val="left"/>
              <w:rPr>
                <w:rFonts w:eastAsia="Times New Roman" w:cs="Arial"/>
                <w:color w:val="000000"/>
                <w:sz w:val="16"/>
                <w:szCs w:val="16"/>
              </w:rPr>
            </w:pPr>
            <w:r w:rsidRPr="00DB7B4A">
              <w:rPr>
                <w:rFonts w:eastAsia="Times New Roman" w:cs="Arial"/>
                <w:color w:val="000000"/>
                <w:sz w:val="16"/>
                <w:szCs w:val="16"/>
              </w:rPr>
              <w:tab/>
            </w:r>
            <w:r w:rsidR="00544F94" w:rsidRPr="00DB7B4A">
              <w:rPr>
                <w:rFonts w:eastAsia="Times New Roman" w:cs="Arial"/>
                <w:color w:val="000000"/>
                <w:sz w:val="16"/>
                <w:szCs w:val="16"/>
              </w:rPr>
              <w:t>Recursos Federales</w:t>
            </w:r>
          </w:p>
        </w:tc>
        <w:tc>
          <w:tcPr>
            <w:tcW w:w="1299" w:type="dxa"/>
            <w:shd w:val="clear" w:color="auto" w:fill="auto"/>
            <w:noWrap/>
            <w:vAlign w:val="center"/>
            <w:hideMark/>
          </w:tcPr>
          <w:p w14:paraId="36767DB2" w14:textId="1FFF3B6A" w:rsidR="00544F94" w:rsidRPr="00544F94" w:rsidRDefault="00544F94" w:rsidP="00513FDE">
            <w:pPr>
              <w:jc w:val="right"/>
              <w:rPr>
                <w:rFonts w:eastAsia="Times New Roman" w:cs="Arial"/>
                <w:color w:val="000000"/>
                <w:sz w:val="16"/>
                <w:szCs w:val="16"/>
              </w:rPr>
            </w:pPr>
            <w:r w:rsidRPr="00544F94">
              <w:rPr>
                <w:rFonts w:eastAsia="Times New Roman" w:cs="Arial"/>
                <w:color w:val="000000"/>
                <w:sz w:val="16"/>
                <w:szCs w:val="16"/>
              </w:rPr>
              <w:t xml:space="preserve">58,453,439 </w:t>
            </w:r>
          </w:p>
        </w:tc>
      </w:tr>
    </w:tbl>
    <w:p w14:paraId="1AFB3C75" w14:textId="77777777" w:rsidR="00513FDE" w:rsidRDefault="00513FDE" w:rsidP="00BF5974">
      <w:pPr>
        <w:rPr>
          <w:rFonts w:cs="Arial"/>
          <w:lang w:val="es-ES"/>
        </w:rPr>
      </w:pPr>
    </w:p>
    <w:p w14:paraId="5028F9DD" w14:textId="7AD7FDC4" w:rsidR="00513FDE" w:rsidRDefault="00513FDE" w:rsidP="00BF5974">
      <w:pPr>
        <w:rPr>
          <w:rFonts w:cs="Arial"/>
          <w:lang w:val="es-ES"/>
        </w:rPr>
      </w:pPr>
      <w:r>
        <w:rPr>
          <w:rFonts w:cs="Arial"/>
          <w:lang w:val="es-ES"/>
        </w:rPr>
        <w:t xml:space="preserve">Los recursos correspondientes a la fuente de financiamiento </w:t>
      </w:r>
      <w:r w:rsidRPr="00513FDE">
        <w:rPr>
          <w:rFonts w:cs="Arial"/>
          <w:lang w:val="es-ES"/>
        </w:rPr>
        <w:t>010700000</w:t>
      </w:r>
      <w:r>
        <w:rPr>
          <w:rFonts w:cs="Arial"/>
          <w:lang w:val="es-ES"/>
        </w:rPr>
        <w:t xml:space="preserve"> </w:t>
      </w:r>
      <w:r w:rsidRPr="00513FDE">
        <w:rPr>
          <w:rFonts w:cs="Arial"/>
          <w:lang w:val="es-ES"/>
        </w:rPr>
        <w:t>Otros Recursos de Libre Disposición</w:t>
      </w:r>
      <w:r>
        <w:rPr>
          <w:rFonts w:cs="Arial"/>
          <w:lang w:val="es-ES"/>
        </w:rPr>
        <w:t xml:space="preserve"> se etiquetan </w:t>
      </w:r>
      <w:r w:rsidR="00286EC1">
        <w:rPr>
          <w:rFonts w:cs="Arial"/>
          <w:lang w:val="es-ES"/>
        </w:rPr>
        <w:t>como</w:t>
      </w:r>
      <w:r>
        <w:rPr>
          <w:rFonts w:cs="Arial"/>
          <w:lang w:val="es-ES"/>
        </w:rPr>
        <w:t xml:space="preserve"> la </w:t>
      </w:r>
      <w:r w:rsidRPr="00513FDE">
        <w:rPr>
          <w:rFonts w:cs="Arial"/>
          <w:lang w:val="es-ES"/>
        </w:rPr>
        <w:t>Contraprestación</w:t>
      </w:r>
      <w:r>
        <w:rPr>
          <w:rFonts w:cs="Arial"/>
          <w:lang w:val="es-ES"/>
        </w:rPr>
        <w:t xml:space="preserve"> del</w:t>
      </w:r>
      <w:r w:rsidRPr="00513FDE">
        <w:rPr>
          <w:rFonts w:cs="Arial"/>
          <w:lang w:val="es-ES"/>
        </w:rPr>
        <w:t xml:space="preserve"> Contrato de Asociación Público Privada No.</w:t>
      </w:r>
      <w:r w:rsidR="00D63FFD">
        <w:rPr>
          <w:rFonts w:cs="Arial"/>
          <w:lang w:val="es-ES"/>
        </w:rPr>
        <w:t xml:space="preserve"> </w:t>
      </w:r>
      <w:r w:rsidRPr="00513FDE">
        <w:rPr>
          <w:rFonts w:cs="Arial"/>
          <w:lang w:val="es-ES"/>
        </w:rPr>
        <w:t>SEIDUM-PAPP-001/2024</w:t>
      </w:r>
      <w:r>
        <w:rPr>
          <w:rFonts w:cs="Arial"/>
          <w:lang w:val="es-ES"/>
        </w:rPr>
        <w:t xml:space="preserve">, </w:t>
      </w:r>
      <w:r w:rsidRPr="00513FDE">
        <w:rPr>
          <w:rFonts w:cs="Arial"/>
          <w:lang w:val="es-ES"/>
        </w:rPr>
        <w:t>para la prestación del Servicio de Disponibilidad carretera denominado "Autopista Colima-Armería"</w:t>
      </w:r>
      <w:r>
        <w:rPr>
          <w:rFonts w:cs="Arial"/>
          <w:lang w:val="es-ES"/>
        </w:rPr>
        <w:t xml:space="preserve">, y </w:t>
      </w:r>
      <w:r w:rsidR="00D63FFD" w:rsidRPr="00D63FFD">
        <w:rPr>
          <w:rFonts w:cs="Arial"/>
          <w:lang w:val="es-ES"/>
        </w:rPr>
        <w:t>del Contrato de Asociación Público Privada No. SEIDUM-PAPP-001/2023, para la prestación del Servicio de Disponibilidad en el proyecto carretero denominado “</w:t>
      </w:r>
      <w:proofErr w:type="spellStart"/>
      <w:r w:rsidR="00D63FFD" w:rsidRPr="00D63FFD">
        <w:rPr>
          <w:rFonts w:cs="Arial"/>
          <w:lang w:val="es-ES"/>
        </w:rPr>
        <w:t>Macrolibramiento</w:t>
      </w:r>
      <w:proofErr w:type="spellEnd"/>
      <w:r w:rsidR="00D63FFD" w:rsidRPr="00D63FFD">
        <w:rPr>
          <w:rFonts w:cs="Arial"/>
          <w:lang w:val="es-ES"/>
        </w:rPr>
        <w:t xml:space="preserve"> Sur de Colima</w:t>
      </w:r>
      <w:r w:rsidR="00D63FFD">
        <w:rPr>
          <w:rFonts w:cs="Arial"/>
          <w:lang w:val="es-ES"/>
        </w:rPr>
        <w:t>”</w:t>
      </w:r>
    </w:p>
    <w:p w14:paraId="6DF1136F" w14:textId="77777777" w:rsidR="00513FDE" w:rsidRDefault="00513FDE" w:rsidP="00BF5974">
      <w:pPr>
        <w:rPr>
          <w:rFonts w:cs="Arial"/>
          <w:lang w:val="es-ES"/>
        </w:rPr>
      </w:pPr>
    </w:p>
    <w:p w14:paraId="10F5F878" w14:textId="77777777" w:rsidR="00BF5974" w:rsidRDefault="00BF5974" w:rsidP="00BF5974">
      <w:pPr>
        <w:rPr>
          <w:rFonts w:cs="Arial"/>
          <w:lang w:val="es-ES"/>
        </w:rPr>
      </w:pPr>
      <w:r>
        <w:rPr>
          <w:rFonts w:cs="Arial"/>
          <w:lang w:val="es-ES"/>
        </w:rPr>
        <w:t>Para el ejercicio de los recursos asignados a Obra Pública, las Dependencias de la Administración Pública Centralizada y Entidades de la Administración Pública Paraestatal, deberán observar lo siguiente:</w:t>
      </w:r>
    </w:p>
    <w:p w14:paraId="4749C1E6" w14:textId="77777777" w:rsidR="00BF5974" w:rsidRDefault="00BF5974" w:rsidP="00BF5974">
      <w:pPr>
        <w:rPr>
          <w:rFonts w:cs="Arial"/>
          <w:lang w:val="es-ES"/>
        </w:rPr>
      </w:pPr>
    </w:p>
    <w:p w14:paraId="73A07822" w14:textId="77777777" w:rsidR="00BF5974" w:rsidRDefault="00BF5974" w:rsidP="00BF5974">
      <w:pPr>
        <w:ind w:left="284" w:hanging="284"/>
        <w:rPr>
          <w:rFonts w:cs="Arial"/>
          <w:lang w:val="es-ES"/>
        </w:rPr>
      </w:pPr>
      <w:r>
        <w:rPr>
          <w:rFonts w:cs="Arial"/>
          <w:lang w:val="es-ES"/>
        </w:rPr>
        <w:t>I.</w:t>
      </w:r>
      <w:r>
        <w:rPr>
          <w:rFonts w:cs="Arial"/>
          <w:lang w:val="es-ES"/>
        </w:rPr>
        <w:tab/>
        <w:t>Dar prioridad a la terminación de los proyectos en proceso de ejecución de las obras vinculadas con la prestación de servicios públicos, especialmente a aquellos que están orientados a promover el desarrollo social;</w:t>
      </w:r>
    </w:p>
    <w:p w14:paraId="6E2D998C" w14:textId="77777777" w:rsidR="00BF5974" w:rsidRDefault="00BF5974" w:rsidP="00BF5974">
      <w:pPr>
        <w:ind w:left="284" w:hanging="284"/>
        <w:rPr>
          <w:rFonts w:cs="Arial"/>
          <w:lang w:val="es-ES"/>
        </w:rPr>
      </w:pPr>
      <w:r>
        <w:rPr>
          <w:rFonts w:cs="Arial"/>
          <w:lang w:val="es-ES"/>
        </w:rPr>
        <w:t>II. La asignación de recursos a nuevos proyectos se fundamentará en criterios que garanticen los servicios de educación, salud y asistencia social, seguridad pública y procuración de justicia, combate a la pobreza, desarrollo municipal e infraestructura básica urbana y rural, considerando a la población beneficiada y su relación costo–beneficio;</w:t>
      </w:r>
    </w:p>
    <w:p w14:paraId="666890F5" w14:textId="77777777" w:rsidR="00BF5974" w:rsidRDefault="00BF5974" w:rsidP="00BF5974">
      <w:pPr>
        <w:ind w:left="284" w:hanging="284"/>
        <w:rPr>
          <w:rFonts w:cs="Arial"/>
          <w:lang w:val="es-ES"/>
        </w:rPr>
      </w:pPr>
      <w:r>
        <w:rPr>
          <w:rFonts w:cs="Arial"/>
          <w:lang w:val="es-ES"/>
        </w:rPr>
        <w:t>III. Sólo se podrán iniciar nuevos proyectos cuando estén asociados al cumplimiento de los objetivos y metas del Plan Estatal. Estos proyectos podrán iniciarse cuando se tenga garantizada la disponibilidad de terrenos, así como los recursos técnicos y financieros para su terminación y operación, mantenimiento y conservación;</w:t>
      </w:r>
    </w:p>
    <w:p w14:paraId="548E0602" w14:textId="77777777" w:rsidR="00BF5974" w:rsidRDefault="00BF5974" w:rsidP="00BF5974">
      <w:pPr>
        <w:ind w:left="284" w:hanging="284"/>
        <w:rPr>
          <w:rFonts w:cs="Arial"/>
          <w:lang w:val="es-ES"/>
        </w:rPr>
      </w:pPr>
      <w:r>
        <w:rPr>
          <w:rFonts w:cs="Arial"/>
          <w:lang w:val="es-ES"/>
        </w:rPr>
        <w:t xml:space="preserve">IV. La asignación de recursos para obra pública requerirá la existencia del proyecto ejecutivo y estudio socioeconómico para la contratación de los mismos; las </w:t>
      </w:r>
      <w:r>
        <w:rPr>
          <w:rFonts w:cs="Arial"/>
          <w:lang w:val="es-ES"/>
        </w:rPr>
        <w:lastRenderedPageBreak/>
        <w:t>Dependencias de la Administración Pública Centralizada y Entidades de la Administración Pública Paraestatal deberán cumplir con las disposiciones que emita la Secretaría, a efecto de obtener la autorización correspondiente; y</w:t>
      </w:r>
    </w:p>
    <w:p w14:paraId="67894FFE" w14:textId="77777777" w:rsidR="00BF5974" w:rsidRDefault="00BF5974" w:rsidP="00BF5974">
      <w:pPr>
        <w:ind w:left="284" w:hanging="284"/>
        <w:rPr>
          <w:rFonts w:cs="Arial"/>
          <w:lang w:val="es-ES"/>
        </w:rPr>
      </w:pPr>
      <w:r>
        <w:rPr>
          <w:rFonts w:cs="Arial"/>
          <w:lang w:val="es-ES"/>
        </w:rPr>
        <w:t>V. Los proyectos de inversión conjunta con los sectores social y privado, con los gobiernos federal, municipal y los de otras entidades, estimularán la ejecución de obras y proyectos de infraestructura y producción, con apego al marco normativo.</w:t>
      </w:r>
    </w:p>
    <w:p w14:paraId="19CEB83D" w14:textId="77777777" w:rsidR="00BF5974" w:rsidRDefault="00BF5974" w:rsidP="00BF5974">
      <w:pPr>
        <w:jc w:val="left"/>
        <w:rPr>
          <w:rFonts w:eastAsia="Calibri" w:cs="Arial"/>
          <w:lang w:val="es-ES" w:eastAsia="en-US"/>
        </w:rPr>
      </w:pPr>
    </w:p>
    <w:p w14:paraId="2A7EC465" w14:textId="77777777" w:rsidR="00BF5974" w:rsidRDefault="00BF5974" w:rsidP="00BF5974">
      <w:pPr>
        <w:rPr>
          <w:rFonts w:cs="Arial"/>
          <w:lang w:val="es-ES"/>
        </w:rPr>
      </w:pPr>
      <w:r>
        <w:rPr>
          <w:rFonts w:cs="Arial"/>
          <w:b/>
          <w:lang w:val="es-ES"/>
        </w:rPr>
        <w:t>Artículo 34</w:t>
      </w:r>
      <w:r>
        <w:rPr>
          <w:rFonts w:cs="Arial"/>
          <w:lang w:val="es-ES"/>
        </w:rPr>
        <w:t>. Se incluye en el capítulo de Inversiones Financieras y Otras Provisiones, una asignación de recursos por un importe de 4,800,000</w:t>
      </w:r>
      <w:r>
        <w:rPr>
          <w:rFonts w:cs="Arial"/>
          <w:b/>
          <w:bCs/>
          <w:lang w:val="es-ES"/>
        </w:rPr>
        <w:t xml:space="preserve"> </w:t>
      </w:r>
      <w:r>
        <w:rPr>
          <w:rFonts w:cs="Arial"/>
          <w:lang w:val="es-ES"/>
        </w:rPr>
        <w:t>pesos mismos que se contemplan dentro del concepto de gasto denominado Provisiones para Contingencias y Otras Erogaciones Especiales.</w:t>
      </w:r>
    </w:p>
    <w:p w14:paraId="5C410E10" w14:textId="77777777" w:rsidR="00BF5974" w:rsidRDefault="00BF5974" w:rsidP="00BF5974">
      <w:pPr>
        <w:rPr>
          <w:rFonts w:cs="Arial"/>
          <w:lang w:val="es-ES"/>
        </w:rPr>
      </w:pPr>
    </w:p>
    <w:p w14:paraId="46C55E91" w14:textId="77777777" w:rsidR="00BF5974" w:rsidRDefault="00BF5974" w:rsidP="00BF5974">
      <w:pPr>
        <w:rPr>
          <w:rFonts w:cs="Arial"/>
          <w:lang w:val="es-ES"/>
        </w:rPr>
      </w:pPr>
    </w:p>
    <w:p w14:paraId="1CC9C9F4" w14:textId="77777777" w:rsidR="00BF5974" w:rsidRDefault="00BF5974" w:rsidP="00BF5974">
      <w:pPr>
        <w:jc w:val="center"/>
        <w:rPr>
          <w:rFonts w:eastAsia="Times New Roman" w:cs="Arial"/>
          <w:b/>
          <w:lang w:val="es-ES"/>
        </w:rPr>
      </w:pPr>
      <w:bookmarkStart w:id="138" w:name="_Toc526757477"/>
      <w:bookmarkStart w:id="139" w:name="_Toc22021920"/>
      <w:bookmarkStart w:id="140" w:name="_Toc22983182"/>
      <w:r>
        <w:rPr>
          <w:rFonts w:eastAsia="Times New Roman" w:cs="Arial"/>
          <w:b/>
          <w:lang w:val="es-ES"/>
        </w:rPr>
        <w:t xml:space="preserve">CAPÍTULO </w:t>
      </w:r>
      <w:bookmarkEnd w:id="138"/>
      <w:bookmarkEnd w:id="139"/>
      <w:bookmarkEnd w:id="140"/>
      <w:r>
        <w:rPr>
          <w:rFonts w:eastAsia="Times New Roman" w:cs="Arial"/>
          <w:b/>
          <w:lang w:val="es-ES"/>
        </w:rPr>
        <w:t>IX</w:t>
      </w:r>
    </w:p>
    <w:p w14:paraId="045550FD" w14:textId="77777777" w:rsidR="00BF5974" w:rsidRDefault="00BF5974" w:rsidP="00BF5974">
      <w:pPr>
        <w:keepNext/>
        <w:keepLines/>
        <w:jc w:val="center"/>
        <w:outlineLvl w:val="0"/>
        <w:rPr>
          <w:rFonts w:eastAsia="Times New Roman" w:cs="Arial"/>
          <w:b/>
          <w:szCs w:val="32"/>
          <w:lang w:val="es-ES"/>
        </w:rPr>
      </w:pPr>
      <w:bookmarkStart w:id="141" w:name="_Toc526757478"/>
      <w:bookmarkStart w:id="142" w:name="_Toc22021921"/>
      <w:bookmarkStart w:id="143" w:name="_Toc22983183"/>
      <w:r>
        <w:rPr>
          <w:rFonts w:eastAsia="Times New Roman" w:cs="Arial"/>
          <w:b/>
          <w:szCs w:val="32"/>
          <w:lang w:val="es-ES"/>
        </w:rPr>
        <w:t>DEL PRESUPUESTO PARTICIPATIVO</w:t>
      </w:r>
      <w:bookmarkEnd w:id="141"/>
      <w:bookmarkEnd w:id="142"/>
      <w:bookmarkEnd w:id="143"/>
    </w:p>
    <w:p w14:paraId="5810A7FD" w14:textId="77777777" w:rsidR="00BF5974" w:rsidRDefault="00BF5974" w:rsidP="00BF5974">
      <w:pPr>
        <w:rPr>
          <w:rFonts w:eastAsia="Times New Roman" w:cs="Arial"/>
          <w:lang w:val="es-ES" w:eastAsia="es-ES"/>
        </w:rPr>
      </w:pPr>
    </w:p>
    <w:p w14:paraId="120989F4" w14:textId="0961FC72" w:rsidR="00BF5974" w:rsidRDefault="00BF5974" w:rsidP="00BF5974">
      <w:pPr>
        <w:rPr>
          <w:rFonts w:cs="Arial"/>
        </w:rPr>
      </w:pPr>
      <w:r>
        <w:rPr>
          <w:rFonts w:cs="Arial"/>
          <w:b/>
        </w:rPr>
        <w:t>Artículo 35</w:t>
      </w:r>
      <w:r>
        <w:rPr>
          <w:rFonts w:cs="Arial"/>
        </w:rPr>
        <w:t xml:space="preserve">. Para el Ejercicio Fiscal 2025, con el propósito impulsar la participación ciudadana, se asignan </w:t>
      </w:r>
      <w:r w:rsidRPr="003B73C6">
        <w:rPr>
          <w:rFonts w:cs="Arial"/>
          <w:b/>
        </w:rPr>
        <w:t>21,545,226</w:t>
      </w:r>
      <w:r>
        <w:rPr>
          <w:rFonts w:cs="Arial"/>
          <w:bCs/>
        </w:rPr>
        <w:t xml:space="preserve"> pesos</w:t>
      </w:r>
      <w:r>
        <w:rPr>
          <w:rFonts w:cs="Arial"/>
        </w:rPr>
        <w:t xml:space="preserve"> para el Presupuesto Participativo; el cual se integra por:</w:t>
      </w:r>
    </w:p>
    <w:p w14:paraId="0F1E441C" w14:textId="77777777" w:rsidR="00105286" w:rsidRDefault="00105286" w:rsidP="00BF5974">
      <w:pPr>
        <w:rPr>
          <w:rFonts w:cs="Arial"/>
        </w:rPr>
      </w:pPr>
    </w:p>
    <w:p w14:paraId="12FDFE7B" w14:textId="77777777" w:rsidR="00BF5974" w:rsidRDefault="00BF5974" w:rsidP="00BF5974">
      <w:pPr>
        <w:numPr>
          <w:ilvl w:val="0"/>
          <w:numId w:val="42"/>
        </w:numPr>
        <w:ind w:left="567"/>
        <w:rPr>
          <w:rFonts w:cs="Arial"/>
        </w:rPr>
      </w:pPr>
      <w:r>
        <w:rPr>
          <w:rFonts w:cs="Arial"/>
        </w:rPr>
        <w:t xml:space="preserve">La asignación presupuestal destinada a financiar los proyectos de las Organizaciones de la Sociedad Civil en términos de lo </w:t>
      </w:r>
      <w:r>
        <w:rPr>
          <w:rFonts w:cs="Arial"/>
          <w:lang w:val="es-ES"/>
        </w:rPr>
        <w:t xml:space="preserve">dispuesto en </w:t>
      </w:r>
      <w:r>
        <w:rPr>
          <w:rFonts w:cs="Arial"/>
        </w:rPr>
        <w:t>el artículo 36 del presente Decreto; y</w:t>
      </w:r>
    </w:p>
    <w:p w14:paraId="351867EF" w14:textId="77777777" w:rsidR="00BF5974" w:rsidRDefault="00BF5974" w:rsidP="00BF5974">
      <w:pPr>
        <w:numPr>
          <w:ilvl w:val="0"/>
          <w:numId w:val="42"/>
        </w:numPr>
        <w:ind w:left="567"/>
        <w:rPr>
          <w:rFonts w:cs="Arial"/>
          <w:lang w:val="es-ES"/>
        </w:rPr>
      </w:pPr>
      <w:r>
        <w:rPr>
          <w:rFonts w:cs="Arial"/>
        </w:rPr>
        <w:t xml:space="preserve">La asignación presupuestal destinada a financiar los proyectos de las </w:t>
      </w:r>
      <w:r>
        <w:rPr>
          <w:rFonts w:cs="Arial"/>
          <w:lang w:val="es-ES"/>
        </w:rPr>
        <w:t>Instituciones de Asistencia Privada</w:t>
      </w:r>
      <w:r>
        <w:rPr>
          <w:rFonts w:cs="Arial"/>
        </w:rPr>
        <w:t xml:space="preserve"> en términos de lo </w:t>
      </w:r>
      <w:r>
        <w:rPr>
          <w:rFonts w:cs="Arial"/>
          <w:lang w:val="es-ES"/>
        </w:rPr>
        <w:t xml:space="preserve">dispuesto en </w:t>
      </w:r>
      <w:r>
        <w:rPr>
          <w:rFonts w:cs="Arial"/>
        </w:rPr>
        <w:t>el artículo 37 del presente Decreto.</w:t>
      </w:r>
    </w:p>
    <w:p w14:paraId="04581EF5" w14:textId="77777777" w:rsidR="00BF5974" w:rsidRDefault="00BF5974" w:rsidP="00BF5974">
      <w:pPr>
        <w:rPr>
          <w:rFonts w:cs="Arial"/>
          <w:b/>
          <w:lang w:val="es-ES"/>
        </w:rPr>
      </w:pPr>
    </w:p>
    <w:p w14:paraId="43A85C65" w14:textId="77777777" w:rsidR="00BF5974" w:rsidRDefault="00BF5974" w:rsidP="00BF5974">
      <w:pPr>
        <w:rPr>
          <w:rFonts w:cs="Arial"/>
          <w:lang w:val="es-ES"/>
        </w:rPr>
      </w:pPr>
      <w:r>
        <w:rPr>
          <w:rFonts w:cs="Arial"/>
          <w:b/>
          <w:lang w:val="es-ES"/>
        </w:rPr>
        <w:t>Artículo 36</w:t>
      </w:r>
      <w:r>
        <w:rPr>
          <w:rFonts w:cs="Arial"/>
          <w:lang w:val="es-ES"/>
        </w:rPr>
        <w:t>. En el Ejercicio Fiscal 2025 para las Organizaciones de la Sociedad Civil, se asignan las siguientes cantidades:</w:t>
      </w:r>
    </w:p>
    <w:p w14:paraId="2CED5BCB" w14:textId="77777777" w:rsidR="00BF5974" w:rsidRDefault="00BF5974" w:rsidP="00BF5974">
      <w:pPr>
        <w:keepNext/>
        <w:keepLines/>
        <w:outlineLvl w:val="2"/>
        <w:rPr>
          <w:rFonts w:eastAsia="Times New Roman" w:cs="Arial"/>
          <w:b/>
          <w:szCs w:val="24"/>
          <w:lang w:val="es-ES" w:eastAsia="en-US"/>
        </w:rPr>
      </w:pPr>
    </w:p>
    <w:p w14:paraId="28E75111" w14:textId="77777777" w:rsidR="00BF5974" w:rsidRDefault="00BF5974" w:rsidP="00BF5974">
      <w:pPr>
        <w:jc w:val="center"/>
        <w:rPr>
          <w:rFonts w:eastAsia="Times New Roman" w:cs="Arial"/>
          <w:b/>
          <w:sz w:val="20"/>
          <w:lang w:val="es-ES"/>
        </w:rPr>
      </w:pPr>
      <w:bookmarkStart w:id="144" w:name="_Toc526757479"/>
      <w:bookmarkStart w:id="145" w:name="_Toc22021922"/>
      <w:bookmarkStart w:id="146" w:name="_Toc22983184"/>
      <w:bookmarkStart w:id="147" w:name="_Toc522869262"/>
      <w:r>
        <w:rPr>
          <w:rFonts w:eastAsia="Times New Roman" w:cs="Arial"/>
          <w:b/>
          <w:sz w:val="20"/>
          <w:lang w:val="es-ES"/>
        </w:rPr>
        <w:t>Tabla 26. Asignaciones a Organizaciones de la Sociedad Civil</w:t>
      </w:r>
      <w:bookmarkEnd w:id="144"/>
      <w:bookmarkEnd w:id="145"/>
      <w:bookmarkEnd w:id="146"/>
      <w:bookmarkEnd w:id="147"/>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2"/>
        <w:gridCol w:w="6087"/>
        <w:gridCol w:w="1418"/>
      </w:tblGrid>
      <w:tr w:rsidR="00BF5974" w14:paraId="4E712CD1" w14:textId="77777777" w:rsidTr="00BF5974">
        <w:trPr>
          <w:trHeight w:val="227"/>
        </w:trPr>
        <w:tc>
          <w:tcPr>
            <w:tcW w:w="1142" w:type="dxa"/>
            <w:tcBorders>
              <w:top w:val="single" w:sz="4" w:space="0" w:color="auto"/>
              <w:left w:val="single" w:sz="4" w:space="0" w:color="auto"/>
              <w:bottom w:val="single" w:sz="4" w:space="0" w:color="auto"/>
              <w:right w:val="single" w:sz="4" w:space="0" w:color="auto"/>
            </w:tcBorders>
            <w:noWrap/>
            <w:vAlign w:val="center"/>
            <w:hideMark/>
          </w:tcPr>
          <w:p w14:paraId="4D1DB63E" w14:textId="77777777" w:rsidR="00BF5974" w:rsidRDefault="00BF5974">
            <w:pPr>
              <w:spacing w:line="256" w:lineRule="auto"/>
              <w:jc w:val="center"/>
              <w:rPr>
                <w:rFonts w:eastAsia="Times New Roman" w:cs="Arial"/>
                <w:b/>
                <w:bCs/>
                <w:sz w:val="18"/>
                <w:szCs w:val="18"/>
                <w:lang w:val="es-ES" w:eastAsia="es-ES"/>
              </w:rPr>
            </w:pPr>
            <w:r>
              <w:rPr>
                <w:rFonts w:eastAsia="Times New Roman" w:cs="Arial"/>
                <w:b/>
                <w:bCs/>
                <w:sz w:val="18"/>
                <w:szCs w:val="18"/>
                <w:lang w:val="es-ES" w:eastAsia="es-ES"/>
              </w:rPr>
              <w:t>Partida</w:t>
            </w:r>
          </w:p>
        </w:tc>
        <w:tc>
          <w:tcPr>
            <w:tcW w:w="6087" w:type="dxa"/>
            <w:tcBorders>
              <w:top w:val="single" w:sz="4" w:space="0" w:color="auto"/>
              <w:left w:val="single" w:sz="4" w:space="0" w:color="auto"/>
              <w:bottom w:val="single" w:sz="4" w:space="0" w:color="auto"/>
              <w:right w:val="single" w:sz="4" w:space="0" w:color="auto"/>
            </w:tcBorders>
            <w:vAlign w:val="center"/>
            <w:hideMark/>
          </w:tcPr>
          <w:p w14:paraId="07E543CA" w14:textId="77777777" w:rsidR="00BF5974" w:rsidRDefault="00BF5974">
            <w:pPr>
              <w:spacing w:line="256" w:lineRule="auto"/>
              <w:jc w:val="center"/>
              <w:rPr>
                <w:rFonts w:eastAsia="Times New Roman" w:cs="Arial"/>
                <w:b/>
                <w:bCs/>
                <w:sz w:val="18"/>
                <w:szCs w:val="18"/>
                <w:lang w:val="es-ES" w:eastAsia="es-ES"/>
              </w:rPr>
            </w:pPr>
            <w:r>
              <w:rPr>
                <w:rFonts w:eastAsia="Times New Roman" w:cs="Arial"/>
                <w:b/>
                <w:bCs/>
                <w:sz w:val="18"/>
                <w:szCs w:val="18"/>
                <w:lang w:val="es-ES" w:eastAsia="es-ES"/>
              </w:rPr>
              <w:t>Concepto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665901" w14:textId="77777777" w:rsidR="00BF5974" w:rsidRDefault="00BF5974">
            <w:pPr>
              <w:spacing w:line="256" w:lineRule="auto"/>
              <w:jc w:val="center"/>
              <w:rPr>
                <w:rFonts w:eastAsia="Times New Roman" w:cs="Arial"/>
                <w:b/>
                <w:bCs/>
                <w:sz w:val="18"/>
                <w:szCs w:val="18"/>
                <w:lang w:val="es-ES" w:eastAsia="es-ES"/>
              </w:rPr>
            </w:pPr>
            <w:r>
              <w:rPr>
                <w:rFonts w:eastAsia="Times New Roman" w:cs="Arial"/>
                <w:b/>
                <w:bCs/>
                <w:sz w:val="18"/>
                <w:szCs w:val="18"/>
                <w:lang w:val="es-ES" w:eastAsia="es-ES"/>
              </w:rPr>
              <w:t>Asignación Presupuestal</w:t>
            </w:r>
          </w:p>
        </w:tc>
      </w:tr>
      <w:tr w:rsidR="00BF5974" w14:paraId="58129F89" w14:textId="77777777" w:rsidTr="00BF5974">
        <w:trPr>
          <w:trHeight w:val="227"/>
        </w:trPr>
        <w:tc>
          <w:tcPr>
            <w:tcW w:w="1142" w:type="dxa"/>
            <w:tcBorders>
              <w:top w:val="single" w:sz="4" w:space="0" w:color="auto"/>
              <w:left w:val="single" w:sz="4" w:space="0" w:color="auto"/>
              <w:bottom w:val="single" w:sz="4" w:space="0" w:color="auto"/>
              <w:right w:val="single" w:sz="4" w:space="0" w:color="auto"/>
            </w:tcBorders>
            <w:noWrap/>
            <w:vAlign w:val="center"/>
            <w:hideMark/>
          </w:tcPr>
          <w:p w14:paraId="66D12345" w14:textId="77777777" w:rsidR="00BF5974" w:rsidRDefault="00BF5974">
            <w:pPr>
              <w:spacing w:line="256" w:lineRule="auto"/>
              <w:jc w:val="center"/>
              <w:rPr>
                <w:rFonts w:eastAsia="Times New Roman" w:cs="Arial"/>
                <w:bCs/>
                <w:color w:val="FF0000"/>
                <w:sz w:val="18"/>
                <w:szCs w:val="18"/>
                <w:lang w:val="es-ES" w:eastAsia="es-ES"/>
              </w:rPr>
            </w:pPr>
            <w:r>
              <w:rPr>
                <w:rFonts w:eastAsia="Times New Roman" w:cs="Arial"/>
                <w:bCs/>
                <w:sz w:val="18"/>
                <w:szCs w:val="18"/>
                <w:lang w:val="es-ES" w:eastAsia="es-ES"/>
              </w:rPr>
              <w:t>040405001</w:t>
            </w:r>
          </w:p>
        </w:tc>
        <w:tc>
          <w:tcPr>
            <w:tcW w:w="6087" w:type="dxa"/>
            <w:tcBorders>
              <w:top w:val="single" w:sz="4" w:space="0" w:color="auto"/>
              <w:left w:val="single" w:sz="4" w:space="0" w:color="auto"/>
              <w:bottom w:val="single" w:sz="4" w:space="0" w:color="auto"/>
              <w:right w:val="single" w:sz="4" w:space="0" w:color="auto"/>
            </w:tcBorders>
            <w:vAlign w:val="center"/>
            <w:hideMark/>
          </w:tcPr>
          <w:p w14:paraId="0042EF1A" w14:textId="77777777" w:rsidR="00BF5974" w:rsidRDefault="00BF5974">
            <w:pPr>
              <w:spacing w:line="256" w:lineRule="auto"/>
              <w:rPr>
                <w:rFonts w:eastAsia="Times New Roman" w:cs="Arial"/>
                <w:bCs/>
                <w:sz w:val="18"/>
                <w:szCs w:val="18"/>
                <w:lang w:val="es-ES" w:eastAsia="es-ES"/>
              </w:rPr>
            </w:pPr>
            <w:r>
              <w:rPr>
                <w:rFonts w:eastAsia="Times New Roman" w:cs="Arial"/>
                <w:bCs/>
                <w:sz w:val="18"/>
                <w:szCs w:val="18"/>
                <w:lang w:val="es-ES" w:eastAsia="es-ES"/>
              </w:rPr>
              <w:t>Ayudas para el Fomento a las Organizaciones de la Sociedad Civil.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2DB748A" w14:textId="77777777" w:rsidR="00BF5974" w:rsidRDefault="00BF5974">
            <w:pPr>
              <w:spacing w:line="256" w:lineRule="auto"/>
              <w:jc w:val="right"/>
              <w:rPr>
                <w:rFonts w:cs="Arial"/>
                <w:sz w:val="18"/>
                <w:szCs w:val="18"/>
                <w:lang w:val="es-ES" w:eastAsia="en-US"/>
              </w:rPr>
            </w:pPr>
            <w:r>
              <w:rPr>
                <w:rFonts w:cs="Arial"/>
                <w:color w:val="000000"/>
                <w:sz w:val="18"/>
                <w:szCs w:val="18"/>
                <w:lang w:val="es-ES" w:eastAsia="en-US"/>
              </w:rPr>
              <w:t xml:space="preserve">        5,000,000 </w:t>
            </w:r>
          </w:p>
        </w:tc>
      </w:tr>
      <w:tr w:rsidR="00BF5974" w14:paraId="0B5463D0" w14:textId="77777777" w:rsidTr="00BF5974">
        <w:trPr>
          <w:trHeight w:val="227"/>
        </w:trPr>
        <w:tc>
          <w:tcPr>
            <w:tcW w:w="1142" w:type="dxa"/>
            <w:tcBorders>
              <w:top w:val="single" w:sz="4" w:space="0" w:color="auto"/>
              <w:left w:val="single" w:sz="4" w:space="0" w:color="auto"/>
              <w:bottom w:val="single" w:sz="4" w:space="0" w:color="auto"/>
              <w:right w:val="single" w:sz="4" w:space="0" w:color="auto"/>
            </w:tcBorders>
            <w:noWrap/>
            <w:vAlign w:val="center"/>
            <w:hideMark/>
          </w:tcPr>
          <w:p w14:paraId="5D7F24FB" w14:textId="77777777" w:rsidR="00BF5974" w:rsidRDefault="00BF5974">
            <w:pPr>
              <w:spacing w:line="256" w:lineRule="auto"/>
              <w:jc w:val="center"/>
              <w:rPr>
                <w:rFonts w:eastAsia="Times New Roman" w:cs="Arial"/>
                <w:bCs/>
                <w:color w:val="FF0000"/>
                <w:sz w:val="18"/>
                <w:szCs w:val="18"/>
                <w:lang w:val="es-ES" w:eastAsia="es-ES"/>
              </w:rPr>
            </w:pPr>
            <w:r>
              <w:rPr>
                <w:rFonts w:eastAsia="Times New Roman" w:cs="Arial"/>
                <w:bCs/>
                <w:sz w:val="18"/>
                <w:szCs w:val="18"/>
                <w:lang w:val="es-ES" w:eastAsia="es-ES"/>
              </w:rPr>
              <w:t>040405002</w:t>
            </w:r>
          </w:p>
        </w:tc>
        <w:tc>
          <w:tcPr>
            <w:tcW w:w="6087" w:type="dxa"/>
            <w:tcBorders>
              <w:top w:val="single" w:sz="4" w:space="0" w:color="auto"/>
              <w:left w:val="single" w:sz="4" w:space="0" w:color="auto"/>
              <w:bottom w:val="single" w:sz="4" w:space="0" w:color="auto"/>
              <w:right w:val="single" w:sz="4" w:space="0" w:color="auto"/>
            </w:tcBorders>
            <w:vAlign w:val="center"/>
            <w:hideMark/>
          </w:tcPr>
          <w:p w14:paraId="71BAA5B2" w14:textId="77777777" w:rsidR="00BF5974" w:rsidRDefault="00BF5974">
            <w:pPr>
              <w:spacing w:line="256" w:lineRule="auto"/>
              <w:rPr>
                <w:rFonts w:eastAsia="Times New Roman" w:cs="Arial"/>
                <w:bCs/>
                <w:sz w:val="18"/>
                <w:szCs w:val="18"/>
                <w:lang w:val="es-ES" w:eastAsia="es-ES"/>
              </w:rPr>
            </w:pPr>
            <w:r>
              <w:rPr>
                <w:rFonts w:eastAsia="Times New Roman" w:cs="Arial"/>
                <w:bCs/>
                <w:sz w:val="18"/>
                <w:szCs w:val="18"/>
                <w:lang w:val="es-ES" w:eastAsia="es-ES"/>
              </w:rPr>
              <w:t>Ayudas extraordinarias a las Organizaciones de la Sociedad Civil.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07388D0" w14:textId="77777777" w:rsidR="00BF5974" w:rsidRDefault="00BF5974">
            <w:pPr>
              <w:spacing w:line="256" w:lineRule="auto"/>
              <w:jc w:val="right"/>
              <w:rPr>
                <w:rFonts w:cs="Arial"/>
                <w:sz w:val="18"/>
                <w:szCs w:val="18"/>
                <w:lang w:val="es-ES" w:eastAsia="en-US"/>
              </w:rPr>
            </w:pPr>
            <w:r>
              <w:rPr>
                <w:rFonts w:cs="Arial"/>
                <w:color w:val="000000"/>
                <w:sz w:val="18"/>
                <w:szCs w:val="18"/>
                <w:lang w:val="es-ES" w:eastAsia="en-US"/>
              </w:rPr>
              <w:t xml:space="preserve">        5,000,000 </w:t>
            </w:r>
          </w:p>
        </w:tc>
      </w:tr>
      <w:tr w:rsidR="00BF5974" w14:paraId="103A618F" w14:textId="77777777" w:rsidTr="00BF5974">
        <w:trPr>
          <w:trHeight w:val="227"/>
        </w:trPr>
        <w:tc>
          <w:tcPr>
            <w:tcW w:w="1142" w:type="dxa"/>
            <w:tcBorders>
              <w:top w:val="single" w:sz="4" w:space="0" w:color="auto"/>
              <w:left w:val="single" w:sz="4" w:space="0" w:color="auto"/>
              <w:bottom w:val="single" w:sz="4" w:space="0" w:color="auto"/>
              <w:right w:val="single" w:sz="4" w:space="0" w:color="auto"/>
            </w:tcBorders>
            <w:noWrap/>
            <w:vAlign w:val="center"/>
          </w:tcPr>
          <w:p w14:paraId="3F85EAA5" w14:textId="77777777" w:rsidR="00BF5974" w:rsidRDefault="00BF5974">
            <w:pPr>
              <w:spacing w:line="256" w:lineRule="auto"/>
              <w:jc w:val="center"/>
              <w:rPr>
                <w:rFonts w:eastAsia="Times New Roman" w:cs="Arial"/>
                <w:bCs/>
                <w:sz w:val="18"/>
                <w:szCs w:val="18"/>
                <w:lang w:val="es-ES" w:eastAsia="es-ES"/>
              </w:rPr>
            </w:pPr>
          </w:p>
        </w:tc>
        <w:tc>
          <w:tcPr>
            <w:tcW w:w="6087" w:type="dxa"/>
            <w:tcBorders>
              <w:top w:val="single" w:sz="4" w:space="0" w:color="auto"/>
              <w:left w:val="single" w:sz="4" w:space="0" w:color="auto"/>
              <w:bottom w:val="single" w:sz="4" w:space="0" w:color="auto"/>
              <w:right w:val="single" w:sz="4" w:space="0" w:color="auto"/>
            </w:tcBorders>
            <w:vAlign w:val="center"/>
            <w:hideMark/>
          </w:tcPr>
          <w:p w14:paraId="0F878BBE" w14:textId="77777777" w:rsidR="00BF5974" w:rsidRDefault="00BF5974">
            <w:pPr>
              <w:spacing w:line="256" w:lineRule="auto"/>
              <w:jc w:val="center"/>
              <w:rPr>
                <w:rFonts w:eastAsia="Times New Roman" w:cs="Arial"/>
                <w:b/>
                <w:bCs/>
                <w:sz w:val="18"/>
                <w:szCs w:val="18"/>
                <w:lang w:val="es-ES" w:eastAsia="es-ES"/>
              </w:rPr>
            </w:pPr>
            <w:r>
              <w:rPr>
                <w:rFonts w:eastAsia="Times New Roman" w:cs="Arial"/>
                <w:b/>
                <w:bCs/>
                <w:sz w:val="18"/>
                <w:szCs w:val="18"/>
                <w:lang w:val="es-ES" w:eastAsia="es-ES"/>
              </w:rPr>
              <w:t>Total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E08BCA8" w14:textId="77777777" w:rsidR="00BF5974" w:rsidRDefault="00BF5974">
            <w:pPr>
              <w:spacing w:line="256" w:lineRule="auto"/>
              <w:jc w:val="right"/>
              <w:rPr>
                <w:rFonts w:cs="Arial"/>
                <w:b/>
                <w:sz w:val="18"/>
                <w:szCs w:val="18"/>
                <w:lang w:val="es-ES" w:eastAsia="en-US"/>
              </w:rPr>
            </w:pPr>
            <w:r>
              <w:rPr>
                <w:rFonts w:cs="Arial"/>
                <w:b/>
                <w:bCs/>
                <w:color w:val="000000"/>
                <w:sz w:val="18"/>
                <w:szCs w:val="18"/>
                <w:lang w:val="es-ES" w:eastAsia="en-US"/>
              </w:rPr>
              <w:t xml:space="preserve">      10,000,000 </w:t>
            </w:r>
          </w:p>
        </w:tc>
      </w:tr>
    </w:tbl>
    <w:p w14:paraId="2ABD6D56" w14:textId="77777777" w:rsidR="00BF5974" w:rsidRDefault="00BF5974" w:rsidP="00BF5974">
      <w:pPr>
        <w:rPr>
          <w:rFonts w:cs="Arial"/>
          <w:lang w:val="es-ES"/>
        </w:rPr>
      </w:pPr>
    </w:p>
    <w:p w14:paraId="40185389" w14:textId="193CD6A3" w:rsidR="00BF5974" w:rsidRDefault="00BF5974" w:rsidP="00BF5974">
      <w:pPr>
        <w:rPr>
          <w:rFonts w:cs="Arial"/>
          <w:lang w:val="es-ES"/>
        </w:rPr>
      </w:pPr>
      <w:r>
        <w:rPr>
          <w:rFonts w:cs="Arial"/>
          <w:lang w:val="es-ES"/>
        </w:rPr>
        <w:t>Para el otorgamiento de los recursos públicos de la partida 040405001 Ayudas para el Fomento a las Organizaciones de la Sociedad Civil y 040405002 Ayudas extraordinarias a las Organización de la Sociedad Civil, se observará lo dispuesto en la Ley de Fomento a las Organizaciones de la Sociedad Civil del Estado de Colima, entre los cuales destacan:</w:t>
      </w:r>
    </w:p>
    <w:p w14:paraId="4E02E62F" w14:textId="77777777" w:rsidR="00105286" w:rsidRDefault="00105286" w:rsidP="00BF5974">
      <w:pPr>
        <w:rPr>
          <w:rFonts w:cs="Arial"/>
          <w:lang w:val="es-ES"/>
        </w:rPr>
      </w:pPr>
    </w:p>
    <w:p w14:paraId="004979B4" w14:textId="77777777" w:rsidR="00BF5974" w:rsidRDefault="00BF5974" w:rsidP="00BF5974">
      <w:pPr>
        <w:numPr>
          <w:ilvl w:val="0"/>
          <w:numId w:val="43"/>
        </w:numPr>
        <w:ind w:left="709"/>
        <w:contextualSpacing/>
        <w:rPr>
          <w:rFonts w:cs="Arial"/>
          <w:lang w:val="es-ES"/>
        </w:rPr>
      </w:pPr>
      <w:r>
        <w:rPr>
          <w:rFonts w:cs="Arial"/>
          <w:lang w:val="es-ES"/>
        </w:rPr>
        <w:t>Inscribirse en el Registro Estatal de Organizaciones de la Sociedad Civil;</w:t>
      </w:r>
    </w:p>
    <w:p w14:paraId="1DCE9415" w14:textId="77777777" w:rsidR="00BF5974" w:rsidRDefault="00BF5974" w:rsidP="00BF5974">
      <w:pPr>
        <w:numPr>
          <w:ilvl w:val="0"/>
          <w:numId w:val="43"/>
        </w:numPr>
        <w:ind w:left="709"/>
        <w:contextualSpacing/>
        <w:rPr>
          <w:rFonts w:cs="Arial"/>
          <w:lang w:val="es-ES"/>
        </w:rPr>
      </w:pPr>
      <w:r>
        <w:rPr>
          <w:rFonts w:cs="Arial"/>
          <w:lang w:val="es-ES"/>
        </w:rPr>
        <w:lastRenderedPageBreak/>
        <w:t>Contar con un sistema de contabilidad de acuerdo con las normas de información financiera;</w:t>
      </w:r>
    </w:p>
    <w:p w14:paraId="1913AB1F" w14:textId="77777777" w:rsidR="00BF5974" w:rsidRDefault="00BF5974" w:rsidP="00BF5974">
      <w:pPr>
        <w:numPr>
          <w:ilvl w:val="0"/>
          <w:numId w:val="43"/>
        </w:numPr>
        <w:ind w:left="709"/>
        <w:contextualSpacing/>
        <w:rPr>
          <w:rFonts w:cs="Arial"/>
          <w:lang w:val="es-ES"/>
        </w:rPr>
      </w:pPr>
      <w:r>
        <w:rPr>
          <w:rFonts w:cs="Arial"/>
          <w:lang w:val="es-ES"/>
        </w:rPr>
        <w:t>Proporcionar toda la información que les sea requerida por la autoridad estatal competente sobre sus fines, estatutos, programas, actividades, beneficiarios, fuentes de financiamiento, así como de su operación patrimonial, administrativa, legal, contable y financiera, y del uso de los fondos, estímulos, incentivos, subsidios o recursos públicos que pretendan recibir o que ya reciban; y</w:t>
      </w:r>
    </w:p>
    <w:p w14:paraId="22987CAF" w14:textId="77777777" w:rsidR="00BF5974" w:rsidRDefault="00BF5974" w:rsidP="00BF5974">
      <w:pPr>
        <w:numPr>
          <w:ilvl w:val="0"/>
          <w:numId w:val="43"/>
        </w:numPr>
        <w:ind w:left="709"/>
        <w:contextualSpacing/>
        <w:rPr>
          <w:rFonts w:cs="Arial"/>
          <w:lang w:val="es-ES"/>
        </w:rPr>
      </w:pPr>
      <w:r>
        <w:rPr>
          <w:rFonts w:cs="Arial"/>
          <w:lang w:val="es-ES"/>
        </w:rPr>
        <w:t>Informar anualmente a la autoridad estatal competente, sobre las actividades realizadas, su programa de actividades del año correspondiente y el cumplimiento de sus propósitos, así como el balance de su situación financiera, contable y patrimonial, que reflejen en forma clara su situación y, especialmente, el uso y resultados derivados de los fondos, estímulos, incentivos, subsidios y recursos públicos que le sean asignados.</w:t>
      </w:r>
    </w:p>
    <w:p w14:paraId="4EF416CC" w14:textId="6045710A" w:rsidR="00BF5974" w:rsidRDefault="00BF5974" w:rsidP="00BF5974">
      <w:pPr>
        <w:rPr>
          <w:rFonts w:cs="Arial"/>
          <w:lang w:val="es-ES"/>
        </w:rPr>
      </w:pPr>
    </w:p>
    <w:p w14:paraId="630E6FE9" w14:textId="77777777" w:rsidR="00105286" w:rsidRDefault="00105286" w:rsidP="00BF5974">
      <w:pPr>
        <w:rPr>
          <w:rFonts w:cs="Arial"/>
          <w:lang w:val="es-ES"/>
        </w:rPr>
      </w:pPr>
    </w:p>
    <w:p w14:paraId="051B660E" w14:textId="77777777" w:rsidR="00BF5974" w:rsidRDefault="00BF5974" w:rsidP="00BF5974">
      <w:pPr>
        <w:rPr>
          <w:rFonts w:cs="Arial"/>
          <w:lang w:val="es-ES"/>
        </w:rPr>
      </w:pPr>
      <w:r>
        <w:rPr>
          <w:rFonts w:cs="Arial"/>
          <w:b/>
          <w:lang w:val="es-ES"/>
        </w:rPr>
        <w:t>Artículo 37</w:t>
      </w:r>
      <w:r>
        <w:rPr>
          <w:rFonts w:cs="Arial"/>
          <w:lang w:val="es-ES"/>
        </w:rPr>
        <w:t xml:space="preserve">. Las </w:t>
      </w:r>
      <w:r>
        <w:rPr>
          <w:rFonts w:cs="Arial"/>
          <w:bCs/>
          <w:lang w:val="es-ES"/>
        </w:rPr>
        <w:t>asignaciones a las Instituciones de Asistencia Privada</w:t>
      </w:r>
      <w:r>
        <w:rPr>
          <w:rFonts w:cs="Arial"/>
          <w:lang w:val="es-ES"/>
        </w:rPr>
        <w:t xml:space="preserve"> para el Ejercicio Fiscal 2025 son las siguientes:</w:t>
      </w:r>
    </w:p>
    <w:p w14:paraId="0726E7AE" w14:textId="77777777" w:rsidR="00BF5974" w:rsidRDefault="00BF5974" w:rsidP="00BF5974">
      <w:pPr>
        <w:keepNext/>
        <w:keepLines/>
        <w:outlineLvl w:val="2"/>
        <w:rPr>
          <w:rFonts w:eastAsia="Times New Roman" w:cs="Arial"/>
          <w:b/>
          <w:szCs w:val="24"/>
          <w:lang w:val="es-ES" w:eastAsia="en-US"/>
        </w:rPr>
      </w:pPr>
    </w:p>
    <w:p w14:paraId="7A92A159" w14:textId="77777777" w:rsidR="00BF5974" w:rsidRDefault="00BF5974" w:rsidP="00BF5974">
      <w:pPr>
        <w:jc w:val="center"/>
        <w:rPr>
          <w:rFonts w:eastAsia="Times New Roman" w:cs="Arial"/>
          <w:b/>
          <w:sz w:val="20"/>
          <w:lang w:val="es-ES"/>
        </w:rPr>
      </w:pPr>
      <w:bookmarkStart w:id="148" w:name="_Toc526757480"/>
      <w:bookmarkStart w:id="149" w:name="_Toc22021923"/>
      <w:bookmarkStart w:id="150" w:name="_Toc22983185"/>
      <w:r>
        <w:rPr>
          <w:rFonts w:eastAsia="Times New Roman" w:cs="Arial"/>
          <w:b/>
          <w:sz w:val="20"/>
          <w:lang w:val="es-ES"/>
        </w:rPr>
        <w:t>Tabla 27. Asignaciones a Instituciones de Asistencia Privada</w:t>
      </w:r>
      <w:bookmarkEnd w:id="148"/>
      <w:bookmarkEnd w:id="149"/>
      <w:bookmarkEnd w:id="150"/>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1"/>
        <w:gridCol w:w="5905"/>
        <w:gridCol w:w="1559"/>
      </w:tblGrid>
      <w:tr w:rsidR="00BF5974" w14:paraId="209DC919" w14:textId="77777777" w:rsidTr="00BF5974">
        <w:trPr>
          <w:trHeight w:val="227"/>
          <w:jc w:val="center"/>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6644DACD" w14:textId="77777777" w:rsidR="00BF5974" w:rsidRDefault="00BF5974">
            <w:pPr>
              <w:spacing w:line="256" w:lineRule="auto"/>
              <w:jc w:val="center"/>
              <w:rPr>
                <w:rFonts w:eastAsia="Times New Roman" w:cs="Arial"/>
                <w:b/>
                <w:bCs/>
                <w:sz w:val="18"/>
                <w:szCs w:val="20"/>
                <w:lang w:val="es-ES" w:eastAsia="es-ES"/>
              </w:rPr>
            </w:pPr>
            <w:r>
              <w:rPr>
                <w:rFonts w:eastAsia="Times New Roman" w:cs="Arial"/>
                <w:b/>
                <w:bCs/>
                <w:sz w:val="18"/>
                <w:szCs w:val="20"/>
                <w:lang w:val="es-ES" w:eastAsia="es-ES"/>
              </w:rPr>
              <w:t>Partida</w:t>
            </w:r>
          </w:p>
        </w:tc>
        <w:tc>
          <w:tcPr>
            <w:tcW w:w="6096" w:type="dxa"/>
            <w:tcBorders>
              <w:top w:val="single" w:sz="4" w:space="0" w:color="auto"/>
              <w:left w:val="single" w:sz="4" w:space="0" w:color="auto"/>
              <w:bottom w:val="single" w:sz="4" w:space="0" w:color="auto"/>
              <w:right w:val="single" w:sz="4" w:space="0" w:color="auto"/>
            </w:tcBorders>
            <w:vAlign w:val="center"/>
            <w:hideMark/>
          </w:tcPr>
          <w:p w14:paraId="7A8AD3E5" w14:textId="77777777" w:rsidR="00BF5974" w:rsidRDefault="00BF5974">
            <w:pPr>
              <w:spacing w:line="256" w:lineRule="auto"/>
              <w:jc w:val="center"/>
              <w:rPr>
                <w:rFonts w:eastAsia="Times New Roman" w:cs="Arial"/>
                <w:b/>
                <w:bCs/>
                <w:sz w:val="18"/>
                <w:szCs w:val="20"/>
                <w:lang w:val="es-ES" w:eastAsia="es-ES"/>
              </w:rPr>
            </w:pPr>
            <w:r>
              <w:rPr>
                <w:rFonts w:eastAsia="Times New Roman" w:cs="Arial"/>
                <w:b/>
                <w:bCs/>
                <w:sz w:val="18"/>
                <w:szCs w:val="20"/>
                <w:lang w:val="es-ES" w:eastAsia="es-ES"/>
              </w:rPr>
              <w:t>Concepto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EFE7D6" w14:textId="77777777" w:rsidR="00BF5974" w:rsidRDefault="00BF5974">
            <w:pPr>
              <w:spacing w:line="256" w:lineRule="auto"/>
              <w:jc w:val="center"/>
              <w:rPr>
                <w:rFonts w:eastAsia="Times New Roman" w:cs="Arial"/>
                <w:b/>
                <w:bCs/>
                <w:sz w:val="18"/>
                <w:szCs w:val="20"/>
                <w:lang w:val="es-ES" w:eastAsia="es-ES"/>
              </w:rPr>
            </w:pPr>
            <w:r>
              <w:rPr>
                <w:rFonts w:eastAsia="Times New Roman" w:cs="Arial"/>
                <w:b/>
                <w:bCs/>
                <w:sz w:val="18"/>
                <w:szCs w:val="20"/>
                <w:lang w:val="es-ES" w:eastAsia="es-ES"/>
              </w:rPr>
              <w:t>Asignación Presupuestal</w:t>
            </w:r>
          </w:p>
        </w:tc>
      </w:tr>
      <w:tr w:rsidR="00BF5974" w14:paraId="2E8F02ED" w14:textId="77777777" w:rsidTr="00BF5974">
        <w:trPr>
          <w:trHeight w:val="227"/>
          <w:jc w:val="center"/>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60387B14" w14:textId="77777777" w:rsidR="00BF5974" w:rsidRDefault="00BF5974">
            <w:pPr>
              <w:spacing w:line="256" w:lineRule="auto"/>
              <w:jc w:val="center"/>
              <w:rPr>
                <w:rFonts w:eastAsia="Times New Roman" w:cs="Arial"/>
                <w:bCs/>
                <w:sz w:val="18"/>
                <w:szCs w:val="20"/>
                <w:lang w:val="es-ES" w:eastAsia="es-ES"/>
              </w:rPr>
            </w:pPr>
            <w:r>
              <w:rPr>
                <w:rFonts w:eastAsia="Times New Roman" w:cs="Arial"/>
                <w:bCs/>
                <w:sz w:val="18"/>
                <w:szCs w:val="20"/>
                <w:lang w:val="es-ES" w:eastAsia="es-ES"/>
              </w:rPr>
              <w:t>040405003</w:t>
            </w:r>
          </w:p>
        </w:tc>
        <w:tc>
          <w:tcPr>
            <w:tcW w:w="6096" w:type="dxa"/>
            <w:tcBorders>
              <w:top w:val="single" w:sz="4" w:space="0" w:color="auto"/>
              <w:left w:val="single" w:sz="4" w:space="0" w:color="auto"/>
              <w:bottom w:val="single" w:sz="4" w:space="0" w:color="auto"/>
              <w:right w:val="single" w:sz="4" w:space="0" w:color="auto"/>
            </w:tcBorders>
            <w:vAlign w:val="center"/>
            <w:hideMark/>
          </w:tcPr>
          <w:p w14:paraId="71D6948A" w14:textId="77777777" w:rsidR="00BF5974" w:rsidRDefault="00BF5974">
            <w:pPr>
              <w:spacing w:line="256" w:lineRule="auto"/>
              <w:rPr>
                <w:rFonts w:eastAsia="Times New Roman" w:cs="Arial"/>
                <w:bCs/>
                <w:sz w:val="18"/>
                <w:szCs w:val="20"/>
                <w:lang w:val="es-ES" w:eastAsia="es-ES"/>
              </w:rPr>
            </w:pPr>
            <w:r>
              <w:rPr>
                <w:rFonts w:eastAsia="Times New Roman" w:cs="Arial"/>
                <w:bCs/>
                <w:sz w:val="18"/>
                <w:szCs w:val="20"/>
                <w:lang w:val="es-ES" w:eastAsia="es-ES"/>
              </w:rPr>
              <w:t>Ayudas a Instituciones de Asistencia Privada.</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00D7003" w14:textId="77777777" w:rsidR="00BF5974" w:rsidRDefault="00BF5974">
            <w:pPr>
              <w:spacing w:line="256" w:lineRule="auto"/>
              <w:jc w:val="right"/>
              <w:rPr>
                <w:rFonts w:eastAsia="Times New Roman" w:cs="Arial"/>
                <w:color w:val="000000"/>
                <w:sz w:val="18"/>
                <w:szCs w:val="18"/>
                <w:lang w:val="es-ES" w:eastAsia="en-US"/>
              </w:rPr>
            </w:pPr>
            <w:r>
              <w:rPr>
                <w:rFonts w:cs="Arial"/>
                <w:color w:val="000000"/>
                <w:sz w:val="18"/>
                <w:szCs w:val="18"/>
                <w:lang w:val="es-ES" w:eastAsia="en-US"/>
              </w:rPr>
              <w:t xml:space="preserve">11,545,226 </w:t>
            </w:r>
          </w:p>
        </w:tc>
      </w:tr>
    </w:tbl>
    <w:p w14:paraId="3F6FFDC9" w14:textId="77777777" w:rsidR="00BF5974" w:rsidRDefault="00BF5974" w:rsidP="00BF5974">
      <w:pPr>
        <w:rPr>
          <w:rFonts w:cs="Arial"/>
          <w:lang w:val="es-ES"/>
        </w:rPr>
      </w:pPr>
    </w:p>
    <w:p w14:paraId="4667F0FE" w14:textId="77777777" w:rsidR="00BF5974" w:rsidRDefault="00BF5974" w:rsidP="00BF5974">
      <w:pPr>
        <w:tabs>
          <w:tab w:val="left" w:pos="426"/>
        </w:tabs>
        <w:rPr>
          <w:rFonts w:cs="Arial"/>
          <w:lang w:val="es-ES"/>
        </w:rPr>
      </w:pPr>
      <w:r>
        <w:rPr>
          <w:rFonts w:cs="Arial"/>
          <w:lang w:val="es-ES"/>
        </w:rPr>
        <w:t>En atención al carácter de interés público que la Ley de Instituciones de Asistencia Privada para el Estado de Colima otorga a las Instituciones de asistencia privada, el Gobierno del Estado canalizará a la Junta de Asistencia Privada recursos económicos para apoyar las actividades de aquéllas. Para tal efecto, la Junta presentará a la Titular del Poder Ejecutivo, a más tardar el 30 de septiembre de cada año, un estudio de las Instituciones registradas y la propuesta sugerida de apoyo económico.</w:t>
      </w:r>
    </w:p>
    <w:p w14:paraId="1C952C79" w14:textId="77777777" w:rsidR="00BF5974" w:rsidRDefault="00BF5974" w:rsidP="00BF5974">
      <w:pPr>
        <w:tabs>
          <w:tab w:val="left" w:pos="426"/>
        </w:tabs>
        <w:rPr>
          <w:rFonts w:cs="Arial"/>
          <w:lang w:val="es-ES"/>
        </w:rPr>
      </w:pPr>
    </w:p>
    <w:p w14:paraId="21D7DC86" w14:textId="77777777" w:rsidR="00BF5974" w:rsidRDefault="00BF5974" w:rsidP="00BF5974">
      <w:pPr>
        <w:tabs>
          <w:tab w:val="left" w:pos="426"/>
        </w:tabs>
        <w:rPr>
          <w:rFonts w:cs="Arial"/>
          <w:lang w:val="es-ES"/>
        </w:rPr>
      </w:pPr>
      <w:r>
        <w:rPr>
          <w:rFonts w:cs="Arial"/>
          <w:lang w:val="es-ES"/>
        </w:rPr>
        <w:t>El otorgamiento de los recursos públicos a las instituciones de asistencia privada, se concentran en la partida 040405003</w:t>
      </w:r>
      <w:r>
        <w:rPr>
          <w:rFonts w:cs="Arial"/>
          <w:color w:val="FF0000"/>
          <w:lang w:val="es-ES"/>
        </w:rPr>
        <w:t xml:space="preserve"> </w:t>
      </w:r>
      <w:r>
        <w:rPr>
          <w:rFonts w:cs="Arial"/>
          <w:lang w:val="es-ES"/>
        </w:rPr>
        <w:t>Ayudas a Instituciones de Asistencia Privada.</w:t>
      </w:r>
    </w:p>
    <w:p w14:paraId="7133CDDA" w14:textId="77777777" w:rsidR="00BF5974" w:rsidRDefault="00BF5974" w:rsidP="00BF5974">
      <w:pPr>
        <w:tabs>
          <w:tab w:val="left" w:pos="426"/>
        </w:tabs>
        <w:rPr>
          <w:rFonts w:cs="Arial"/>
          <w:lang w:val="es-ES"/>
        </w:rPr>
      </w:pPr>
    </w:p>
    <w:p w14:paraId="6B6D27D8" w14:textId="77777777" w:rsidR="00BF5974" w:rsidRDefault="00BF5974" w:rsidP="00BF5974">
      <w:pPr>
        <w:tabs>
          <w:tab w:val="left" w:pos="426"/>
        </w:tabs>
        <w:rPr>
          <w:rFonts w:cs="Arial"/>
          <w:lang w:val="es-ES"/>
        </w:rPr>
      </w:pPr>
      <w:r>
        <w:rPr>
          <w:rFonts w:cs="Arial"/>
          <w:lang w:val="es-ES"/>
        </w:rPr>
        <w:t>Para que un organismo de Asistencia Privada pueda recibir recursos económicos del Gobierno del Estado, deberá cumplir los requisitos de la Ley de Instituciones de Asistencia Privada para el Estado de Colima.</w:t>
      </w:r>
    </w:p>
    <w:p w14:paraId="559E68DA" w14:textId="77777777" w:rsidR="00BF5974" w:rsidRDefault="00BF5974" w:rsidP="00BF5974">
      <w:pPr>
        <w:rPr>
          <w:rFonts w:cs="Arial"/>
          <w:lang w:val="es-ES"/>
        </w:rPr>
      </w:pPr>
    </w:p>
    <w:p w14:paraId="392955E0" w14:textId="77777777" w:rsidR="00BF5974" w:rsidRDefault="00BF5974" w:rsidP="00BF5974">
      <w:pPr>
        <w:rPr>
          <w:rFonts w:cs="Arial"/>
          <w:lang w:val="es-ES"/>
        </w:rPr>
      </w:pPr>
      <w:r>
        <w:rPr>
          <w:rFonts w:cs="Arial"/>
          <w:lang w:val="es-ES"/>
        </w:rPr>
        <w:t xml:space="preserve">En el </w:t>
      </w:r>
      <w:r w:rsidRPr="00105286">
        <w:rPr>
          <w:rFonts w:cs="Arial"/>
          <w:b/>
          <w:bCs/>
          <w:lang w:val="es-ES"/>
        </w:rPr>
        <w:t>A</w:t>
      </w:r>
      <w:bookmarkStart w:id="151" w:name="_Hlk180922454"/>
      <w:r w:rsidRPr="00105286">
        <w:rPr>
          <w:rFonts w:cs="Arial"/>
          <w:b/>
          <w:bCs/>
          <w:lang w:val="es-ES"/>
        </w:rPr>
        <w:t>nexo 7</w:t>
      </w:r>
      <w:r>
        <w:rPr>
          <w:rFonts w:cs="Arial"/>
          <w:lang w:val="es-ES"/>
        </w:rPr>
        <w:t xml:space="preserve"> Asignaciones Presupuestales a Instituciones de Asistencia Privada </w:t>
      </w:r>
      <w:bookmarkEnd w:id="151"/>
      <w:r>
        <w:rPr>
          <w:rFonts w:cs="Arial"/>
          <w:lang w:val="es-ES"/>
        </w:rPr>
        <w:t>del presente Decreto, se detallan las asignaciones presupuestales a Instituciones de Asistencia Privada.</w:t>
      </w:r>
    </w:p>
    <w:p w14:paraId="01D054AF" w14:textId="3BE83156" w:rsidR="00BF5974" w:rsidRDefault="00BF5974" w:rsidP="00BF5974">
      <w:pPr>
        <w:rPr>
          <w:rFonts w:cs="Arial"/>
          <w:lang w:val="es-ES"/>
        </w:rPr>
      </w:pPr>
    </w:p>
    <w:p w14:paraId="55B9751A" w14:textId="46CE3D83" w:rsidR="00105286" w:rsidRDefault="00105286" w:rsidP="00BF5974">
      <w:pPr>
        <w:rPr>
          <w:rFonts w:cs="Arial"/>
          <w:lang w:val="es-ES"/>
        </w:rPr>
      </w:pPr>
    </w:p>
    <w:p w14:paraId="711AA6F9" w14:textId="7AF508A4" w:rsidR="00105286" w:rsidRDefault="00105286" w:rsidP="00BF5974">
      <w:pPr>
        <w:rPr>
          <w:rFonts w:cs="Arial"/>
          <w:lang w:val="es-ES"/>
        </w:rPr>
      </w:pPr>
    </w:p>
    <w:p w14:paraId="304D7D0A" w14:textId="77777777" w:rsidR="00BF5974" w:rsidRDefault="00BF5974" w:rsidP="00BF5974">
      <w:pPr>
        <w:jc w:val="center"/>
        <w:rPr>
          <w:rFonts w:eastAsia="Times New Roman" w:cs="Arial"/>
          <w:b/>
          <w:lang w:val="es-ES"/>
        </w:rPr>
      </w:pPr>
      <w:bookmarkStart w:id="152" w:name="_Toc522869266"/>
      <w:bookmarkStart w:id="153" w:name="_Toc526757481"/>
      <w:bookmarkStart w:id="154" w:name="_Toc22021925"/>
      <w:bookmarkStart w:id="155" w:name="_Toc22983186"/>
      <w:bookmarkStart w:id="156" w:name="_Toc465292957"/>
      <w:bookmarkStart w:id="157" w:name="_Toc465292885"/>
      <w:r>
        <w:rPr>
          <w:rFonts w:eastAsia="Times New Roman" w:cs="Arial"/>
          <w:b/>
          <w:lang w:val="es-ES"/>
        </w:rPr>
        <w:lastRenderedPageBreak/>
        <w:t xml:space="preserve">CAPÍTULO </w:t>
      </w:r>
      <w:bookmarkEnd w:id="152"/>
      <w:bookmarkEnd w:id="153"/>
      <w:bookmarkEnd w:id="154"/>
      <w:bookmarkEnd w:id="155"/>
      <w:r>
        <w:rPr>
          <w:rFonts w:eastAsia="Times New Roman" w:cs="Arial"/>
          <w:b/>
          <w:lang w:val="es-ES"/>
        </w:rPr>
        <w:t>X</w:t>
      </w:r>
    </w:p>
    <w:p w14:paraId="27C2BCB5" w14:textId="77777777" w:rsidR="00BF5974" w:rsidRDefault="00BF5974" w:rsidP="00BF5974">
      <w:pPr>
        <w:keepNext/>
        <w:keepLines/>
        <w:jc w:val="center"/>
        <w:outlineLvl w:val="0"/>
        <w:rPr>
          <w:rFonts w:eastAsia="Times New Roman" w:cs="Arial"/>
          <w:b/>
          <w:szCs w:val="32"/>
          <w:lang w:val="es-ES"/>
        </w:rPr>
      </w:pPr>
      <w:bookmarkStart w:id="158" w:name="_Toc522869267"/>
      <w:bookmarkStart w:id="159" w:name="_Toc526757482"/>
      <w:bookmarkStart w:id="160" w:name="_Toc22021926"/>
      <w:bookmarkStart w:id="161" w:name="_Toc22983187"/>
      <w:r>
        <w:rPr>
          <w:rFonts w:eastAsia="Times New Roman" w:cs="Arial"/>
          <w:b/>
          <w:szCs w:val="32"/>
          <w:lang w:val="es-ES"/>
        </w:rPr>
        <w:t>DE LOS SERVICIOS PERSONALES</w:t>
      </w:r>
      <w:bookmarkEnd w:id="156"/>
      <w:bookmarkEnd w:id="157"/>
      <w:bookmarkEnd w:id="158"/>
      <w:bookmarkEnd w:id="159"/>
      <w:bookmarkEnd w:id="160"/>
      <w:bookmarkEnd w:id="161"/>
    </w:p>
    <w:p w14:paraId="74CE2E96" w14:textId="77777777" w:rsidR="00BF5974" w:rsidRDefault="00BF5974" w:rsidP="00BF5974">
      <w:pPr>
        <w:jc w:val="center"/>
        <w:rPr>
          <w:rFonts w:cs="Arial"/>
          <w:b/>
          <w:lang w:val="es-ES"/>
        </w:rPr>
      </w:pPr>
    </w:p>
    <w:p w14:paraId="24DE3198" w14:textId="75F7F813" w:rsidR="00BF5974" w:rsidRDefault="00BF5974" w:rsidP="00BF5974">
      <w:pPr>
        <w:rPr>
          <w:rFonts w:cs="Arial"/>
          <w:lang w:val="es-ES"/>
        </w:rPr>
      </w:pPr>
      <w:r>
        <w:rPr>
          <w:rFonts w:cs="Arial"/>
          <w:b/>
          <w:lang w:val="es-ES"/>
        </w:rPr>
        <w:t>Artículo 38</w:t>
      </w:r>
      <w:r>
        <w:rPr>
          <w:rFonts w:cs="Arial"/>
          <w:lang w:val="es-ES"/>
        </w:rPr>
        <w:t xml:space="preserve">. En atención a lo dispuesto por el artículo 10 de la Ley de Disciplina Financiera de las Entidades Federativas y los Municipios, la asignación global de recursos para servicios personales aprobada en el presente Presupuesto de Egresos, es </w:t>
      </w:r>
      <w:r w:rsidR="005A4A66">
        <w:rPr>
          <w:rFonts w:cs="Arial"/>
          <w:lang w:val="es-ES"/>
        </w:rPr>
        <w:t xml:space="preserve">de </w:t>
      </w:r>
      <w:r w:rsidR="005A4A66">
        <w:rPr>
          <w:rFonts w:cs="Arial"/>
          <w:b/>
          <w:bCs/>
          <w:lang w:val="es-ES"/>
        </w:rPr>
        <w:t>2,527,759,401</w:t>
      </w:r>
      <w:r>
        <w:rPr>
          <w:rFonts w:cs="Arial"/>
          <w:b/>
          <w:bCs/>
          <w:lang w:val="es-ES"/>
        </w:rPr>
        <w:t xml:space="preserve"> </w:t>
      </w:r>
      <w:r>
        <w:rPr>
          <w:rFonts w:cs="Arial"/>
          <w:lang w:val="es-ES"/>
        </w:rPr>
        <w:t>pesos.</w:t>
      </w:r>
    </w:p>
    <w:p w14:paraId="7B216CDB" w14:textId="77777777" w:rsidR="00BF5974" w:rsidRDefault="00BF5974" w:rsidP="00BF5974">
      <w:pPr>
        <w:rPr>
          <w:rFonts w:cs="Arial"/>
          <w:lang w:val="es-ES"/>
        </w:rPr>
      </w:pPr>
    </w:p>
    <w:p w14:paraId="4C5A0931" w14:textId="77777777" w:rsidR="00BF5974" w:rsidRDefault="00BF5974" w:rsidP="00BF5974">
      <w:pPr>
        <w:rPr>
          <w:rFonts w:cs="Arial"/>
          <w:lang w:val="es-ES"/>
        </w:rPr>
      </w:pPr>
      <w:r>
        <w:rPr>
          <w:rFonts w:cs="Arial"/>
          <w:lang w:val="es-ES"/>
        </w:rPr>
        <w:t>La asignación global de servicios personales aprobada originalmente en el Presupuesto de Egresos no podrá incrementarse durante el Ejercicio Fiscal. Lo anterior, exceptuando el pago de sentencias laborales definitivas emitidas por la autoridad competente y lo señalado por la Ley de Disciplina Financiera.</w:t>
      </w:r>
    </w:p>
    <w:p w14:paraId="351F6B8D" w14:textId="77777777" w:rsidR="00BF5974" w:rsidRDefault="00BF5974" w:rsidP="00BF5974">
      <w:pPr>
        <w:rPr>
          <w:rFonts w:cs="Arial"/>
          <w:lang w:val="es-ES"/>
        </w:rPr>
      </w:pPr>
    </w:p>
    <w:p w14:paraId="116DD665" w14:textId="77777777" w:rsidR="00BF5974" w:rsidRDefault="00BF5974" w:rsidP="00BF5974">
      <w:pPr>
        <w:rPr>
          <w:rFonts w:cs="Arial"/>
          <w:lang w:val="es-ES"/>
        </w:rPr>
      </w:pPr>
      <w:r>
        <w:rPr>
          <w:rFonts w:cs="Arial"/>
          <w:b/>
          <w:lang w:val="es-ES"/>
        </w:rPr>
        <w:t>Artículo 39</w:t>
      </w:r>
      <w:r>
        <w:rPr>
          <w:rFonts w:cs="Arial"/>
          <w:lang w:val="es-ES"/>
        </w:rPr>
        <w:t xml:space="preserve">. Los servidores públicos percibirán las remuneraciones que se determinen en el Tabulador de Sueldos que apruebe la Titular del Ejecutivo, mismo que se publicará como </w:t>
      </w:r>
      <w:r>
        <w:rPr>
          <w:rFonts w:cs="Arial"/>
          <w:bCs/>
          <w:lang w:val="es-ES"/>
        </w:rPr>
        <w:t>Tabuladores de Sueldos del presente Decreto, de acuerdo a lo previsto en el artículo 30</w:t>
      </w:r>
      <w:r>
        <w:rPr>
          <w:rFonts w:cs="Arial"/>
          <w:lang w:val="es-ES"/>
        </w:rPr>
        <w:t xml:space="preserve"> de la Ley que Fija las Bases para las Remuneraciones de los Servidores Públicos del Estado y los Municipios. Lo anterior con excepción de las plazas y horas del magisterio federal.</w:t>
      </w:r>
    </w:p>
    <w:p w14:paraId="3DC68FD2" w14:textId="77777777" w:rsidR="00BF5974" w:rsidRDefault="00BF5974" w:rsidP="00BF5974">
      <w:pPr>
        <w:rPr>
          <w:rFonts w:cs="Arial"/>
          <w:lang w:val="es-ES"/>
        </w:rPr>
      </w:pPr>
    </w:p>
    <w:p w14:paraId="05884ECC" w14:textId="77777777" w:rsidR="00BF5974" w:rsidRDefault="00BF5974" w:rsidP="00BF5974">
      <w:pPr>
        <w:rPr>
          <w:rFonts w:cs="Arial"/>
          <w:bCs/>
          <w:lang w:val="es-ES"/>
        </w:rPr>
      </w:pPr>
      <w:r>
        <w:rPr>
          <w:rFonts w:cs="Arial"/>
          <w:bCs/>
          <w:lang w:val="es-ES"/>
        </w:rPr>
        <w:t>E</w:t>
      </w:r>
      <w:r>
        <w:rPr>
          <w:rFonts w:eastAsia="Times New Roman" w:cs="Arial"/>
        </w:rPr>
        <w:t xml:space="preserve">l </w:t>
      </w:r>
      <w:r>
        <w:rPr>
          <w:rFonts w:cs="Arial"/>
          <w:lang w:val="es-ES"/>
        </w:rPr>
        <w:t xml:space="preserve">número de plazas y horas por tipo de contratación por ente público de </w:t>
      </w:r>
      <w:r>
        <w:rPr>
          <w:rFonts w:eastAsia="Times New Roman" w:cs="Arial"/>
        </w:rPr>
        <w:t xml:space="preserve">la Administración Pública Centralizada del Estado de Colima, se detalla en los documentos que integran el </w:t>
      </w:r>
      <w:r>
        <w:rPr>
          <w:rFonts w:cs="Arial"/>
          <w:bCs/>
          <w:lang w:val="es-ES"/>
        </w:rPr>
        <w:t>Anexo 8 Tabuladores de Sueldos.</w:t>
      </w:r>
    </w:p>
    <w:p w14:paraId="5943A3FA" w14:textId="77777777" w:rsidR="00BF5974" w:rsidRDefault="00BF5974" w:rsidP="00BF5974">
      <w:pPr>
        <w:rPr>
          <w:rFonts w:cs="Arial"/>
          <w:bCs/>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081"/>
      </w:tblGrid>
      <w:tr w:rsidR="00BF5974" w14:paraId="1C118C3E" w14:textId="77777777" w:rsidTr="00BF5974">
        <w:tc>
          <w:tcPr>
            <w:tcW w:w="1276" w:type="dxa"/>
            <w:hideMark/>
          </w:tcPr>
          <w:p w14:paraId="12F68CAF" w14:textId="77777777" w:rsidR="00BF5974" w:rsidRDefault="00BF5974">
            <w:pPr>
              <w:rPr>
                <w:rFonts w:cs="Arial"/>
                <w:b/>
                <w:sz w:val="20"/>
                <w:lang w:val="es-ES" w:eastAsia="en-US"/>
              </w:rPr>
            </w:pPr>
            <w:bookmarkStart w:id="162" w:name="_Hlk87634916"/>
            <w:bookmarkStart w:id="163" w:name="_Hlk180922432"/>
            <w:r>
              <w:rPr>
                <w:rFonts w:cs="Arial"/>
                <w:b/>
                <w:sz w:val="20"/>
                <w:lang w:val="es-ES" w:eastAsia="en-US"/>
              </w:rPr>
              <w:t>Anexo 8.1</w:t>
            </w:r>
          </w:p>
        </w:tc>
        <w:tc>
          <w:tcPr>
            <w:tcW w:w="7081" w:type="dxa"/>
            <w:hideMark/>
          </w:tcPr>
          <w:p w14:paraId="177FC768" w14:textId="77777777" w:rsidR="00BF5974" w:rsidRDefault="00BF5974">
            <w:pPr>
              <w:rPr>
                <w:rFonts w:cs="Arial"/>
                <w:sz w:val="20"/>
                <w:lang w:val="es-ES" w:eastAsia="en-US"/>
              </w:rPr>
            </w:pPr>
            <w:r>
              <w:rPr>
                <w:rFonts w:cs="Arial"/>
                <w:sz w:val="20"/>
                <w:lang w:val="es-ES" w:eastAsia="en-US"/>
              </w:rPr>
              <w:t>Analítico de Plazas y Horas del Poder Ejecutivo Estatal 2025.</w:t>
            </w:r>
          </w:p>
        </w:tc>
      </w:tr>
      <w:tr w:rsidR="00BF5974" w14:paraId="07D92B32" w14:textId="77777777" w:rsidTr="00BF5974">
        <w:tc>
          <w:tcPr>
            <w:tcW w:w="1276" w:type="dxa"/>
            <w:hideMark/>
          </w:tcPr>
          <w:p w14:paraId="683DE77C" w14:textId="77777777" w:rsidR="00BF5974" w:rsidRDefault="00BF5974">
            <w:pPr>
              <w:rPr>
                <w:rFonts w:cs="Arial"/>
                <w:b/>
                <w:sz w:val="20"/>
                <w:lang w:val="es-ES" w:eastAsia="en-US"/>
              </w:rPr>
            </w:pPr>
            <w:r>
              <w:rPr>
                <w:rFonts w:cs="Arial"/>
                <w:b/>
                <w:sz w:val="20"/>
                <w:lang w:val="es-ES" w:eastAsia="en-US"/>
              </w:rPr>
              <w:t>Anexo 8.2</w:t>
            </w:r>
          </w:p>
        </w:tc>
        <w:tc>
          <w:tcPr>
            <w:tcW w:w="7081" w:type="dxa"/>
            <w:hideMark/>
          </w:tcPr>
          <w:p w14:paraId="29E66C65" w14:textId="77777777" w:rsidR="00BF5974" w:rsidRDefault="00BF5974">
            <w:pPr>
              <w:rPr>
                <w:rFonts w:cs="Arial"/>
                <w:sz w:val="20"/>
                <w:lang w:val="es-ES" w:eastAsia="en-US"/>
              </w:rPr>
            </w:pPr>
            <w:r>
              <w:rPr>
                <w:rFonts w:cs="Arial"/>
                <w:sz w:val="20"/>
                <w:lang w:val="es-ES" w:eastAsia="en-US"/>
              </w:rPr>
              <w:t>Tabulador de Sueldos 2025 del Poder Ejecutivo del Estado de Colima.</w:t>
            </w:r>
          </w:p>
        </w:tc>
      </w:tr>
      <w:tr w:rsidR="00BF5974" w14:paraId="5E9DD22A" w14:textId="77777777" w:rsidTr="00BF5974">
        <w:tc>
          <w:tcPr>
            <w:tcW w:w="1276" w:type="dxa"/>
            <w:hideMark/>
          </w:tcPr>
          <w:p w14:paraId="315AE219" w14:textId="77777777" w:rsidR="00BF5974" w:rsidRDefault="00BF5974">
            <w:pPr>
              <w:rPr>
                <w:rFonts w:cs="Arial"/>
                <w:b/>
                <w:sz w:val="20"/>
                <w:lang w:val="es-ES" w:eastAsia="en-US"/>
              </w:rPr>
            </w:pPr>
            <w:r>
              <w:rPr>
                <w:rFonts w:cs="Arial"/>
                <w:b/>
                <w:sz w:val="20"/>
                <w:lang w:val="es-ES" w:eastAsia="en-US"/>
              </w:rPr>
              <w:t>Anexo 8.3</w:t>
            </w:r>
          </w:p>
        </w:tc>
        <w:tc>
          <w:tcPr>
            <w:tcW w:w="7081" w:type="dxa"/>
            <w:hideMark/>
          </w:tcPr>
          <w:p w14:paraId="06A0B71F" w14:textId="77777777" w:rsidR="00BF5974" w:rsidRDefault="00BF5974">
            <w:pPr>
              <w:rPr>
                <w:rFonts w:cs="Arial"/>
                <w:sz w:val="20"/>
                <w:lang w:val="es-ES" w:eastAsia="en-US"/>
              </w:rPr>
            </w:pPr>
            <w:r>
              <w:rPr>
                <w:rFonts w:cs="Arial"/>
                <w:sz w:val="20"/>
                <w:lang w:val="es-ES" w:eastAsia="en-US"/>
              </w:rPr>
              <w:t>Tabulador de Prestaciones 2025 del Poder Ejecutivo del Estado de Colima.</w:t>
            </w:r>
          </w:p>
        </w:tc>
      </w:tr>
      <w:tr w:rsidR="00BF5974" w14:paraId="18327209" w14:textId="77777777" w:rsidTr="00BF5974">
        <w:tc>
          <w:tcPr>
            <w:tcW w:w="1276" w:type="dxa"/>
            <w:hideMark/>
          </w:tcPr>
          <w:p w14:paraId="67946E0C" w14:textId="77777777" w:rsidR="00BF5974" w:rsidRDefault="00BF5974">
            <w:pPr>
              <w:rPr>
                <w:rFonts w:cs="Arial"/>
                <w:b/>
                <w:sz w:val="20"/>
                <w:lang w:val="es-ES" w:eastAsia="en-US"/>
              </w:rPr>
            </w:pPr>
            <w:r>
              <w:rPr>
                <w:rFonts w:cs="Arial"/>
                <w:b/>
                <w:sz w:val="20"/>
                <w:lang w:val="es-ES" w:eastAsia="en-US"/>
              </w:rPr>
              <w:t>Anexo 8.4</w:t>
            </w:r>
          </w:p>
        </w:tc>
        <w:tc>
          <w:tcPr>
            <w:tcW w:w="7081" w:type="dxa"/>
            <w:hideMark/>
          </w:tcPr>
          <w:p w14:paraId="444EA591" w14:textId="77777777" w:rsidR="00BF5974" w:rsidRDefault="00BF5974">
            <w:pPr>
              <w:rPr>
                <w:rFonts w:cs="Arial"/>
                <w:sz w:val="20"/>
                <w:lang w:val="es-ES" w:eastAsia="en-US"/>
              </w:rPr>
            </w:pPr>
            <w:r>
              <w:rPr>
                <w:rFonts w:cs="Arial"/>
                <w:sz w:val="20"/>
                <w:lang w:val="es-ES" w:eastAsia="en-US"/>
              </w:rPr>
              <w:t>Tabulador de Estímulos al Personal 2025 del Poder Ejecutivo del Estado de Colima.</w:t>
            </w:r>
          </w:p>
        </w:tc>
      </w:tr>
      <w:tr w:rsidR="00BF5974" w14:paraId="29C38276" w14:textId="77777777" w:rsidTr="00BF5974">
        <w:tc>
          <w:tcPr>
            <w:tcW w:w="1276" w:type="dxa"/>
            <w:hideMark/>
          </w:tcPr>
          <w:p w14:paraId="624D8C3F" w14:textId="77777777" w:rsidR="00BF5974" w:rsidRDefault="00BF5974">
            <w:pPr>
              <w:rPr>
                <w:rFonts w:cs="Arial"/>
                <w:b/>
                <w:sz w:val="20"/>
                <w:lang w:val="es-ES" w:eastAsia="en-US"/>
              </w:rPr>
            </w:pPr>
            <w:r>
              <w:rPr>
                <w:rFonts w:cs="Arial"/>
                <w:b/>
                <w:sz w:val="20"/>
                <w:lang w:val="es-ES" w:eastAsia="en-US"/>
              </w:rPr>
              <w:t>Anexo 8.5</w:t>
            </w:r>
          </w:p>
        </w:tc>
        <w:tc>
          <w:tcPr>
            <w:tcW w:w="7081" w:type="dxa"/>
            <w:hideMark/>
          </w:tcPr>
          <w:p w14:paraId="540A49F1" w14:textId="77777777" w:rsidR="00BF5974" w:rsidRDefault="00BF5974">
            <w:pPr>
              <w:rPr>
                <w:rFonts w:cs="Arial"/>
                <w:sz w:val="20"/>
                <w:lang w:val="es-ES" w:eastAsia="en-US"/>
              </w:rPr>
            </w:pPr>
            <w:r>
              <w:rPr>
                <w:rFonts w:cs="Arial"/>
                <w:sz w:val="20"/>
                <w:lang w:val="es-ES" w:eastAsia="en-US"/>
              </w:rPr>
              <w:t>Tabulador de Sueldos 2025 del Personal de Educación Pública del Estado de Colima</w:t>
            </w:r>
          </w:p>
        </w:tc>
        <w:bookmarkEnd w:id="162"/>
      </w:tr>
      <w:tr w:rsidR="00BF5974" w14:paraId="21BE29FB" w14:textId="77777777" w:rsidTr="00BF5974">
        <w:tc>
          <w:tcPr>
            <w:tcW w:w="1276" w:type="dxa"/>
            <w:hideMark/>
          </w:tcPr>
          <w:p w14:paraId="4C70AF86" w14:textId="77777777" w:rsidR="00BF5974" w:rsidRDefault="00BF5974">
            <w:pPr>
              <w:rPr>
                <w:rFonts w:cs="Arial"/>
                <w:b/>
                <w:sz w:val="20"/>
                <w:lang w:val="es-ES" w:eastAsia="en-US"/>
              </w:rPr>
            </w:pPr>
            <w:r>
              <w:rPr>
                <w:rFonts w:cs="Arial"/>
                <w:b/>
                <w:sz w:val="20"/>
                <w:lang w:val="es-ES" w:eastAsia="en-US"/>
              </w:rPr>
              <w:t>Anexo 8.6</w:t>
            </w:r>
          </w:p>
        </w:tc>
        <w:tc>
          <w:tcPr>
            <w:tcW w:w="7081" w:type="dxa"/>
            <w:hideMark/>
          </w:tcPr>
          <w:p w14:paraId="1A0A8C89" w14:textId="77777777" w:rsidR="00BF5974" w:rsidRDefault="00BF5974">
            <w:pPr>
              <w:rPr>
                <w:rFonts w:cs="Arial"/>
                <w:sz w:val="20"/>
                <w:lang w:val="es-ES" w:eastAsia="en-US"/>
              </w:rPr>
            </w:pPr>
            <w:r>
              <w:rPr>
                <w:rFonts w:cs="Arial"/>
                <w:sz w:val="20"/>
                <w:lang w:val="es-ES" w:eastAsia="en-US"/>
              </w:rPr>
              <w:t>Total de Plazas y Horas del Magisterio Federal Estimadas para 2025.</w:t>
            </w:r>
          </w:p>
        </w:tc>
      </w:tr>
      <w:tr w:rsidR="00BF5974" w14:paraId="56803A85" w14:textId="77777777" w:rsidTr="00BF5974">
        <w:tc>
          <w:tcPr>
            <w:tcW w:w="1276" w:type="dxa"/>
            <w:hideMark/>
          </w:tcPr>
          <w:p w14:paraId="175D3D3B" w14:textId="77777777" w:rsidR="00BF5974" w:rsidRDefault="00BF5974">
            <w:pPr>
              <w:rPr>
                <w:rFonts w:cs="Arial"/>
                <w:b/>
                <w:sz w:val="20"/>
                <w:lang w:val="es-ES" w:eastAsia="en-US"/>
              </w:rPr>
            </w:pPr>
            <w:r>
              <w:rPr>
                <w:rFonts w:cs="Arial"/>
                <w:b/>
                <w:sz w:val="20"/>
                <w:lang w:val="es-ES" w:eastAsia="en-US"/>
              </w:rPr>
              <w:t>Anexo 8.7</w:t>
            </w:r>
          </w:p>
        </w:tc>
        <w:tc>
          <w:tcPr>
            <w:tcW w:w="7081" w:type="dxa"/>
            <w:hideMark/>
          </w:tcPr>
          <w:p w14:paraId="6F02B900" w14:textId="77777777" w:rsidR="00BF5974" w:rsidRDefault="00BF5974">
            <w:pPr>
              <w:rPr>
                <w:rFonts w:cs="Arial"/>
                <w:sz w:val="20"/>
                <w:lang w:val="es-ES" w:eastAsia="en-US"/>
              </w:rPr>
            </w:pPr>
            <w:r>
              <w:rPr>
                <w:rFonts w:cs="Arial"/>
                <w:sz w:val="20"/>
                <w:lang w:val="es-ES" w:eastAsia="en-US"/>
              </w:rPr>
              <w:t>Tabulador de Sueldos Magisterio Federalizado para 2025.</w:t>
            </w:r>
          </w:p>
        </w:tc>
      </w:tr>
      <w:bookmarkEnd w:id="163"/>
    </w:tbl>
    <w:p w14:paraId="1051F489" w14:textId="77777777" w:rsidR="00BF5974" w:rsidRDefault="00BF5974" w:rsidP="00BF5974">
      <w:pPr>
        <w:rPr>
          <w:rFonts w:cs="Arial"/>
        </w:rPr>
      </w:pPr>
    </w:p>
    <w:p w14:paraId="331ED4AE" w14:textId="77777777" w:rsidR="00BF5974" w:rsidRDefault="00BF5974" w:rsidP="00BF5974">
      <w:pPr>
        <w:rPr>
          <w:rFonts w:cs="Arial"/>
          <w:lang w:val="es-ES"/>
        </w:rPr>
      </w:pPr>
      <w:r>
        <w:rPr>
          <w:rFonts w:cs="Arial"/>
          <w:b/>
          <w:lang w:val="es-ES"/>
        </w:rPr>
        <w:t>Artículo 40</w:t>
      </w:r>
      <w:r>
        <w:rPr>
          <w:rFonts w:cs="Arial"/>
          <w:lang w:val="es-ES"/>
        </w:rPr>
        <w:t>. Para el establecimiento y determinación de criterios que regulen los incrementos salariales, la Subsecretaría de Administración se sujetará a lo previsto en las normas y lineamientos en materia de administración, remuneraciones y desarrollo del personal, y cualquier otra incidencia que modifique la relación jurídico-laboral entre el Estado y sus servidores públicos, incluyendo el control y elaboración de la nómina del personal del Gobierno del Estado, lo anterior con fundamento en el artículo 35, numeral 2, de la Ley Orgánica del Poder Ejecutivo y de la Administración Pública del Estado de Colima; y los artículos 36, 56, 57 y 112 de la Ley de los Trabajadores al Servicio del Gobierno, Ayuntamientos y Organismos Descentralizados del Estado de Colima.</w:t>
      </w:r>
    </w:p>
    <w:p w14:paraId="40D1F7CB" w14:textId="77777777" w:rsidR="00BF5974" w:rsidRDefault="00BF5974" w:rsidP="00BF5974">
      <w:pPr>
        <w:rPr>
          <w:rFonts w:cs="Arial"/>
          <w:lang w:val="es-ES"/>
        </w:rPr>
      </w:pPr>
    </w:p>
    <w:p w14:paraId="521C05C1" w14:textId="77777777" w:rsidR="00BF5974" w:rsidRDefault="00BF5974" w:rsidP="00BF5974">
      <w:pPr>
        <w:rPr>
          <w:rFonts w:cs="Arial"/>
          <w:lang w:val="es-ES"/>
        </w:rPr>
      </w:pPr>
      <w:r>
        <w:rPr>
          <w:rFonts w:cs="Arial"/>
          <w:lang w:val="es-ES"/>
        </w:rPr>
        <w:lastRenderedPageBreak/>
        <w:t>Los Entes Públicos y los Sindicatos establecerán conjuntamente los criterios y los períodos para revisar las prestaciones que disfruten los trabajadores. Las condiciones generales de trabajo de cada Ente Público deberán ser consultadas a la Subsecretaría de Administración.</w:t>
      </w:r>
    </w:p>
    <w:p w14:paraId="1815A33E" w14:textId="292F8A73" w:rsidR="00BF5974" w:rsidRDefault="00BF5974" w:rsidP="00BF5974">
      <w:pPr>
        <w:rPr>
          <w:rFonts w:cs="Arial"/>
          <w:lang w:val="es-ES"/>
        </w:rPr>
      </w:pPr>
    </w:p>
    <w:p w14:paraId="11244B1B" w14:textId="77777777" w:rsidR="00BF5974" w:rsidRDefault="00BF5974" w:rsidP="00BF5974">
      <w:pPr>
        <w:rPr>
          <w:rFonts w:cs="Arial"/>
          <w:lang w:val="es-ES"/>
        </w:rPr>
      </w:pPr>
      <w:r>
        <w:rPr>
          <w:rFonts w:cs="Arial"/>
          <w:b/>
          <w:lang w:val="es-ES"/>
        </w:rPr>
        <w:t xml:space="preserve">Artículo 41. </w:t>
      </w:r>
      <w:r>
        <w:rPr>
          <w:rFonts w:cs="Arial"/>
          <w:lang w:val="es-ES"/>
        </w:rPr>
        <w:t>Con cargo a la</w:t>
      </w:r>
      <w:r>
        <w:rPr>
          <w:rFonts w:cs="Arial"/>
          <w:b/>
          <w:lang w:val="es-ES"/>
        </w:rPr>
        <w:t xml:space="preserve"> </w:t>
      </w:r>
      <w:r>
        <w:rPr>
          <w:rFonts w:cs="Arial"/>
          <w:lang w:val="es-ES"/>
        </w:rPr>
        <w:t xml:space="preserve">partida </w:t>
      </w:r>
      <w:r>
        <w:rPr>
          <w:rFonts w:cs="Arial"/>
          <w:bCs/>
          <w:lang w:val="es-ES"/>
        </w:rPr>
        <w:t>Previsiones Salariales y Económicas</w:t>
      </w:r>
      <w:r>
        <w:rPr>
          <w:rFonts w:cs="Arial"/>
          <w:lang w:val="es-ES"/>
        </w:rPr>
        <w:t xml:space="preserve"> del Ejercicio Fiscal 2025, que es destinada a cubrir incrementos en percepciones de los servidores públicos, de conformidad por lo dispuesto en el artículo 10 fracción II de la Ley de Disciplina Financiera; se autorizan los siguientes recursos:</w:t>
      </w:r>
    </w:p>
    <w:p w14:paraId="38620C86" w14:textId="77777777" w:rsidR="00BF5974" w:rsidRDefault="00BF5974" w:rsidP="00BF5974">
      <w:pPr>
        <w:keepNext/>
        <w:keepLines/>
        <w:outlineLvl w:val="2"/>
        <w:rPr>
          <w:rFonts w:eastAsia="Calibri" w:cs="Arial"/>
          <w:b/>
          <w:szCs w:val="24"/>
          <w:lang w:val="es-ES" w:eastAsia="en-US"/>
        </w:rPr>
      </w:pPr>
    </w:p>
    <w:p w14:paraId="24872F9F" w14:textId="77777777" w:rsidR="00BF5974" w:rsidRDefault="00BF5974" w:rsidP="00BF5974">
      <w:pPr>
        <w:jc w:val="center"/>
        <w:rPr>
          <w:rFonts w:eastAsia="Times New Roman" w:cs="Arial"/>
          <w:b/>
          <w:sz w:val="20"/>
          <w:lang w:val="es-ES"/>
        </w:rPr>
      </w:pPr>
      <w:bookmarkStart w:id="164" w:name="_Toc522869270"/>
      <w:bookmarkStart w:id="165" w:name="_Toc526757485"/>
      <w:bookmarkStart w:id="166" w:name="_Toc22021932"/>
      <w:bookmarkStart w:id="167" w:name="_Toc22983189"/>
      <w:r>
        <w:rPr>
          <w:rFonts w:eastAsia="Times New Roman" w:cs="Arial"/>
          <w:b/>
          <w:sz w:val="20"/>
          <w:lang w:val="es-ES"/>
        </w:rPr>
        <w:t>Tabla 28. Previsiones Salariales y Económicas</w:t>
      </w:r>
      <w:bookmarkEnd w:id="164"/>
      <w:bookmarkEnd w:id="165"/>
      <w:bookmarkEnd w:id="166"/>
      <w:bookmarkEnd w:id="167"/>
    </w:p>
    <w:tbl>
      <w:tblPr>
        <w:tblW w:w="7376" w:type="dxa"/>
        <w:jc w:val="center"/>
        <w:tblCellMar>
          <w:left w:w="70" w:type="dxa"/>
          <w:right w:w="70" w:type="dxa"/>
        </w:tblCellMar>
        <w:tblLook w:val="04A0" w:firstRow="1" w:lastRow="0" w:firstColumn="1" w:lastColumn="0" w:noHBand="0" w:noVBand="1"/>
      </w:tblPr>
      <w:tblGrid>
        <w:gridCol w:w="1142"/>
        <w:gridCol w:w="4545"/>
        <w:gridCol w:w="1689"/>
      </w:tblGrid>
      <w:tr w:rsidR="00BF5974" w14:paraId="215B62A1" w14:textId="77777777" w:rsidTr="00BF5974">
        <w:trPr>
          <w:trHeight w:val="510"/>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713AB06A" w14:textId="77777777" w:rsidR="00BF5974" w:rsidRDefault="00BF5974">
            <w:pPr>
              <w:spacing w:line="256" w:lineRule="auto"/>
              <w:jc w:val="center"/>
              <w:rPr>
                <w:rFonts w:eastAsia="Times New Roman" w:cs="Arial"/>
                <w:b/>
                <w:bCs/>
                <w:sz w:val="20"/>
                <w:lang w:val="es-ES" w:eastAsia="en-US"/>
              </w:rPr>
            </w:pPr>
            <w:r>
              <w:rPr>
                <w:rFonts w:eastAsia="Times New Roman" w:cs="Arial"/>
                <w:b/>
                <w:bCs/>
                <w:sz w:val="20"/>
                <w:lang w:val="es-ES" w:eastAsia="en-US"/>
              </w:rPr>
              <w:t>Partida</w:t>
            </w:r>
          </w:p>
        </w:tc>
        <w:tc>
          <w:tcPr>
            <w:tcW w:w="4683" w:type="dxa"/>
            <w:tcBorders>
              <w:top w:val="single" w:sz="4" w:space="0" w:color="auto"/>
              <w:left w:val="nil"/>
              <w:bottom w:val="single" w:sz="4" w:space="0" w:color="auto"/>
              <w:right w:val="single" w:sz="4" w:space="0" w:color="auto"/>
            </w:tcBorders>
            <w:vAlign w:val="center"/>
            <w:hideMark/>
          </w:tcPr>
          <w:p w14:paraId="738EC18C" w14:textId="77777777" w:rsidR="00BF5974" w:rsidRDefault="00BF5974">
            <w:pPr>
              <w:spacing w:line="256" w:lineRule="auto"/>
              <w:jc w:val="center"/>
              <w:rPr>
                <w:rFonts w:eastAsia="Times New Roman" w:cs="Arial"/>
                <w:b/>
                <w:bCs/>
                <w:sz w:val="20"/>
                <w:lang w:val="es-ES" w:eastAsia="en-US"/>
              </w:rPr>
            </w:pPr>
            <w:r>
              <w:rPr>
                <w:rFonts w:eastAsia="Times New Roman" w:cs="Arial"/>
                <w:b/>
                <w:bCs/>
                <w:sz w:val="20"/>
                <w:lang w:val="es-ES" w:eastAsia="en-US"/>
              </w:rPr>
              <w:t>Concepto</w:t>
            </w:r>
          </w:p>
        </w:tc>
        <w:tc>
          <w:tcPr>
            <w:tcW w:w="1701" w:type="dxa"/>
            <w:tcBorders>
              <w:top w:val="single" w:sz="4" w:space="0" w:color="auto"/>
              <w:left w:val="nil"/>
              <w:bottom w:val="single" w:sz="4" w:space="0" w:color="auto"/>
              <w:right w:val="single" w:sz="4" w:space="0" w:color="auto"/>
            </w:tcBorders>
            <w:vAlign w:val="center"/>
            <w:hideMark/>
          </w:tcPr>
          <w:p w14:paraId="46A41F8E" w14:textId="77777777" w:rsidR="00BF5974" w:rsidRDefault="00BF5974">
            <w:pPr>
              <w:spacing w:line="256" w:lineRule="auto"/>
              <w:jc w:val="center"/>
              <w:rPr>
                <w:rFonts w:eastAsia="Times New Roman" w:cs="Arial"/>
                <w:b/>
                <w:bCs/>
                <w:sz w:val="20"/>
                <w:lang w:val="es-ES" w:eastAsia="en-US"/>
              </w:rPr>
            </w:pPr>
            <w:r>
              <w:rPr>
                <w:rFonts w:eastAsia="Times New Roman" w:cs="Arial"/>
                <w:b/>
                <w:bCs/>
                <w:sz w:val="20"/>
                <w:lang w:val="es-ES" w:eastAsia="en-US"/>
              </w:rPr>
              <w:t>Asignación Presupuestal</w:t>
            </w:r>
          </w:p>
        </w:tc>
      </w:tr>
      <w:tr w:rsidR="00BF5974" w14:paraId="7E64F5D4" w14:textId="77777777" w:rsidTr="00BF5974">
        <w:trPr>
          <w:trHeight w:val="262"/>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49E37E5F" w14:textId="77777777" w:rsidR="00BF5974" w:rsidRDefault="00BF5974">
            <w:pPr>
              <w:spacing w:line="256" w:lineRule="auto"/>
              <w:jc w:val="center"/>
              <w:rPr>
                <w:rFonts w:eastAsia="Times New Roman" w:cs="Arial"/>
                <w:bCs/>
                <w:sz w:val="20"/>
                <w:lang w:val="es-ES" w:eastAsia="en-US"/>
              </w:rPr>
            </w:pPr>
            <w:r>
              <w:rPr>
                <w:rFonts w:eastAsia="Times New Roman" w:cs="Arial"/>
                <w:sz w:val="20"/>
                <w:lang w:val="es-ES" w:eastAsia="en-US"/>
              </w:rPr>
              <w:t>010601001</w:t>
            </w:r>
          </w:p>
        </w:tc>
        <w:tc>
          <w:tcPr>
            <w:tcW w:w="4683" w:type="dxa"/>
            <w:tcBorders>
              <w:top w:val="single" w:sz="4" w:space="0" w:color="auto"/>
              <w:left w:val="nil"/>
              <w:bottom w:val="single" w:sz="4" w:space="0" w:color="auto"/>
              <w:right w:val="single" w:sz="4" w:space="0" w:color="auto"/>
            </w:tcBorders>
            <w:vAlign w:val="center"/>
            <w:hideMark/>
          </w:tcPr>
          <w:p w14:paraId="3773F215" w14:textId="77777777" w:rsidR="00BF5974" w:rsidRDefault="00BF5974">
            <w:pPr>
              <w:spacing w:line="256" w:lineRule="auto"/>
              <w:rPr>
                <w:rFonts w:eastAsia="Times New Roman" w:cs="Arial"/>
                <w:bCs/>
                <w:sz w:val="20"/>
                <w:lang w:val="es-ES" w:eastAsia="en-US"/>
              </w:rPr>
            </w:pPr>
            <w:r>
              <w:rPr>
                <w:rFonts w:eastAsia="Times New Roman" w:cs="Arial"/>
                <w:bCs/>
                <w:sz w:val="20"/>
                <w:lang w:val="es-ES" w:eastAsia="en-US"/>
              </w:rPr>
              <w:t>Previsiones Salariales y Económicas.</w:t>
            </w:r>
          </w:p>
        </w:tc>
        <w:tc>
          <w:tcPr>
            <w:tcW w:w="1701" w:type="dxa"/>
            <w:tcBorders>
              <w:top w:val="single" w:sz="4" w:space="0" w:color="auto"/>
              <w:left w:val="nil"/>
              <w:bottom w:val="single" w:sz="4" w:space="0" w:color="auto"/>
              <w:right w:val="single" w:sz="4" w:space="0" w:color="auto"/>
            </w:tcBorders>
            <w:vAlign w:val="center"/>
            <w:hideMark/>
          </w:tcPr>
          <w:p w14:paraId="761AD4DC" w14:textId="77777777" w:rsidR="00BF5974" w:rsidRDefault="00BF5974">
            <w:pPr>
              <w:spacing w:line="256" w:lineRule="auto"/>
              <w:jc w:val="right"/>
              <w:rPr>
                <w:rFonts w:eastAsia="Times New Roman" w:cs="Arial"/>
                <w:color w:val="000000"/>
                <w:sz w:val="20"/>
                <w:szCs w:val="20"/>
                <w:lang w:val="es-ES" w:eastAsia="en-US"/>
              </w:rPr>
            </w:pPr>
            <w:r>
              <w:rPr>
                <w:rFonts w:cs="Arial"/>
                <w:color w:val="000000"/>
                <w:sz w:val="20"/>
                <w:szCs w:val="20"/>
                <w:lang w:val="es-ES" w:eastAsia="en-US"/>
              </w:rPr>
              <w:t xml:space="preserve">        60,523,956 </w:t>
            </w:r>
          </w:p>
        </w:tc>
      </w:tr>
    </w:tbl>
    <w:p w14:paraId="0237B43D" w14:textId="29C07EF3" w:rsidR="00BF5974" w:rsidRDefault="00BF5974" w:rsidP="00BF5974">
      <w:pPr>
        <w:rPr>
          <w:rFonts w:cs="Arial"/>
          <w:b/>
          <w:lang w:val="es-ES"/>
        </w:rPr>
      </w:pPr>
    </w:p>
    <w:p w14:paraId="2E0A4321" w14:textId="77777777" w:rsidR="00BF5974" w:rsidRDefault="00BF5974" w:rsidP="00BF5974">
      <w:pPr>
        <w:rPr>
          <w:rFonts w:cs="Arial"/>
          <w:lang w:val="es-ES"/>
        </w:rPr>
      </w:pPr>
      <w:r>
        <w:rPr>
          <w:rFonts w:cs="Arial"/>
          <w:b/>
          <w:lang w:val="es-ES"/>
        </w:rPr>
        <w:t>Artículo 42.</w:t>
      </w:r>
      <w:r>
        <w:rPr>
          <w:rFonts w:cs="Arial"/>
          <w:lang w:val="es-ES"/>
        </w:rPr>
        <w:t xml:space="preserve"> Las erogaciones previstas en el Ejercicio Fiscal 2025 para Pensiones son las siguientes:</w:t>
      </w:r>
    </w:p>
    <w:p w14:paraId="53928A5B" w14:textId="77777777" w:rsidR="00BF5974" w:rsidRDefault="00BF5974" w:rsidP="00BF5974">
      <w:pPr>
        <w:keepNext/>
        <w:keepLines/>
        <w:outlineLvl w:val="2"/>
        <w:rPr>
          <w:rFonts w:eastAsia="Calibri" w:cs="Arial"/>
          <w:b/>
          <w:szCs w:val="24"/>
          <w:lang w:val="es-ES" w:eastAsia="en-US"/>
        </w:rPr>
      </w:pPr>
    </w:p>
    <w:p w14:paraId="37D2B11B" w14:textId="77777777" w:rsidR="00BF5974" w:rsidRDefault="00BF5974" w:rsidP="00BF5974">
      <w:pPr>
        <w:jc w:val="center"/>
        <w:rPr>
          <w:rFonts w:eastAsia="Times New Roman" w:cs="Arial"/>
          <w:b/>
          <w:sz w:val="20"/>
          <w:lang w:val="es-ES"/>
        </w:rPr>
      </w:pPr>
      <w:bookmarkStart w:id="168" w:name="_Toc522869274"/>
      <w:bookmarkStart w:id="169" w:name="_Toc526757486"/>
      <w:bookmarkStart w:id="170" w:name="_Toc22021933"/>
      <w:bookmarkStart w:id="171" w:name="_Toc22983190"/>
      <w:r>
        <w:rPr>
          <w:rFonts w:eastAsia="Times New Roman" w:cs="Arial"/>
          <w:b/>
          <w:sz w:val="20"/>
          <w:lang w:val="es-ES"/>
        </w:rPr>
        <w:t>Tabla 29. Erogaciones Previstas para Pensiones</w:t>
      </w:r>
      <w:bookmarkEnd w:id="168"/>
      <w:bookmarkEnd w:id="169"/>
      <w:bookmarkEnd w:id="170"/>
      <w:bookmarkEnd w:id="17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677"/>
        <w:gridCol w:w="1707"/>
      </w:tblGrid>
      <w:tr w:rsidR="00BF5974" w14:paraId="1BA30124" w14:textId="77777777" w:rsidTr="00BF5974">
        <w:trPr>
          <w:trHeight w:val="227"/>
          <w:jc w:val="center"/>
        </w:trPr>
        <w:tc>
          <w:tcPr>
            <w:tcW w:w="1218" w:type="dxa"/>
            <w:tcBorders>
              <w:top w:val="single" w:sz="4" w:space="0" w:color="auto"/>
              <w:left w:val="single" w:sz="4" w:space="0" w:color="auto"/>
              <w:bottom w:val="single" w:sz="4" w:space="0" w:color="auto"/>
              <w:right w:val="single" w:sz="4" w:space="0" w:color="auto"/>
            </w:tcBorders>
            <w:vAlign w:val="center"/>
            <w:hideMark/>
          </w:tcPr>
          <w:p w14:paraId="28E12FCD" w14:textId="77777777" w:rsidR="00BF5974" w:rsidRDefault="00BF5974">
            <w:pPr>
              <w:spacing w:line="256" w:lineRule="auto"/>
              <w:jc w:val="center"/>
              <w:rPr>
                <w:rFonts w:cs="Arial"/>
                <w:b/>
                <w:sz w:val="20"/>
                <w:lang w:val="es-ES" w:eastAsia="en-US"/>
              </w:rPr>
            </w:pPr>
            <w:r>
              <w:rPr>
                <w:rFonts w:cs="Arial"/>
                <w:b/>
                <w:sz w:val="20"/>
                <w:lang w:val="es-ES" w:eastAsia="en-US"/>
              </w:rPr>
              <w:t>Partida</w:t>
            </w:r>
          </w:p>
        </w:tc>
        <w:tc>
          <w:tcPr>
            <w:tcW w:w="4677" w:type="dxa"/>
            <w:tcBorders>
              <w:top w:val="single" w:sz="4" w:space="0" w:color="auto"/>
              <w:left w:val="single" w:sz="4" w:space="0" w:color="auto"/>
              <w:bottom w:val="single" w:sz="4" w:space="0" w:color="auto"/>
              <w:right w:val="single" w:sz="4" w:space="0" w:color="auto"/>
            </w:tcBorders>
            <w:vAlign w:val="center"/>
            <w:hideMark/>
          </w:tcPr>
          <w:p w14:paraId="61F3A0E4" w14:textId="77777777" w:rsidR="00BF5974" w:rsidRDefault="00BF5974">
            <w:pPr>
              <w:spacing w:line="256" w:lineRule="auto"/>
              <w:jc w:val="center"/>
              <w:rPr>
                <w:rFonts w:cs="Arial"/>
                <w:b/>
                <w:sz w:val="20"/>
                <w:lang w:val="es-ES" w:eastAsia="en-US"/>
              </w:rPr>
            </w:pPr>
            <w:r>
              <w:rPr>
                <w:rFonts w:cs="Arial"/>
                <w:b/>
                <w:sz w:val="20"/>
                <w:lang w:val="es-ES" w:eastAsia="en-US"/>
              </w:rPr>
              <w:t>Concepto</w:t>
            </w:r>
          </w:p>
        </w:tc>
        <w:tc>
          <w:tcPr>
            <w:tcW w:w="1707" w:type="dxa"/>
            <w:tcBorders>
              <w:top w:val="single" w:sz="4" w:space="0" w:color="auto"/>
              <w:left w:val="single" w:sz="4" w:space="0" w:color="auto"/>
              <w:bottom w:val="single" w:sz="4" w:space="0" w:color="auto"/>
              <w:right w:val="single" w:sz="4" w:space="0" w:color="auto"/>
            </w:tcBorders>
            <w:vAlign w:val="center"/>
            <w:hideMark/>
          </w:tcPr>
          <w:p w14:paraId="5A70275D" w14:textId="77777777" w:rsidR="00BF5974" w:rsidRDefault="00BF5974">
            <w:pPr>
              <w:spacing w:line="256" w:lineRule="auto"/>
              <w:jc w:val="center"/>
              <w:rPr>
                <w:rFonts w:cs="Arial"/>
                <w:b/>
                <w:sz w:val="20"/>
                <w:lang w:val="es-ES" w:eastAsia="en-US"/>
              </w:rPr>
            </w:pPr>
            <w:r>
              <w:rPr>
                <w:rFonts w:cs="Arial"/>
                <w:b/>
                <w:sz w:val="20"/>
                <w:lang w:val="es-ES" w:eastAsia="en-US"/>
              </w:rPr>
              <w:t>Asignación Presupuestal</w:t>
            </w:r>
          </w:p>
        </w:tc>
      </w:tr>
      <w:tr w:rsidR="00BF5974" w14:paraId="77B6E3F1" w14:textId="77777777" w:rsidTr="00BF5974">
        <w:trPr>
          <w:trHeight w:val="227"/>
          <w:jc w:val="center"/>
        </w:trPr>
        <w:tc>
          <w:tcPr>
            <w:tcW w:w="1218" w:type="dxa"/>
            <w:tcBorders>
              <w:top w:val="single" w:sz="4" w:space="0" w:color="auto"/>
              <w:left w:val="single" w:sz="4" w:space="0" w:color="auto"/>
              <w:bottom w:val="single" w:sz="4" w:space="0" w:color="auto"/>
              <w:right w:val="single" w:sz="4" w:space="0" w:color="auto"/>
            </w:tcBorders>
            <w:vAlign w:val="center"/>
            <w:hideMark/>
          </w:tcPr>
          <w:p w14:paraId="576F7A33" w14:textId="77777777" w:rsidR="00BF5974" w:rsidRDefault="00BF5974">
            <w:pPr>
              <w:spacing w:line="256" w:lineRule="auto"/>
              <w:jc w:val="center"/>
              <w:rPr>
                <w:rFonts w:cs="Arial"/>
                <w:color w:val="FF0000"/>
                <w:sz w:val="20"/>
                <w:lang w:val="es-ES" w:eastAsia="en-US"/>
              </w:rPr>
            </w:pPr>
            <w:r>
              <w:rPr>
                <w:rFonts w:cs="Arial"/>
                <w:sz w:val="20"/>
                <w:lang w:val="es-ES" w:eastAsia="en-US"/>
              </w:rPr>
              <w:t>040501001</w:t>
            </w:r>
          </w:p>
        </w:tc>
        <w:tc>
          <w:tcPr>
            <w:tcW w:w="4677" w:type="dxa"/>
            <w:tcBorders>
              <w:top w:val="single" w:sz="4" w:space="0" w:color="auto"/>
              <w:left w:val="single" w:sz="4" w:space="0" w:color="auto"/>
              <w:bottom w:val="single" w:sz="4" w:space="0" w:color="auto"/>
              <w:right w:val="single" w:sz="4" w:space="0" w:color="auto"/>
            </w:tcBorders>
            <w:vAlign w:val="center"/>
            <w:hideMark/>
          </w:tcPr>
          <w:p w14:paraId="6AAFD23D" w14:textId="77777777" w:rsidR="00BF5974" w:rsidRDefault="00BF5974">
            <w:pPr>
              <w:spacing w:line="256" w:lineRule="auto"/>
              <w:rPr>
                <w:rFonts w:cs="Arial"/>
                <w:sz w:val="20"/>
                <w:lang w:val="es-ES" w:eastAsia="en-US"/>
              </w:rPr>
            </w:pPr>
            <w:r>
              <w:rPr>
                <w:rFonts w:cs="Arial"/>
                <w:sz w:val="20"/>
                <w:lang w:val="es-ES" w:eastAsia="en-US"/>
              </w:rPr>
              <w:t>Pensiones Magisterio.</w:t>
            </w:r>
          </w:p>
        </w:tc>
        <w:tc>
          <w:tcPr>
            <w:tcW w:w="1707" w:type="dxa"/>
            <w:tcBorders>
              <w:top w:val="single" w:sz="4" w:space="0" w:color="auto"/>
              <w:left w:val="single" w:sz="4" w:space="0" w:color="auto"/>
              <w:bottom w:val="single" w:sz="4" w:space="0" w:color="auto"/>
              <w:right w:val="single" w:sz="4" w:space="0" w:color="auto"/>
            </w:tcBorders>
            <w:vAlign w:val="center"/>
            <w:hideMark/>
          </w:tcPr>
          <w:p w14:paraId="76215496"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 xml:space="preserve">      123,758,715 </w:t>
            </w:r>
          </w:p>
        </w:tc>
      </w:tr>
      <w:tr w:rsidR="00BF5974" w14:paraId="13068F96" w14:textId="77777777" w:rsidTr="00BF5974">
        <w:trPr>
          <w:trHeight w:val="227"/>
          <w:jc w:val="center"/>
        </w:trPr>
        <w:tc>
          <w:tcPr>
            <w:tcW w:w="1218" w:type="dxa"/>
            <w:tcBorders>
              <w:top w:val="single" w:sz="4" w:space="0" w:color="auto"/>
              <w:left w:val="single" w:sz="4" w:space="0" w:color="auto"/>
              <w:bottom w:val="single" w:sz="4" w:space="0" w:color="auto"/>
              <w:right w:val="single" w:sz="4" w:space="0" w:color="auto"/>
            </w:tcBorders>
            <w:vAlign w:val="center"/>
            <w:hideMark/>
          </w:tcPr>
          <w:p w14:paraId="3E5392A8" w14:textId="77777777" w:rsidR="00BF5974" w:rsidRDefault="00BF5974">
            <w:pPr>
              <w:spacing w:line="256" w:lineRule="auto"/>
              <w:jc w:val="center"/>
              <w:rPr>
                <w:rFonts w:cs="Arial"/>
                <w:color w:val="FF0000"/>
                <w:sz w:val="20"/>
                <w:lang w:val="es-ES" w:eastAsia="en-US"/>
              </w:rPr>
            </w:pPr>
            <w:r>
              <w:rPr>
                <w:rFonts w:cs="Arial"/>
                <w:sz w:val="20"/>
                <w:lang w:val="es-ES" w:eastAsia="en-US"/>
              </w:rPr>
              <w:t>040501002</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72E057C" w14:textId="77777777" w:rsidR="00BF5974" w:rsidRDefault="00BF5974">
            <w:pPr>
              <w:spacing w:line="256" w:lineRule="auto"/>
              <w:rPr>
                <w:rFonts w:cs="Arial"/>
                <w:sz w:val="20"/>
                <w:lang w:val="es-ES" w:eastAsia="en-US"/>
              </w:rPr>
            </w:pPr>
            <w:r>
              <w:rPr>
                <w:rFonts w:cs="Arial"/>
                <w:sz w:val="20"/>
                <w:lang w:val="es-ES" w:eastAsia="en-US"/>
              </w:rPr>
              <w:t>Pensiones Burocracia.</w:t>
            </w:r>
          </w:p>
        </w:tc>
        <w:tc>
          <w:tcPr>
            <w:tcW w:w="1707" w:type="dxa"/>
            <w:tcBorders>
              <w:top w:val="single" w:sz="4" w:space="0" w:color="auto"/>
              <w:left w:val="single" w:sz="4" w:space="0" w:color="auto"/>
              <w:bottom w:val="single" w:sz="4" w:space="0" w:color="auto"/>
              <w:right w:val="single" w:sz="4" w:space="0" w:color="auto"/>
            </w:tcBorders>
            <w:vAlign w:val="center"/>
            <w:hideMark/>
          </w:tcPr>
          <w:p w14:paraId="2B952058"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 xml:space="preserve">      227,865,393 </w:t>
            </w:r>
          </w:p>
        </w:tc>
      </w:tr>
      <w:tr w:rsidR="00BF5974" w14:paraId="5093A66A" w14:textId="77777777" w:rsidTr="00BF5974">
        <w:trPr>
          <w:trHeight w:val="227"/>
          <w:jc w:val="center"/>
        </w:trPr>
        <w:tc>
          <w:tcPr>
            <w:tcW w:w="1218" w:type="dxa"/>
            <w:tcBorders>
              <w:top w:val="single" w:sz="4" w:space="0" w:color="auto"/>
              <w:left w:val="single" w:sz="4" w:space="0" w:color="auto"/>
              <w:bottom w:val="single" w:sz="4" w:space="0" w:color="auto"/>
              <w:right w:val="single" w:sz="4" w:space="0" w:color="auto"/>
            </w:tcBorders>
            <w:vAlign w:val="center"/>
          </w:tcPr>
          <w:p w14:paraId="7DBF2922" w14:textId="77777777" w:rsidR="00BF5974" w:rsidRDefault="00BF5974">
            <w:pPr>
              <w:spacing w:line="256" w:lineRule="auto"/>
              <w:jc w:val="center"/>
              <w:rPr>
                <w:rFonts w:cs="Arial"/>
                <w:sz w:val="20"/>
                <w:lang w:val="es-ES" w:eastAsia="en-US"/>
              </w:rPr>
            </w:pPr>
          </w:p>
        </w:tc>
        <w:tc>
          <w:tcPr>
            <w:tcW w:w="4677" w:type="dxa"/>
            <w:tcBorders>
              <w:top w:val="single" w:sz="4" w:space="0" w:color="auto"/>
              <w:left w:val="single" w:sz="4" w:space="0" w:color="auto"/>
              <w:bottom w:val="single" w:sz="4" w:space="0" w:color="auto"/>
              <w:right w:val="single" w:sz="4" w:space="0" w:color="auto"/>
            </w:tcBorders>
            <w:vAlign w:val="center"/>
            <w:hideMark/>
          </w:tcPr>
          <w:p w14:paraId="2999EDAC" w14:textId="77777777" w:rsidR="00BF5974" w:rsidRDefault="00BF5974">
            <w:pPr>
              <w:spacing w:line="256" w:lineRule="auto"/>
              <w:jc w:val="center"/>
              <w:rPr>
                <w:rFonts w:cs="Arial"/>
                <w:sz w:val="20"/>
                <w:lang w:val="es-ES" w:eastAsia="en-US"/>
              </w:rPr>
            </w:pPr>
            <w:r>
              <w:rPr>
                <w:rFonts w:cs="Arial"/>
                <w:b/>
                <w:sz w:val="20"/>
                <w:lang w:val="es-ES" w:eastAsia="en-US"/>
              </w:rPr>
              <w:t>Total</w:t>
            </w:r>
          </w:p>
        </w:tc>
        <w:tc>
          <w:tcPr>
            <w:tcW w:w="1707" w:type="dxa"/>
            <w:tcBorders>
              <w:top w:val="single" w:sz="4" w:space="0" w:color="auto"/>
              <w:left w:val="single" w:sz="4" w:space="0" w:color="auto"/>
              <w:bottom w:val="single" w:sz="4" w:space="0" w:color="auto"/>
              <w:right w:val="single" w:sz="4" w:space="0" w:color="auto"/>
            </w:tcBorders>
            <w:vAlign w:val="center"/>
            <w:hideMark/>
          </w:tcPr>
          <w:p w14:paraId="113F9DC1" w14:textId="77777777" w:rsidR="00BF5974" w:rsidRDefault="00BF5974">
            <w:pPr>
              <w:spacing w:line="256" w:lineRule="auto"/>
              <w:jc w:val="right"/>
              <w:rPr>
                <w:rFonts w:cs="Arial"/>
                <w:b/>
                <w:bCs/>
                <w:sz w:val="20"/>
                <w:szCs w:val="20"/>
                <w:lang w:val="es-ES" w:eastAsia="en-US"/>
              </w:rPr>
            </w:pPr>
            <w:r>
              <w:rPr>
                <w:rFonts w:cs="Arial"/>
                <w:b/>
                <w:bCs/>
                <w:color w:val="000000"/>
                <w:sz w:val="20"/>
                <w:szCs w:val="20"/>
                <w:lang w:val="es-ES" w:eastAsia="en-US"/>
              </w:rPr>
              <w:t xml:space="preserve">      351,624,108 </w:t>
            </w:r>
          </w:p>
        </w:tc>
      </w:tr>
    </w:tbl>
    <w:p w14:paraId="4B641E47" w14:textId="213FEE31" w:rsidR="00BF5974" w:rsidRDefault="00BF5974" w:rsidP="00BF5974">
      <w:pPr>
        <w:rPr>
          <w:rFonts w:cs="Arial"/>
          <w:lang w:val="es-ES"/>
        </w:rPr>
      </w:pPr>
    </w:p>
    <w:p w14:paraId="2CA1A0AC" w14:textId="77777777" w:rsidR="00105286" w:rsidRDefault="00105286" w:rsidP="00BF5974">
      <w:pPr>
        <w:rPr>
          <w:rFonts w:cs="Arial"/>
          <w:lang w:val="es-ES"/>
        </w:rPr>
      </w:pPr>
    </w:p>
    <w:p w14:paraId="5AEA679A" w14:textId="77777777" w:rsidR="00BF5974" w:rsidRDefault="00BF5974" w:rsidP="00BF5974">
      <w:pPr>
        <w:rPr>
          <w:rFonts w:cs="Arial"/>
          <w:lang w:val="es-ES"/>
        </w:rPr>
      </w:pPr>
      <w:r>
        <w:rPr>
          <w:rFonts w:cs="Arial"/>
          <w:b/>
          <w:lang w:val="es-ES"/>
        </w:rPr>
        <w:t>Artículo 43.</w:t>
      </w:r>
      <w:r>
        <w:rPr>
          <w:rFonts w:cs="Arial"/>
          <w:lang w:val="es-ES"/>
        </w:rPr>
        <w:t xml:space="preserve"> Las erogaciones previstas en el Ejercicio Fiscal 2025 para Jubilaciones son las siguientes:</w:t>
      </w:r>
    </w:p>
    <w:p w14:paraId="6D9568AB" w14:textId="77777777" w:rsidR="00BF5974" w:rsidRDefault="00BF5974" w:rsidP="00BF5974">
      <w:pPr>
        <w:keepNext/>
        <w:keepLines/>
        <w:outlineLvl w:val="2"/>
        <w:rPr>
          <w:rFonts w:eastAsia="Calibri" w:cs="Arial"/>
          <w:b/>
          <w:szCs w:val="24"/>
          <w:lang w:val="es-ES" w:eastAsia="en-US"/>
        </w:rPr>
      </w:pPr>
    </w:p>
    <w:p w14:paraId="17DD4D47" w14:textId="77777777" w:rsidR="00BF5974" w:rsidRDefault="00BF5974" w:rsidP="00BF5974">
      <w:pPr>
        <w:jc w:val="center"/>
        <w:rPr>
          <w:rFonts w:eastAsia="Times New Roman" w:cs="Arial"/>
          <w:b/>
          <w:sz w:val="20"/>
          <w:lang w:val="es-ES"/>
        </w:rPr>
      </w:pPr>
      <w:bookmarkStart w:id="172" w:name="_Toc522869275"/>
      <w:bookmarkStart w:id="173" w:name="_Toc526757487"/>
      <w:bookmarkStart w:id="174" w:name="_Toc22021934"/>
      <w:bookmarkStart w:id="175" w:name="_Toc22983191"/>
      <w:r>
        <w:rPr>
          <w:rFonts w:eastAsia="Times New Roman" w:cs="Arial"/>
          <w:b/>
          <w:sz w:val="20"/>
          <w:lang w:val="es-ES"/>
        </w:rPr>
        <w:t>Tabla 30. Erogaciones Previstas para Jubilaciones</w:t>
      </w:r>
      <w:bookmarkEnd w:id="172"/>
      <w:bookmarkEnd w:id="173"/>
      <w:bookmarkEnd w:id="174"/>
      <w:bookmarkEnd w:id="1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770"/>
        <w:gridCol w:w="1843"/>
      </w:tblGrid>
      <w:tr w:rsidR="00105286" w:rsidRPr="00105286" w14:paraId="5AB8CBBB" w14:textId="77777777" w:rsidTr="00BF5974">
        <w:trPr>
          <w:trHeight w:val="227"/>
          <w:jc w:val="center"/>
        </w:trPr>
        <w:tc>
          <w:tcPr>
            <w:tcW w:w="1218" w:type="dxa"/>
            <w:tcBorders>
              <w:top w:val="single" w:sz="4" w:space="0" w:color="auto"/>
              <w:left w:val="single" w:sz="4" w:space="0" w:color="auto"/>
              <w:bottom w:val="single" w:sz="4" w:space="0" w:color="auto"/>
              <w:right w:val="single" w:sz="4" w:space="0" w:color="auto"/>
            </w:tcBorders>
            <w:vAlign w:val="center"/>
            <w:hideMark/>
          </w:tcPr>
          <w:p w14:paraId="1FEA58AA" w14:textId="77777777" w:rsidR="00BF5974" w:rsidRPr="00105286" w:rsidRDefault="00BF5974">
            <w:pPr>
              <w:spacing w:line="256" w:lineRule="auto"/>
              <w:jc w:val="center"/>
              <w:rPr>
                <w:rFonts w:cs="Arial"/>
                <w:b/>
                <w:sz w:val="20"/>
                <w:lang w:val="es-ES" w:eastAsia="en-US"/>
              </w:rPr>
            </w:pPr>
            <w:r w:rsidRPr="00105286">
              <w:rPr>
                <w:rFonts w:cs="Arial"/>
                <w:b/>
                <w:sz w:val="20"/>
                <w:lang w:val="es-ES" w:eastAsia="en-US"/>
              </w:rPr>
              <w:t>Partida</w:t>
            </w:r>
          </w:p>
        </w:tc>
        <w:tc>
          <w:tcPr>
            <w:tcW w:w="4770" w:type="dxa"/>
            <w:tcBorders>
              <w:top w:val="single" w:sz="4" w:space="0" w:color="auto"/>
              <w:left w:val="single" w:sz="4" w:space="0" w:color="auto"/>
              <w:bottom w:val="single" w:sz="4" w:space="0" w:color="auto"/>
              <w:right w:val="single" w:sz="4" w:space="0" w:color="auto"/>
            </w:tcBorders>
            <w:vAlign w:val="center"/>
            <w:hideMark/>
          </w:tcPr>
          <w:p w14:paraId="7C582A40" w14:textId="77777777" w:rsidR="00BF5974" w:rsidRPr="00105286" w:rsidRDefault="00BF5974">
            <w:pPr>
              <w:spacing w:line="256" w:lineRule="auto"/>
              <w:jc w:val="center"/>
              <w:rPr>
                <w:rFonts w:cs="Arial"/>
                <w:b/>
                <w:sz w:val="20"/>
                <w:lang w:val="es-ES" w:eastAsia="en-US"/>
              </w:rPr>
            </w:pPr>
            <w:r w:rsidRPr="00105286">
              <w:rPr>
                <w:rFonts w:cs="Arial"/>
                <w:b/>
                <w:sz w:val="20"/>
                <w:lang w:val="es-ES" w:eastAsia="en-US"/>
              </w:rPr>
              <w:t>Concepto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59D7CD" w14:textId="77777777" w:rsidR="00BF5974" w:rsidRPr="00105286" w:rsidRDefault="00BF5974">
            <w:pPr>
              <w:spacing w:line="256" w:lineRule="auto"/>
              <w:jc w:val="center"/>
              <w:rPr>
                <w:rFonts w:cs="Arial"/>
                <w:b/>
                <w:sz w:val="20"/>
                <w:lang w:val="es-ES" w:eastAsia="en-US"/>
              </w:rPr>
            </w:pPr>
            <w:r w:rsidRPr="00105286">
              <w:rPr>
                <w:rFonts w:cs="Arial"/>
                <w:b/>
                <w:sz w:val="20"/>
                <w:lang w:val="es-ES" w:eastAsia="en-US"/>
              </w:rPr>
              <w:t>Asignación Presupuestal</w:t>
            </w:r>
          </w:p>
        </w:tc>
      </w:tr>
      <w:tr w:rsidR="00105286" w:rsidRPr="00105286" w14:paraId="53ED6CB1" w14:textId="77777777" w:rsidTr="00BF5974">
        <w:trPr>
          <w:trHeight w:val="227"/>
          <w:jc w:val="center"/>
        </w:trPr>
        <w:tc>
          <w:tcPr>
            <w:tcW w:w="1218" w:type="dxa"/>
            <w:tcBorders>
              <w:top w:val="single" w:sz="4" w:space="0" w:color="auto"/>
              <w:left w:val="single" w:sz="4" w:space="0" w:color="auto"/>
              <w:bottom w:val="single" w:sz="4" w:space="0" w:color="auto"/>
              <w:right w:val="single" w:sz="4" w:space="0" w:color="auto"/>
            </w:tcBorders>
            <w:vAlign w:val="center"/>
            <w:hideMark/>
          </w:tcPr>
          <w:p w14:paraId="7E6CB339" w14:textId="77777777" w:rsidR="00BF5974" w:rsidRPr="00105286" w:rsidRDefault="00BF5974">
            <w:pPr>
              <w:spacing w:line="256" w:lineRule="auto"/>
              <w:jc w:val="center"/>
              <w:rPr>
                <w:rFonts w:cs="Arial"/>
                <w:sz w:val="20"/>
                <w:lang w:val="es-ES" w:eastAsia="en-US"/>
              </w:rPr>
            </w:pPr>
            <w:r w:rsidRPr="00105286">
              <w:rPr>
                <w:rFonts w:cs="Arial"/>
                <w:sz w:val="20"/>
                <w:lang w:val="es-ES" w:eastAsia="en-US"/>
              </w:rPr>
              <w:t>040502001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2B24A04C" w14:textId="77777777" w:rsidR="00BF5974" w:rsidRPr="00105286" w:rsidRDefault="00BF5974">
            <w:pPr>
              <w:spacing w:line="256" w:lineRule="auto"/>
              <w:rPr>
                <w:rFonts w:cs="Arial"/>
                <w:sz w:val="20"/>
                <w:lang w:val="es-ES" w:eastAsia="en-US"/>
              </w:rPr>
            </w:pPr>
            <w:r w:rsidRPr="00105286">
              <w:rPr>
                <w:rFonts w:cs="Arial"/>
                <w:sz w:val="20"/>
                <w:lang w:val="es-ES" w:eastAsia="en-US"/>
              </w:rPr>
              <w:t>Jubilaciones Magisterio.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265090" w14:textId="77777777" w:rsidR="00BF5974" w:rsidRPr="00105286" w:rsidRDefault="00BF5974">
            <w:pPr>
              <w:spacing w:line="256" w:lineRule="auto"/>
              <w:jc w:val="right"/>
              <w:rPr>
                <w:rFonts w:cs="Arial"/>
                <w:sz w:val="20"/>
                <w:szCs w:val="20"/>
                <w:lang w:val="es-ES" w:eastAsia="en-US"/>
              </w:rPr>
            </w:pPr>
            <w:r w:rsidRPr="00105286">
              <w:rPr>
                <w:rFonts w:cs="Arial"/>
                <w:sz w:val="20"/>
                <w:szCs w:val="20"/>
                <w:lang w:val="es-ES" w:eastAsia="en-US"/>
              </w:rPr>
              <w:t xml:space="preserve">      329,984,003 </w:t>
            </w:r>
          </w:p>
        </w:tc>
      </w:tr>
      <w:tr w:rsidR="00105286" w:rsidRPr="00105286" w14:paraId="2AF5F890" w14:textId="77777777" w:rsidTr="00BF5974">
        <w:trPr>
          <w:trHeight w:val="227"/>
          <w:jc w:val="center"/>
        </w:trPr>
        <w:tc>
          <w:tcPr>
            <w:tcW w:w="1218" w:type="dxa"/>
            <w:tcBorders>
              <w:top w:val="single" w:sz="4" w:space="0" w:color="auto"/>
              <w:left w:val="single" w:sz="4" w:space="0" w:color="auto"/>
              <w:bottom w:val="single" w:sz="4" w:space="0" w:color="auto"/>
              <w:right w:val="single" w:sz="4" w:space="0" w:color="auto"/>
            </w:tcBorders>
            <w:vAlign w:val="center"/>
            <w:hideMark/>
          </w:tcPr>
          <w:p w14:paraId="566FADF9" w14:textId="77777777" w:rsidR="00BF5974" w:rsidRPr="00105286" w:rsidRDefault="00BF5974">
            <w:pPr>
              <w:spacing w:line="256" w:lineRule="auto"/>
              <w:jc w:val="center"/>
              <w:rPr>
                <w:rFonts w:cs="Arial"/>
                <w:sz w:val="20"/>
                <w:lang w:val="es-ES" w:eastAsia="en-US"/>
              </w:rPr>
            </w:pPr>
            <w:r w:rsidRPr="00105286">
              <w:rPr>
                <w:rFonts w:cs="Arial"/>
                <w:sz w:val="20"/>
                <w:lang w:val="es-ES" w:eastAsia="en-US"/>
              </w:rPr>
              <w:t>040502002</w:t>
            </w:r>
          </w:p>
        </w:tc>
        <w:tc>
          <w:tcPr>
            <w:tcW w:w="4770" w:type="dxa"/>
            <w:tcBorders>
              <w:top w:val="single" w:sz="4" w:space="0" w:color="auto"/>
              <w:left w:val="single" w:sz="4" w:space="0" w:color="auto"/>
              <w:bottom w:val="single" w:sz="4" w:space="0" w:color="auto"/>
              <w:right w:val="single" w:sz="4" w:space="0" w:color="auto"/>
            </w:tcBorders>
            <w:vAlign w:val="center"/>
            <w:hideMark/>
          </w:tcPr>
          <w:p w14:paraId="157203F9" w14:textId="77777777" w:rsidR="00BF5974" w:rsidRPr="00105286" w:rsidRDefault="00BF5974">
            <w:pPr>
              <w:spacing w:line="256" w:lineRule="auto"/>
              <w:rPr>
                <w:rFonts w:cs="Arial"/>
                <w:sz w:val="20"/>
                <w:lang w:val="es-ES" w:eastAsia="en-US"/>
              </w:rPr>
            </w:pPr>
            <w:r w:rsidRPr="00105286">
              <w:rPr>
                <w:rFonts w:cs="Arial"/>
                <w:sz w:val="20"/>
                <w:lang w:val="es-ES" w:eastAsia="en-US"/>
              </w:rPr>
              <w:t>Jubilaciones Burocracia.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0F2B1E" w14:textId="77777777" w:rsidR="00BF5974" w:rsidRPr="00105286" w:rsidRDefault="00BF5974">
            <w:pPr>
              <w:spacing w:line="256" w:lineRule="auto"/>
              <w:jc w:val="right"/>
              <w:rPr>
                <w:rFonts w:cs="Arial"/>
                <w:sz w:val="20"/>
                <w:szCs w:val="20"/>
                <w:lang w:val="es-ES" w:eastAsia="en-US"/>
              </w:rPr>
            </w:pPr>
            <w:r w:rsidRPr="00105286">
              <w:rPr>
                <w:rFonts w:cs="Arial"/>
                <w:sz w:val="20"/>
                <w:szCs w:val="20"/>
                <w:lang w:val="es-ES" w:eastAsia="en-US"/>
              </w:rPr>
              <w:t xml:space="preserve">      574,983,322 </w:t>
            </w:r>
          </w:p>
        </w:tc>
      </w:tr>
      <w:tr w:rsidR="00105286" w:rsidRPr="00105286" w14:paraId="00D9DC23" w14:textId="77777777" w:rsidTr="00BF5974">
        <w:trPr>
          <w:trHeight w:val="227"/>
          <w:jc w:val="center"/>
        </w:trPr>
        <w:tc>
          <w:tcPr>
            <w:tcW w:w="1218" w:type="dxa"/>
            <w:tcBorders>
              <w:top w:val="single" w:sz="4" w:space="0" w:color="auto"/>
              <w:left w:val="single" w:sz="4" w:space="0" w:color="auto"/>
              <w:bottom w:val="single" w:sz="4" w:space="0" w:color="auto"/>
              <w:right w:val="single" w:sz="4" w:space="0" w:color="auto"/>
            </w:tcBorders>
            <w:vAlign w:val="center"/>
          </w:tcPr>
          <w:p w14:paraId="394D7DE9" w14:textId="77777777" w:rsidR="00BF5974" w:rsidRPr="00105286" w:rsidRDefault="00BF5974">
            <w:pPr>
              <w:spacing w:line="256" w:lineRule="auto"/>
              <w:jc w:val="center"/>
              <w:rPr>
                <w:rFonts w:cs="Arial"/>
                <w:sz w:val="20"/>
                <w:lang w:val="es-ES" w:eastAsia="en-US"/>
              </w:rPr>
            </w:pPr>
          </w:p>
        </w:tc>
        <w:tc>
          <w:tcPr>
            <w:tcW w:w="4770" w:type="dxa"/>
            <w:tcBorders>
              <w:top w:val="single" w:sz="4" w:space="0" w:color="auto"/>
              <w:left w:val="single" w:sz="4" w:space="0" w:color="auto"/>
              <w:bottom w:val="single" w:sz="4" w:space="0" w:color="auto"/>
              <w:right w:val="single" w:sz="4" w:space="0" w:color="auto"/>
            </w:tcBorders>
            <w:vAlign w:val="center"/>
            <w:hideMark/>
          </w:tcPr>
          <w:p w14:paraId="6CE42610" w14:textId="77777777" w:rsidR="00BF5974" w:rsidRPr="00105286" w:rsidRDefault="00BF5974">
            <w:pPr>
              <w:spacing w:line="256" w:lineRule="auto"/>
              <w:jc w:val="center"/>
              <w:rPr>
                <w:rFonts w:cs="Arial"/>
                <w:sz w:val="20"/>
                <w:lang w:val="es-ES" w:eastAsia="en-US"/>
              </w:rPr>
            </w:pPr>
            <w:r w:rsidRPr="00105286">
              <w:rPr>
                <w:rFonts w:cs="Arial"/>
                <w:b/>
                <w:sz w:val="20"/>
                <w:lang w:val="es-ES" w:eastAsia="en-US"/>
              </w:rPr>
              <w:t>Total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952C87" w14:textId="77777777" w:rsidR="00BF5974" w:rsidRPr="00105286" w:rsidRDefault="00BF5974">
            <w:pPr>
              <w:spacing w:line="256" w:lineRule="auto"/>
              <w:jc w:val="right"/>
              <w:rPr>
                <w:rFonts w:cs="Arial"/>
                <w:b/>
                <w:bCs/>
                <w:sz w:val="20"/>
                <w:lang w:val="es-ES" w:eastAsia="en-US"/>
              </w:rPr>
            </w:pPr>
            <w:r w:rsidRPr="00105286">
              <w:rPr>
                <w:rFonts w:cs="Arial"/>
                <w:b/>
                <w:bCs/>
                <w:sz w:val="20"/>
                <w:szCs w:val="20"/>
                <w:lang w:val="es-ES" w:eastAsia="en-US"/>
              </w:rPr>
              <w:t xml:space="preserve">      904,967,325 </w:t>
            </w:r>
          </w:p>
        </w:tc>
      </w:tr>
    </w:tbl>
    <w:p w14:paraId="40DEDAD2" w14:textId="77777777" w:rsidR="00BF5974" w:rsidRDefault="00BF5974" w:rsidP="00BF5974">
      <w:pPr>
        <w:rPr>
          <w:rFonts w:cs="Arial"/>
          <w:lang w:val="es-ES"/>
        </w:rPr>
      </w:pPr>
    </w:p>
    <w:p w14:paraId="407D754B" w14:textId="6AD1C2DC" w:rsidR="00BF5974" w:rsidRDefault="00BF5974" w:rsidP="00BF5974">
      <w:pPr>
        <w:rPr>
          <w:rFonts w:cs="Arial"/>
          <w:lang w:val="es-ES"/>
        </w:rPr>
      </w:pPr>
      <w:r>
        <w:rPr>
          <w:rFonts w:cs="Arial"/>
          <w:b/>
          <w:lang w:val="es-ES"/>
        </w:rPr>
        <w:t xml:space="preserve">Artículo 44. </w:t>
      </w:r>
      <w:r>
        <w:rPr>
          <w:rFonts w:cs="Arial"/>
          <w:lang w:val="es-ES"/>
        </w:rPr>
        <w:t xml:space="preserve">Las aportaciones estimadas al </w:t>
      </w:r>
      <w:r>
        <w:rPr>
          <w:rFonts w:cs="Arial"/>
          <w:bCs/>
          <w:lang w:val="es-ES"/>
        </w:rPr>
        <w:t>Instituto de Pensiones de los Servidores Públicos del Estado (IPECOL)</w:t>
      </w:r>
      <w:r>
        <w:rPr>
          <w:rFonts w:cs="Arial"/>
          <w:lang w:val="es-ES"/>
        </w:rPr>
        <w:t xml:space="preserve"> del Ejercicio Fiscal 2025, de acuerdo a lo que establece la Ley de Pensiones de los Servidores Públicos del Estado de Colima, son las siguientes:</w:t>
      </w:r>
    </w:p>
    <w:p w14:paraId="0C2D68E9" w14:textId="77777777" w:rsidR="00972897" w:rsidRDefault="00972897" w:rsidP="00BF5974">
      <w:pPr>
        <w:rPr>
          <w:rFonts w:cs="Arial"/>
          <w:lang w:val="es-ES"/>
        </w:rPr>
      </w:pPr>
    </w:p>
    <w:p w14:paraId="761CD95E" w14:textId="77777777" w:rsidR="00BF5974" w:rsidRDefault="00BF5974" w:rsidP="00BF5974">
      <w:pPr>
        <w:jc w:val="center"/>
        <w:rPr>
          <w:rFonts w:eastAsia="Times New Roman" w:cs="Arial"/>
          <w:b/>
          <w:sz w:val="20"/>
          <w:lang w:val="es-ES"/>
        </w:rPr>
      </w:pPr>
      <w:bookmarkStart w:id="176" w:name="_Toc22021935"/>
      <w:bookmarkStart w:id="177" w:name="_Toc22983192"/>
      <w:r>
        <w:rPr>
          <w:rFonts w:eastAsia="Times New Roman" w:cs="Arial"/>
          <w:b/>
          <w:sz w:val="20"/>
          <w:lang w:val="es-ES"/>
        </w:rPr>
        <w:t xml:space="preserve">Tabla 31. Aportaciones al </w:t>
      </w:r>
      <w:bookmarkEnd w:id="176"/>
      <w:bookmarkEnd w:id="177"/>
      <w:r>
        <w:rPr>
          <w:rFonts w:eastAsia="Times New Roman" w:cs="Arial"/>
          <w:b/>
          <w:sz w:val="20"/>
          <w:lang w:val="es-ES"/>
        </w:rPr>
        <w:t>IPECOL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6046"/>
        <w:gridCol w:w="1553"/>
      </w:tblGrid>
      <w:tr w:rsidR="00BF5974" w14:paraId="17561FC1" w14:textId="77777777" w:rsidTr="00BF5974">
        <w:trPr>
          <w:trHeight w:val="227"/>
          <w:jc w:val="center"/>
        </w:trPr>
        <w:tc>
          <w:tcPr>
            <w:tcW w:w="1218" w:type="dxa"/>
            <w:tcBorders>
              <w:top w:val="single" w:sz="4" w:space="0" w:color="auto"/>
              <w:left w:val="single" w:sz="4" w:space="0" w:color="auto"/>
              <w:bottom w:val="single" w:sz="4" w:space="0" w:color="auto"/>
              <w:right w:val="single" w:sz="4" w:space="0" w:color="auto"/>
            </w:tcBorders>
            <w:vAlign w:val="center"/>
            <w:hideMark/>
          </w:tcPr>
          <w:p w14:paraId="4BCBD09A" w14:textId="77777777" w:rsidR="00BF5974" w:rsidRDefault="00BF5974">
            <w:pPr>
              <w:spacing w:line="256" w:lineRule="auto"/>
              <w:jc w:val="center"/>
              <w:rPr>
                <w:rFonts w:cs="Arial"/>
                <w:b/>
                <w:sz w:val="18"/>
                <w:szCs w:val="20"/>
                <w:lang w:val="es-ES" w:eastAsia="en-US"/>
              </w:rPr>
            </w:pPr>
            <w:r>
              <w:rPr>
                <w:rFonts w:cs="Arial"/>
                <w:b/>
                <w:sz w:val="18"/>
                <w:szCs w:val="20"/>
                <w:lang w:val="es-ES" w:eastAsia="en-US"/>
              </w:rPr>
              <w:t>Partida</w:t>
            </w:r>
          </w:p>
        </w:tc>
        <w:tc>
          <w:tcPr>
            <w:tcW w:w="6046" w:type="dxa"/>
            <w:tcBorders>
              <w:top w:val="single" w:sz="4" w:space="0" w:color="auto"/>
              <w:left w:val="single" w:sz="4" w:space="0" w:color="auto"/>
              <w:bottom w:val="single" w:sz="4" w:space="0" w:color="auto"/>
              <w:right w:val="single" w:sz="4" w:space="0" w:color="auto"/>
            </w:tcBorders>
            <w:vAlign w:val="center"/>
            <w:hideMark/>
          </w:tcPr>
          <w:p w14:paraId="650E7BAF" w14:textId="77777777" w:rsidR="00BF5974" w:rsidRDefault="00BF5974">
            <w:pPr>
              <w:spacing w:line="256" w:lineRule="auto"/>
              <w:jc w:val="center"/>
              <w:rPr>
                <w:rFonts w:cs="Arial"/>
                <w:b/>
                <w:sz w:val="18"/>
                <w:szCs w:val="20"/>
                <w:lang w:val="es-ES" w:eastAsia="en-US"/>
              </w:rPr>
            </w:pPr>
            <w:r>
              <w:rPr>
                <w:rFonts w:cs="Arial"/>
                <w:b/>
                <w:sz w:val="18"/>
                <w:szCs w:val="20"/>
                <w:lang w:val="es-ES" w:eastAsia="en-US"/>
              </w:rPr>
              <w:t>Concepto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7ABDD4F" w14:textId="77777777" w:rsidR="00BF5974" w:rsidRDefault="00BF5974">
            <w:pPr>
              <w:spacing w:line="256" w:lineRule="auto"/>
              <w:jc w:val="center"/>
              <w:rPr>
                <w:rFonts w:cs="Arial"/>
                <w:b/>
                <w:sz w:val="18"/>
                <w:szCs w:val="20"/>
                <w:lang w:val="es-ES" w:eastAsia="en-US"/>
              </w:rPr>
            </w:pPr>
            <w:r>
              <w:rPr>
                <w:rFonts w:cs="Arial"/>
                <w:b/>
                <w:sz w:val="18"/>
                <w:szCs w:val="20"/>
                <w:lang w:val="es-ES" w:eastAsia="en-US"/>
              </w:rPr>
              <w:t>Asignación Presupuestal</w:t>
            </w:r>
          </w:p>
        </w:tc>
      </w:tr>
      <w:tr w:rsidR="00BF5974" w14:paraId="62E4ECC0" w14:textId="77777777" w:rsidTr="00BF5974">
        <w:trPr>
          <w:trHeight w:val="227"/>
          <w:jc w:val="center"/>
        </w:trPr>
        <w:tc>
          <w:tcPr>
            <w:tcW w:w="1218" w:type="dxa"/>
            <w:tcBorders>
              <w:top w:val="single" w:sz="4" w:space="0" w:color="auto"/>
              <w:left w:val="single" w:sz="4" w:space="0" w:color="auto"/>
              <w:bottom w:val="single" w:sz="4" w:space="0" w:color="auto"/>
              <w:right w:val="single" w:sz="4" w:space="0" w:color="auto"/>
            </w:tcBorders>
            <w:vAlign w:val="center"/>
            <w:hideMark/>
          </w:tcPr>
          <w:p w14:paraId="5E0CF2EC" w14:textId="77777777" w:rsidR="00BF5974" w:rsidRDefault="00BF5974">
            <w:pPr>
              <w:spacing w:line="256" w:lineRule="auto"/>
              <w:jc w:val="center"/>
              <w:rPr>
                <w:rFonts w:cs="Arial"/>
                <w:color w:val="FF0000"/>
                <w:sz w:val="18"/>
                <w:szCs w:val="20"/>
                <w:lang w:val="es-ES" w:eastAsia="en-US"/>
              </w:rPr>
            </w:pPr>
            <w:r>
              <w:rPr>
                <w:rFonts w:cs="Arial"/>
                <w:sz w:val="18"/>
                <w:szCs w:val="20"/>
                <w:lang w:val="es-ES" w:eastAsia="en-US"/>
              </w:rPr>
              <w:lastRenderedPageBreak/>
              <w:t>040701001</w:t>
            </w:r>
          </w:p>
        </w:tc>
        <w:tc>
          <w:tcPr>
            <w:tcW w:w="6046" w:type="dxa"/>
            <w:tcBorders>
              <w:top w:val="single" w:sz="4" w:space="0" w:color="auto"/>
              <w:left w:val="single" w:sz="4" w:space="0" w:color="auto"/>
              <w:bottom w:val="single" w:sz="4" w:space="0" w:color="auto"/>
              <w:right w:val="single" w:sz="4" w:space="0" w:color="auto"/>
            </w:tcBorders>
            <w:vAlign w:val="center"/>
            <w:hideMark/>
          </w:tcPr>
          <w:p w14:paraId="31D03056" w14:textId="77777777" w:rsidR="00BF5974" w:rsidRDefault="00BF5974">
            <w:pPr>
              <w:spacing w:line="256" w:lineRule="auto"/>
              <w:rPr>
                <w:rFonts w:cs="Arial"/>
                <w:sz w:val="18"/>
                <w:szCs w:val="20"/>
                <w:lang w:val="es-ES" w:eastAsia="en-US"/>
              </w:rPr>
            </w:pPr>
            <w:r>
              <w:rPr>
                <w:rFonts w:cs="Arial"/>
                <w:sz w:val="18"/>
                <w:szCs w:val="20"/>
                <w:lang w:val="es-ES" w:eastAsia="en-US"/>
              </w:rPr>
              <w:t>Aportaciones diferenciadas del Poder Ejecutivo Estatal al Instituto de Pensiones de los Servidores Públicos del Estado.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ADB1C99" w14:textId="77777777" w:rsidR="00BF5974" w:rsidRDefault="00BF5974">
            <w:pPr>
              <w:spacing w:line="256" w:lineRule="auto"/>
              <w:jc w:val="right"/>
              <w:rPr>
                <w:rFonts w:cs="Arial"/>
                <w:sz w:val="18"/>
                <w:szCs w:val="20"/>
                <w:lang w:val="es-ES" w:eastAsia="en-US"/>
              </w:rPr>
            </w:pPr>
            <w:r>
              <w:rPr>
                <w:rFonts w:cs="Arial"/>
                <w:color w:val="000000"/>
                <w:sz w:val="18"/>
                <w:szCs w:val="18"/>
                <w:lang w:val="es-ES" w:eastAsia="en-US"/>
              </w:rPr>
              <w:t xml:space="preserve">360,410,448 </w:t>
            </w:r>
          </w:p>
        </w:tc>
      </w:tr>
      <w:tr w:rsidR="00BF5974" w14:paraId="70C49E07" w14:textId="77777777" w:rsidTr="00BF5974">
        <w:trPr>
          <w:trHeight w:val="227"/>
          <w:jc w:val="center"/>
        </w:trPr>
        <w:tc>
          <w:tcPr>
            <w:tcW w:w="1218" w:type="dxa"/>
            <w:tcBorders>
              <w:top w:val="single" w:sz="4" w:space="0" w:color="auto"/>
              <w:left w:val="single" w:sz="4" w:space="0" w:color="auto"/>
              <w:bottom w:val="single" w:sz="4" w:space="0" w:color="auto"/>
              <w:right w:val="single" w:sz="4" w:space="0" w:color="auto"/>
            </w:tcBorders>
            <w:vAlign w:val="center"/>
            <w:hideMark/>
          </w:tcPr>
          <w:p w14:paraId="035B736C" w14:textId="77777777" w:rsidR="00BF5974" w:rsidRDefault="00BF5974">
            <w:pPr>
              <w:spacing w:line="256" w:lineRule="auto"/>
              <w:jc w:val="center"/>
              <w:rPr>
                <w:rFonts w:cs="Arial"/>
                <w:color w:val="FF0000"/>
                <w:sz w:val="18"/>
                <w:szCs w:val="20"/>
                <w:lang w:val="es-ES" w:eastAsia="en-US"/>
              </w:rPr>
            </w:pPr>
            <w:r>
              <w:rPr>
                <w:rFonts w:cs="Arial"/>
                <w:sz w:val="18"/>
                <w:szCs w:val="20"/>
                <w:lang w:val="es-ES" w:eastAsia="en-US"/>
              </w:rPr>
              <w:t>040701002</w:t>
            </w:r>
          </w:p>
        </w:tc>
        <w:tc>
          <w:tcPr>
            <w:tcW w:w="6046" w:type="dxa"/>
            <w:tcBorders>
              <w:top w:val="single" w:sz="4" w:space="0" w:color="auto"/>
              <w:left w:val="single" w:sz="4" w:space="0" w:color="auto"/>
              <w:bottom w:val="single" w:sz="4" w:space="0" w:color="auto"/>
              <w:right w:val="single" w:sz="4" w:space="0" w:color="auto"/>
            </w:tcBorders>
            <w:vAlign w:val="center"/>
            <w:hideMark/>
          </w:tcPr>
          <w:p w14:paraId="66679866" w14:textId="77777777" w:rsidR="00BF5974" w:rsidRDefault="00BF5974">
            <w:pPr>
              <w:spacing w:line="256" w:lineRule="auto"/>
              <w:rPr>
                <w:rFonts w:cs="Arial"/>
                <w:sz w:val="18"/>
                <w:szCs w:val="20"/>
                <w:lang w:val="es-ES" w:eastAsia="en-US"/>
              </w:rPr>
            </w:pPr>
            <w:r>
              <w:rPr>
                <w:rFonts w:cs="Arial"/>
                <w:sz w:val="18"/>
                <w:szCs w:val="20"/>
                <w:lang w:val="es-ES" w:eastAsia="en-US"/>
              </w:rPr>
              <w:t>Aportaciones extraordinarias al Instituto de Pensiones de los Servidores Públicos del Estado.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F4E7AAA" w14:textId="77777777" w:rsidR="00BF5974" w:rsidRDefault="00BF5974">
            <w:pPr>
              <w:spacing w:line="256" w:lineRule="auto"/>
              <w:jc w:val="right"/>
              <w:rPr>
                <w:rFonts w:cs="Arial"/>
                <w:sz w:val="18"/>
                <w:szCs w:val="20"/>
                <w:lang w:val="es-ES" w:eastAsia="en-US"/>
              </w:rPr>
            </w:pPr>
            <w:r>
              <w:rPr>
                <w:rFonts w:cs="Arial"/>
                <w:color w:val="000000"/>
                <w:sz w:val="18"/>
                <w:szCs w:val="18"/>
                <w:lang w:val="es-ES" w:eastAsia="en-US"/>
              </w:rPr>
              <w:t xml:space="preserve">200,000 </w:t>
            </w:r>
          </w:p>
        </w:tc>
      </w:tr>
      <w:tr w:rsidR="00BF5974" w14:paraId="77F1813A" w14:textId="77777777" w:rsidTr="00BF5974">
        <w:trPr>
          <w:trHeight w:val="227"/>
          <w:jc w:val="center"/>
        </w:trPr>
        <w:tc>
          <w:tcPr>
            <w:tcW w:w="1218" w:type="dxa"/>
            <w:tcBorders>
              <w:top w:val="single" w:sz="4" w:space="0" w:color="auto"/>
              <w:left w:val="single" w:sz="4" w:space="0" w:color="auto"/>
              <w:bottom w:val="single" w:sz="4" w:space="0" w:color="auto"/>
              <w:right w:val="single" w:sz="4" w:space="0" w:color="auto"/>
            </w:tcBorders>
            <w:vAlign w:val="center"/>
          </w:tcPr>
          <w:p w14:paraId="41EF5D51" w14:textId="77777777" w:rsidR="00BF5974" w:rsidRDefault="00BF5974">
            <w:pPr>
              <w:spacing w:line="256" w:lineRule="auto"/>
              <w:jc w:val="center"/>
              <w:rPr>
                <w:rFonts w:cs="Arial"/>
                <w:sz w:val="18"/>
                <w:szCs w:val="20"/>
                <w:lang w:val="es-ES" w:eastAsia="en-US"/>
              </w:rPr>
            </w:pPr>
          </w:p>
        </w:tc>
        <w:tc>
          <w:tcPr>
            <w:tcW w:w="6046" w:type="dxa"/>
            <w:tcBorders>
              <w:top w:val="single" w:sz="4" w:space="0" w:color="auto"/>
              <w:left w:val="single" w:sz="4" w:space="0" w:color="auto"/>
              <w:bottom w:val="single" w:sz="4" w:space="0" w:color="auto"/>
              <w:right w:val="single" w:sz="4" w:space="0" w:color="auto"/>
            </w:tcBorders>
            <w:vAlign w:val="center"/>
            <w:hideMark/>
          </w:tcPr>
          <w:p w14:paraId="16DBC020" w14:textId="77777777" w:rsidR="00BF5974" w:rsidRDefault="00BF5974">
            <w:pPr>
              <w:spacing w:line="256" w:lineRule="auto"/>
              <w:rPr>
                <w:rFonts w:cs="Arial"/>
                <w:sz w:val="18"/>
                <w:szCs w:val="20"/>
                <w:lang w:val="es-ES" w:eastAsia="en-US"/>
              </w:rPr>
            </w:pPr>
            <w:r>
              <w:rPr>
                <w:rFonts w:cs="Arial"/>
                <w:sz w:val="18"/>
                <w:szCs w:val="20"/>
                <w:lang w:val="es-ES" w:eastAsia="en-US"/>
              </w:rPr>
              <w:t>Aportaciones diferenciadas de los Organismos Descentralizados al Instituto de Pensiones de los Servidores Públicos del Estado.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7663AFC" w14:textId="77777777" w:rsidR="00BF5974" w:rsidRDefault="00BF5974">
            <w:pPr>
              <w:spacing w:line="256" w:lineRule="auto"/>
              <w:jc w:val="right"/>
              <w:rPr>
                <w:rFonts w:cs="Arial"/>
                <w:sz w:val="18"/>
                <w:szCs w:val="20"/>
                <w:lang w:val="es-ES" w:eastAsia="en-US"/>
              </w:rPr>
            </w:pPr>
            <w:r>
              <w:rPr>
                <w:rFonts w:cs="Arial"/>
                <w:color w:val="000000"/>
                <w:sz w:val="18"/>
                <w:szCs w:val="18"/>
                <w:lang w:val="es-ES" w:eastAsia="en-US"/>
              </w:rPr>
              <w:t xml:space="preserve">61,183,124 </w:t>
            </w:r>
          </w:p>
        </w:tc>
      </w:tr>
      <w:tr w:rsidR="00BF5974" w14:paraId="199BEC01" w14:textId="77777777" w:rsidTr="00BF5974">
        <w:trPr>
          <w:trHeight w:val="22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6F78A4E" w14:textId="77777777" w:rsidR="00BF5974" w:rsidRDefault="00BF5974">
            <w:pPr>
              <w:spacing w:line="256" w:lineRule="auto"/>
              <w:jc w:val="center"/>
              <w:rPr>
                <w:rFonts w:cs="Arial"/>
                <w:sz w:val="18"/>
                <w:szCs w:val="20"/>
                <w:lang w:val="es-ES" w:eastAsia="en-US"/>
              </w:rPr>
            </w:pPr>
          </w:p>
        </w:tc>
        <w:tc>
          <w:tcPr>
            <w:tcW w:w="6046" w:type="dxa"/>
            <w:tcBorders>
              <w:top w:val="single" w:sz="4" w:space="0" w:color="auto"/>
              <w:left w:val="single" w:sz="4" w:space="0" w:color="auto"/>
              <w:bottom w:val="single" w:sz="4" w:space="0" w:color="auto"/>
              <w:right w:val="single" w:sz="4" w:space="0" w:color="auto"/>
            </w:tcBorders>
            <w:vAlign w:val="center"/>
            <w:hideMark/>
          </w:tcPr>
          <w:p w14:paraId="61818C1B" w14:textId="77777777" w:rsidR="00BF5974" w:rsidRDefault="00BF5974">
            <w:pPr>
              <w:spacing w:line="256" w:lineRule="auto"/>
              <w:jc w:val="center"/>
              <w:rPr>
                <w:rFonts w:cs="Arial"/>
                <w:b/>
                <w:sz w:val="18"/>
                <w:szCs w:val="20"/>
                <w:lang w:val="es-ES" w:eastAsia="en-US"/>
              </w:rPr>
            </w:pPr>
            <w:r>
              <w:rPr>
                <w:rFonts w:cs="Arial"/>
                <w:b/>
                <w:sz w:val="18"/>
                <w:szCs w:val="20"/>
                <w:lang w:val="es-ES" w:eastAsia="en-US"/>
              </w:rPr>
              <w:t>Total</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1E8C35F" w14:textId="77777777" w:rsidR="00BF5974" w:rsidRDefault="00BF5974">
            <w:pPr>
              <w:spacing w:line="256" w:lineRule="auto"/>
              <w:jc w:val="right"/>
              <w:rPr>
                <w:rFonts w:cs="Arial"/>
                <w:sz w:val="18"/>
                <w:szCs w:val="20"/>
                <w:lang w:val="es-ES" w:eastAsia="en-US"/>
              </w:rPr>
            </w:pPr>
            <w:r>
              <w:rPr>
                <w:rFonts w:cs="Arial"/>
                <w:b/>
                <w:bCs/>
                <w:color w:val="000000"/>
                <w:sz w:val="18"/>
                <w:szCs w:val="18"/>
                <w:lang w:val="es-ES" w:eastAsia="en-US"/>
              </w:rPr>
              <w:t xml:space="preserve">421,793,572 </w:t>
            </w:r>
          </w:p>
        </w:tc>
      </w:tr>
    </w:tbl>
    <w:p w14:paraId="0DB9A9B3" w14:textId="451E7734" w:rsidR="00BF5974" w:rsidRDefault="00BF5974" w:rsidP="00BF5974">
      <w:pPr>
        <w:rPr>
          <w:rFonts w:cs="Arial"/>
          <w:b/>
          <w:lang w:val="es-ES"/>
        </w:rPr>
      </w:pPr>
    </w:p>
    <w:p w14:paraId="3CCFE773" w14:textId="77777777" w:rsidR="00972897" w:rsidRDefault="00972897" w:rsidP="00BF5974">
      <w:pPr>
        <w:rPr>
          <w:rFonts w:cs="Arial"/>
          <w:b/>
          <w:lang w:val="es-ES"/>
        </w:rPr>
      </w:pPr>
    </w:p>
    <w:p w14:paraId="26AFE882" w14:textId="77777777" w:rsidR="00BF5974" w:rsidRDefault="00BF5974" w:rsidP="00BF5974">
      <w:pPr>
        <w:rPr>
          <w:rFonts w:cs="Arial"/>
          <w:lang w:val="es-ES"/>
        </w:rPr>
      </w:pPr>
      <w:r>
        <w:rPr>
          <w:rFonts w:cs="Arial"/>
          <w:b/>
          <w:lang w:val="es-ES"/>
        </w:rPr>
        <w:t xml:space="preserve">Artículo 45. </w:t>
      </w:r>
      <w:r>
        <w:rPr>
          <w:rFonts w:cs="Arial"/>
          <w:lang w:val="es-ES"/>
        </w:rPr>
        <w:t>Las erogaciones por concepto de obligaciones de carácter fiscal y de seguridad social inherentes a lo señalados en el presente Capítulo, conforme al Presupuesto de Egresos del Estado de Colima para el Ejercicio Fiscal 2025, son:</w:t>
      </w:r>
    </w:p>
    <w:p w14:paraId="45778AB5" w14:textId="77777777" w:rsidR="00BF5974" w:rsidRDefault="00BF5974" w:rsidP="00BF5974">
      <w:pPr>
        <w:keepNext/>
        <w:keepLines/>
        <w:outlineLvl w:val="2"/>
        <w:rPr>
          <w:rFonts w:eastAsia="Times New Roman" w:cs="Arial"/>
          <w:b/>
          <w:szCs w:val="24"/>
          <w:lang w:val="es-E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5555"/>
        <w:gridCol w:w="1667"/>
      </w:tblGrid>
      <w:tr w:rsidR="00BF5974" w14:paraId="2B001503" w14:textId="77777777" w:rsidTr="00BF5974">
        <w:trPr>
          <w:trHeight w:val="20"/>
          <w:tblHeader/>
          <w:jc w:val="center"/>
        </w:trPr>
        <w:tc>
          <w:tcPr>
            <w:tcW w:w="8364" w:type="dxa"/>
            <w:gridSpan w:val="3"/>
            <w:tcBorders>
              <w:top w:val="nil"/>
              <w:left w:val="nil"/>
              <w:bottom w:val="single" w:sz="4" w:space="0" w:color="auto"/>
              <w:right w:val="nil"/>
            </w:tcBorders>
            <w:vAlign w:val="center"/>
            <w:hideMark/>
          </w:tcPr>
          <w:p w14:paraId="16112689" w14:textId="77777777" w:rsidR="00BF5974" w:rsidRDefault="00BF5974">
            <w:pPr>
              <w:spacing w:line="256" w:lineRule="auto"/>
              <w:jc w:val="center"/>
              <w:rPr>
                <w:rFonts w:cs="Arial"/>
                <w:b/>
                <w:sz w:val="20"/>
                <w:lang w:val="es-ES" w:eastAsia="en-US"/>
              </w:rPr>
            </w:pPr>
            <w:r>
              <w:rPr>
                <w:rFonts w:eastAsia="Times New Roman" w:cs="Arial"/>
                <w:b/>
                <w:sz w:val="20"/>
                <w:lang w:val="es-ES" w:eastAsia="en-US"/>
              </w:rPr>
              <w:t>Tabla 32. Obligaciones de Carácter Fiscal y de Seguridad Social</w:t>
            </w:r>
          </w:p>
        </w:tc>
      </w:tr>
      <w:tr w:rsidR="00BF5974" w14:paraId="7F18490F" w14:textId="77777777" w:rsidTr="00BF5974">
        <w:trPr>
          <w:trHeight w:val="20"/>
          <w:jc w:val="center"/>
        </w:trPr>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32D341" w14:textId="77777777" w:rsidR="00BF5974" w:rsidRDefault="00BF5974">
            <w:pPr>
              <w:spacing w:line="256" w:lineRule="auto"/>
              <w:jc w:val="center"/>
              <w:rPr>
                <w:rFonts w:eastAsia="Times New Roman" w:cs="Arial"/>
                <w:b/>
                <w:bCs/>
                <w:sz w:val="20"/>
                <w:szCs w:val="20"/>
                <w:lang w:val="es-ES" w:eastAsia="en-US"/>
              </w:rPr>
            </w:pPr>
            <w:r>
              <w:rPr>
                <w:rFonts w:eastAsia="Times New Roman" w:cs="Arial"/>
                <w:b/>
                <w:bCs/>
                <w:sz w:val="20"/>
                <w:szCs w:val="20"/>
                <w:lang w:val="es-ES" w:eastAsia="en-US"/>
              </w:rPr>
              <w:t>Partida</w:t>
            </w:r>
          </w:p>
        </w:tc>
        <w:tc>
          <w:tcPr>
            <w:tcW w:w="5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DF432C" w14:textId="77777777" w:rsidR="00BF5974" w:rsidRDefault="00BF5974">
            <w:pPr>
              <w:spacing w:line="256" w:lineRule="auto"/>
              <w:jc w:val="center"/>
              <w:rPr>
                <w:rFonts w:eastAsia="Times New Roman" w:cs="Arial"/>
                <w:b/>
                <w:bCs/>
                <w:sz w:val="20"/>
                <w:szCs w:val="20"/>
                <w:lang w:val="es-ES" w:eastAsia="en-US"/>
              </w:rPr>
            </w:pPr>
            <w:r>
              <w:rPr>
                <w:rFonts w:eastAsia="Times New Roman" w:cs="Arial"/>
                <w:b/>
                <w:bCs/>
                <w:sz w:val="20"/>
                <w:szCs w:val="20"/>
                <w:lang w:val="es-ES" w:eastAsia="en-US"/>
              </w:rPr>
              <w:t>Concepto</w:t>
            </w:r>
          </w:p>
        </w:tc>
        <w:tc>
          <w:tcPr>
            <w:tcW w:w="16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20D1AA" w14:textId="77777777" w:rsidR="00BF5974" w:rsidRDefault="00BF5974">
            <w:pPr>
              <w:spacing w:line="256" w:lineRule="auto"/>
              <w:jc w:val="center"/>
              <w:rPr>
                <w:rFonts w:eastAsia="Times New Roman" w:cs="Arial"/>
                <w:b/>
                <w:bCs/>
                <w:sz w:val="20"/>
                <w:szCs w:val="20"/>
                <w:lang w:val="es-ES" w:eastAsia="en-US"/>
              </w:rPr>
            </w:pPr>
            <w:r>
              <w:rPr>
                <w:rFonts w:eastAsia="Times New Roman" w:cs="Arial"/>
                <w:b/>
                <w:bCs/>
                <w:sz w:val="20"/>
                <w:szCs w:val="20"/>
                <w:lang w:val="es-ES" w:eastAsia="en-US"/>
              </w:rPr>
              <w:t>Asignación Presupuestal</w:t>
            </w:r>
          </w:p>
        </w:tc>
      </w:tr>
      <w:tr w:rsidR="00BF5974" w14:paraId="38041532" w14:textId="77777777" w:rsidTr="00BF5974">
        <w:trPr>
          <w:trHeight w:val="20"/>
          <w:jc w:val="center"/>
        </w:trPr>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B7D0A3" w14:textId="77777777" w:rsidR="00BF5974" w:rsidRDefault="00BF5974">
            <w:pPr>
              <w:spacing w:line="256" w:lineRule="auto"/>
              <w:jc w:val="center"/>
              <w:rPr>
                <w:rFonts w:eastAsia="Times New Roman" w:cs="Arial"/>
                <w:b/>
                <w:bCs/>
                <w:sz w:val="20"/>
                <w:szCs w:val="20"/>
                <w:lang w:val="es-ES" w:eastAsia="en-US"/>
              </w:rPr>
            </w:pPr>
            <w:r>
              <w:rPr>
                <w:rFonts w:eastAsia="Times New Roman" w:cs="Arial"/>
                <w:b/>
                <w:bCs/>
                <w:sz w:val="20"/>
                <w:szCs w:val="20"/>
                <w:lang w:val="es-ES" w:eastAsia="en-US"/>
              </w:rPr>
              <w:t>010400000</w:t>
            </w:r>
          </w:p>
        </w:tc>
        <w:tc>
          <w:tcPr>
            <w:tcW w:w="5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CBF7B9" w14:textId="77777777" w:rsidR="00BF5974" w:rsidRDefault="00BF5974">
            <w:pPr>
              <w:spacing w:line="256" w:lineRule="auto"/>
              <w:rPr>
                <w:rFonts w:eastAsia="Times New Roman" w:cs="Arial"/>
                <w:b/>
                <w:bCs/>
                <w:sz w:val="20"/>
                <w:szCs w:val="20"/>
                <w:lang w:val="es-ES" w:eastAsia="en-US"/>
              </w:rPr>
            </w:pPr>
            <w:r>
              <w:rPr>
                <w:rFonts w:eastAsia="Times New Roman" w:cs="Arial"/>
                <w:b/>
                <w:bCs/>
                <w:sz w:val="20"/>
                <w:szCs w:val="20"/>
                <w:lang w:val="es-ES" w:eastAsia="en-US"/>
              </w:rPr>
              <w:t>Seguridad Social.</w:t>
            </w:r>
          </w:p>
        </w:tc>
        <w:tc>
          <w:tcPr>
            <w:tcW w:w="16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EB4D60" w14:textId="77777777" w:rsidR="00BF5974" w:rsidRDefault="00BF5974">
            <w:pPr>
              <w:spacing w:line="256" w:lineRule="auto"/>
              <w:jc w:val="right"/>
              <w:rPr>
                <w:rFonts w:eastAsia="Times New Roman" w:cs="Arial"/>
                <w:b/>
                <w:bCs/>
                <w:sz w:val="20"/>
                <w:szCs w:val="20"/>
                <w:lang w:val="es-ES" w:eastAsia="en-US"/>
              </w:rPr>
            </w:pPr>
            <w:r>
              <w:rPr>
                <w:rFonts w:cs="Arial"/>
                <w:b/>
                <w:bCs/>
                <w:color w:val="000000"/>
                <w:sz w:val="20"/>
                <w:szCs w:val="20"/>
                <w:lang w:val="es-ES" w:eastAsia="en-US"/>
              </w:rPr>
              <w:t xml:space="preserve">     194,229,192 </w:t>
            </w:r>
          </w:p>
        </w:tc>
      </w:tr>
      <w:tr w:rsidR="00BF5974" w14:paraId="0B13ABF6" w14:textId="77777777" w:rsidTr="00BF5974">
        <w:trPr>
          <w:trHeight w:val="20"/>
          <w:jc w:val="center"/>
        </w:trPr>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FADF748" w14:textId="77777777" w:rsidR="00BF5974" w:rsidRDefault="00BF5974">
            <w:pPr>
              <w:spacing w:line="256" w:lineRule="auto"/>
              <w:jc w:val="center"/>
              <w:rPr>
                <w:rFonts w:eastAsia="Times New Roman" w:cs="Arial"/>
                <w:b/>
                <w:bCs/>
                <w:sz w:val="20"/>
                <w:szCs w:val="20"/>
                <w:lang w:val="es-ES" w:eastAsia="en-US"/>
              </w:rPr>
            </w:pPr>
            <w:r>
              <w:rPr>
                <w:rFonts w:eastAsia="Times New Roman" w:cs="Arial"/>
                <w:b/>
                <w:bCs/>
                <w:sz w:val="20"/>
                <w:szCs w:val="20"/>
                <w:lang w:val="es-ES" w:eastAsia="en-US"/>
              </w:rPr>
              <w:t>010401000</w:t>
            </w:r>
          </w:p>
        </w:tc>
        <w:tc>
          <w:tcPr>
            <w:tcW w:w="5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F45003" w14:textId="77777777" w:rsidR="00BF5974" w:rsidRDefault="00BF5974">
            <w:pPr>
              <w:spacing w:line="256" w:lineRule="auto"/>
              <w:rPr>
                <w:rFonts w:eastAsia="Times New Roman" w:cs="Arial"/>
                <w:b/>
                <w:bCs/>
                <w:sz w:val="20"/>
                <w:szCs w:val="20"/>
                <w:lang w:val="es-ES" w:eastAsia="en-US"/>
              </w:rPr>
            </w:pPr>
            <w:r>
              <w:rPr>
                <w:rFonts w:eastAsia="Times New Roman" w:cs="Arial"/>
                <w:b/>
                <w:bCs/>
                <w:sz w:val="20"/>
                <w:szCs w:val="20"/>
                <w:lang w:val="es-ES" w:eastAsia="en-US"/>
              </w:rPr>
              <w:t>Aportaciones de Seguridad Social.</w:t>
            </w:r>
          </w:p>
        </w:tc>
        <w:tc>
          <w:tcPr>
            <w:tcW w:w="16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AE482C" w14:textId="77777777" w:rsidR="00BF5974" w:rsidRDefault="00BF5974">
            <w:pPr>
              <w:spacing w:line="256" w:lineRule="auto"/>
              <w:jc w:val="right"/>
              <w:rPr>
                <w:rFonts w:eastAsia="Times New Roman" w:cs="Arial"/>
                <w:b/>
                <w:bCs/>
                <w:sz w:val="20"/>
                <w:szCs w:val="20"/>
                <w:lang w:val="es-ES" w:eastAsia="en-US"/>
              </w:rPr>
            </w:pPr>
            <w:r>
              <w:rPr>
                <w:rFonts w:cs="Arial"/>
                <w:b/>
                <w:bCs/>
                <w:color w:val="000000"/>
                <w:sz w:val="20"/>
                <w:szCs w:val="20"/>
                <w:lang w:val="es-ES" w:eastAsia="en-US"/>
              </w:rPr>
              <w:t xml:space="preserve">     188,389,860 </w:t>
            </w:r>
          </w:p>
        </w:tc>
      </w:tr>
      <w:tr w:rsidR="00BF5974" w14:paraId="4170B076" w14:textId="77777777" w:rsidTr="00BF5974">
        <w:trPr>
          <w:trHeight w:val="20"/>
          <w:jc w:val="center"/>
        </w:trPr>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B8A61B" w14:textId="77777777" w:rsidR="00BF5974" w:rsidRDefault="00BF5974">
            <w:pPr>
              <w:spacing w:line="256" w:lineRule="auto"/>
              <w:jc w:val="center"/>
              <w:rPr>
                <w:rFonts w:eastAsia="Times New Roman" w:cs="Arial"/>
                <w:sz w:val="20"/>
                <w:szCs w:val="20"/>
                <w:lang w:val="es-ES" w:eastAsia="en-US"/>
              </w:rPr>
            </w:pPr>
            <w:r>
              <w:rPr>
                <w:rFonts w:eastAsia="Times New Roman" w:cs="Arial"/>
                <w:sz w:val="20"/>
                <w:szCs w:val="20"/>
                <w:lang w:val="es-ES" w:eastAsia="en-US"/>
              </w:rPr>
              <w:t>010401001</w:t>
            </w:r>
          </w:p>
        </w:tc>
        <w:tc>
          <w:tcPr>
            <w:tcW w:w="5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C913F4" w14:textId="77777777" w:rsidR="00BF5974" w:rsidRDefault="00BF5974">
            <w:pPr>
              <w:spacing w:line="256" w:lineRule="auto"/>
              <w:rPr>
                <w:rFonts w:eastAsia="Times New Roman" w:cs="Arial"/>
                <w:sz w:val="20"/>
                <w:szCs w:val="20"/>
                <w:lang w:val="es-ES" w:eastAsia="en-US"/>
              </w:rPr>
            </w:pPr>
            <w:r>
              <w:rPr>
                <w:rFonts w:eastAsia="Times New Roman" w:cs="Arial"/>
                <w:sz w:val="20"/>
                <w:szCs w:val="20"/>
                <w:lang w:val="es-ES" w:eastAsia="en-US"/>
              </w:rPr>
              <w:t>Aportaciones de Seguridad Social.</w:t>
            </w:r>
          </w:p>
        </w:tc>
        <w:tc>
          <w:tcPr>
            <w:tcW w:w="16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70F4FAF" w14:textId="77777777" w:rsidR="00BF5974" w:rsidRDefault="00BF5974">
            <w:pPr>
              <w:spacing w:line="256" w:lineRule="auto"/>
              <w:jc w:val="right"/>
              <w:rPr>
                <w:rFonts w:eastAsia="Times New Roman" w:cs="Arial"/>
                <w:sz w:val="20"/>
                <w:szCs w:val="20"/>
                <w:lang w:val="es-ES" w:eastAsia="en-US"/>
              </w:rPr>
            </w:pPr>
            <w:r>
              <w:rPr>
                <w:rFonts w:cs="Arial"/>
                <w:color w:val="000000"/>
                <w:sz w:val="20"/>
                <w:szCs w:val="20"/>
                <w:lang w:val="es-ES" w:eastAsia="en-US"/>
              </w:rPr>
              <w:t xml:space="preserve">     188,389,860 </w:t>
            </w:r>
          </w:p>
        </w:tc>
      </w:tr>
      <w:tr w:rsidR="00BF5974" w14:paraId="4964721F" w14:textId="77777777" w:rsidTr="00BF5974">
        <w:trPr>
          <w:trHeight w:val="20"/>
          <w:jc w:val="center"/>
        </w:trPr>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2E6813" w14:textId="77777777" w:rsidR="00BF5974" w:rsidRDefault="00BF5974">
            <w:pPr>
              <w:spacing w:line="256" w:lineRule="auto"/>
              <w:jc w:val="center"/>
              <w:rPr>
                <w:rFonts w:eastAsia="Times New Roman" w:cs="Arial"/>
                <w:b/>
                <w:bCs/>
                <w:sz w:val="20"/>
                <w:szCs w:val="20"/>
                <w:lang w:val="es-ES" w:eastAsia="en-US"/>
              </w:rPr>
            </w:pPr>
            <w:r>
              <w:rPr>
                <w:rFonts w:eastAsia="Times New Roman" w:cs="Arial"/>
                <w:b/>
                <w:bCs/>
                <w:sz w:val="20"/>
                <w:szCs w:val="20"/>
                <w:lang w:val="es-ES" w:eastAsia="en-US"/>
              </w:rPr>
              <w:t>010402000</w:t>
            </w:r>
          </w:p>
        </w:tc>
        <w:tc>
          <w:tcPr>
            <w:tcW w:w="5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5B6622" w14:textId="77777777" w:rsidR="00BF5974" w:rsidRDefault="00BF5974">
            <w:pPr>
              <w:spacing w:line="256" w:lineRule="auto"/>
              <w:rPr>
                <w:rFonts w:eastAsia="Times New Roman" w:cs="Arial"/>
                <w:b/>
                <w:bCs/>
                <w:sz w:val="20"/>
                <w:szCs w:val="20"/>
                <w:lang w:val="es-ES" w:eastAsia="en-US"/>
              </w:rPr>
            </w:pPr>
            <w:r>
              <w:rPr>
                <w:rFonts w:eastAsia="Times New Roman" w:cs="Arial"/>
                <w:b/>
                <w:bCs/>
                <w:sz w:val="20"/>
                <w:szCs w:val="20"/>
                <w:lang w:val="es-ES" w:eastAsia="en-US"/>
              </w:rPr>
              <w:t>Aportaciones a fondos de vivienda.</w:t>
            </w:r>
          </w:p>
        </w:tc>
        <w:tc>
          <w:tcPr>
            <w:tcW w:w="16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6A2042" w14:textId="77777777" w:rsidR="00BF5974" w:rsidRDefault="00BF5974">
            <w:pPr>
              <w:spacing w:line="256" w:lineRule="auto"/>
              <w:jc w:val="right"/>
              <w:rPr>
                <w:rFonts w:eastAsia="Times New Roman" w:cs="Arial"/>
                <w:b/>
                <w:bCs/>
                <w:sz w:val="20"/>
                <w:szCs w:val="20"/>
                <w:lang w:val="es-ES" w:eastAsia="en-US"/>
              </w:rPr>
            </w:pPr>
            <w:r>
              <w:rPr>
                <w:rFonts w:cs="Arial"/>
                <w:b/>
                <w:bCs/>
                <w:color w:val="000000"/>
                <w:sz w:val="20"/>
                <w:szCs w:val="20"/>
                <w:lang w:val="es-ES" w:eastAsia="en-US"/>
              </w:rPr>
              <w:t xml:space="preserve">        2,055,408 </w:t>
            </w:r>
          </w:p>
        </w:tc>
      </w:tr>
      <w:tr w:rsidR="00BF5974" w14:paraId="32809ABB" w14:textId="77777777" w:rsidTr="00BF5974">
        <w:trPr>
          <w:trHeight w:val="20"/>
          <w:jc w:val="center"/>
        </w:trPr>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7AE9B4" w14:textId="77777777" w:rsidR="00BF5974" w:rsidRDefault="00BF5974">
            <w:pPr>
              <w:spacing w:line="256" w:lineRule="auto"/>
              <w:jc w:val="center"/>
              <w:rPr>
                <w:rFonts w:eastAsia="Times New Roman" w:cs="Arial"/>
                <w:sz w:val="20"/>
                <w:szCs w:val="20"/>
                <w:lang w:val="es-ES" w:eastAsia="en-US"/>
              </w:rPr>
            </w:pPr>
            <w:r>
              <w:rPr>
                <w:rFonts w:eastAsia="Times New Roman" w:cs="Arial"/>
                <w:sz w:val="20"/>
                <w:szCs w:val="20"/>
                <w:lang w:val="es-ES" w:eastAsia="en-US"/>
              </w:rPr>
              <w:t>010402001</w:t>
            </w:r>
          </w:p>
        </w:tc>
        <w:tc>
          <w:tcPr>
            <w:tcW w:w="5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645B15" w14:textId="77777777" w:rsidR="00BF5974" w:rsidRDefault="00BF5974">
            <w:pPr>
              <w:spacing w:line="256" w:lineRule="auto"/>
              <w:rPr>
                <w:rFonts w:eastAsia="Times New Roman" w:cs="Arial"/>
                <w:sz w:val="20"/>
                <w:szCs w:val="20"/>
                <w:lang w:val="es-ES" w:eastAsia="en-US"/>
              </w:rPr>
            </w:pPr>
            <w:r>
              <w:rPr>
                <w:rFonts w:eastAsia="Times New Roman" w:cs="Arial"/>
                <w:sz w:val="20"/>
                <w:szCs w:val="20"/>
                <w:lang w:val="es-ES" w:eastAsia="en-US"/>
              </w:rPr>
              <w:t>Aportaciones a fondos de vivienda.</w:t>
            </w:r>
          </w:p>
        </w:tc>
        <w:tc>
          <w:tcPr>
            <w:tcW w:w="16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07136A" w14:textId="77777777" w:rsidR="00BF5974" w:rsidRDefault="00BF5974">
            <w:pPr>
              <w:spacing w:line="256" w:lineRule="auto"/>
              <w:jc w:val="right"/>
              <w:rPr>
                <w:rFonts w:eastAsia="Times New Roman" w:cs="Arial"/>
                <w:sz w:val="20"/>
                <w:szCs w:val="20"/>
                <w:lang w:val="es-ES" w:eastAsia="en-US"/>
              </w:rPr>
            </w:pPr>
            <w:r>
              <w:rPr>
                <w:rFonts w:cs="Arial"/>
                <w:color w:val="000000"/>
                <w:sz w:val="20"/>
                <w:szCs w:val="20"/>
                <w:lang w:val="es-ES" w:eastAsia="en-US"/>
              </w:rPr>
              <w:t xml:space="preserve">        2,055,408 </w:t>
            </w:r>
          </w:p>
        </w:tc>
      </w:tr>
      <w:tr w:rsidR="00BF5974" w14:paraId="1271B9ED" w14:textId="77777777" w:rsidTr="00BF5974">
        <w:trPr>
          <w:trHeight w:val="20"/>
          <w:jc w:val="center"/>
        </w:trPr>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BCCDE1" w14:textId="77777777" w:rsidR="00BF5974" w:rsidRDefault="00BF5974">
            <w:pPr>
              <w:spacing w:line="256" w:lineRule="auto"/>
              <w:jc w:val="center"/>
              <w:rPr>
                <w:rFonts w:eastAsia="Times New Roman" w:cs="Arial"/>
                <w:b/>
                <w:bCs/>
                <w:sz w:val="20"/>
                <w:szCs w:val="20"/>
                <w:lang w:val="es-ES" w:eastAsia="en-US"/>
              </w:rPr>
            </w:pPr>
            <w:r>
              <w:rPr>
                <w:rFonts w:eastAsia="Times New Roman" w:cs="Arial"/>
                <w:b/>
                <w:bCs/>
                <w:sz w:val="20"/>
                <w:szCs w:val="20"/>
                <w:lang w:val="es-ES" w:eastAsia="en-US"/>
              </w:rPr>
              <w:t>010403000</w:t>
            </w:r>
          </w:p>
        </w:tc>
        <w:tc>
          <w:tcPr>
            <w:tcW w:w="5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32F155" w14:textId="77777777" w:rsidR="00BF5974" w:rsidRDefault="00BF5974">
            <w:pPr>
              <w:spacing w:line="256" w:lineRule="auto"/>
              <w:rPr>
                <w:rFonts w:eastAsia="Times New Roman" w:cs="Arial"/>
                <w:b/>
                <w:bCs/>
                <w:sz w:val="20"/>
                <w:szCs w:val="20"/>
                <w:lang w:val="es-ES" w:eastAsia="en-US"/>
              </w:rPr>
            </w:pPr>
            <w:r>
              <w:rPr>
                <w:rFonts w:eastAsia="Times New Roman" w:cs="Arial"/>
                <w:b/>
                <w:bCs/>
                <w:sz w:val="20"/>
                <w:szCs w:val="20"/>
                <w:lang w:val="es-ES" w:eastAsia="en-US"/>
              </w:rPr>
              <w:t>Aportaciones al sistema para el retiro.</w:t>
            </w:r>
          </w:p>
        </w:tc>
        <w:tc>
          <w:tcPr>
            <w:tcW w:w="16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60ED06" w14:textId="77777777" w:rsidR="00BF5974" w:rsidRDefault="00BF5974">
            <w:pPr>
              <w:spacing w:line="256" w:lineRule="auto"/>
              <w:jc w:val="right"/>
              <w:rPr>
                <w:rFonts w:eastAsia="Times New Roman" w:cs="Arial"/>
                <w:b/>
                <w:bCs/>
                <w:sz w:val="20"/>
                <w:szCs w:val="20"/>
                <w:lang w:val="es-ES" w:eastAsia="en-US"/>
              </w:rPr>
            </w:pPr>
            <w:r>
              <w:rPr>
                <w:rFonts w:cs="Arial"/>
                <w:b/>
                <w:bCs/>
                <w:color w:val="000000"/>
                <w:sz w:val="20"/>
                <w:szCs w:val="20"/>
                <w:lang w:val="es-ES" w:eastAsia="en-US"/>
              </w:rPr>
              <w:t xml:space="preserve">        3,231,348 </w:t>
            </w:r>
          </w:p>
        </w:tc>
      </w:tr>
      <w:tr w:rsidR="00BF5974" w14:paraId="59FA5CA5" w14:textId="77777777" w:rsidTr="00BF5974">
        <w:trPr>
          <w:trHeight w:val="20"/>
          <w:jc w:val="center"/>
        </w:trPr>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F67C29" w14:textId="77777777" w:rsidR="00BF5974" w:rsidRDefault="00BF5974">
            <w:pPr>
              <w:spacing w:line="256" w:lineRule="auto"/>
              <w:jc w:val="center"/>
              <w:rPr>
                <w:rFonts w:eastAsia="Times New Roman" w:cs="Arial"/>
                <w:sz w:val="20"/>
                <w:szCs w:val="20"/>
                <w:lang w:val="es-ES" w:eastAsia="en-US"/>
              </w:rPr>
            </w:pPr>
            <w:r>
              <w:rPr>
                <w:rFonts w:eastAsia="Times New Roman" w:cs="Arial"/>
                <w:sz w:val="20"/>
                <w:szCs w:val="20"/>
                <w:lang w:val="es-ES" w:eastAsia="en-US"/>
              </w:rPr>
              <w:t>010403001</w:t>
            </w:r>
          </w:p>
        </w:tc>
        <w:tc>
          <w:tcPr>
            <w:tcW w:w="5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05FA2D" w14:textId="4F90E78F" w:rsidR="00BF5974" w:rsidRDefault="00BF5974">
            <w:pPr>
              <w:spacing w:line="256" w:lineRule="auto"/>
              <w:rPr>
                <w:rFonts w:eastAsia="Times New Roman" w:cs="Arial"/>
                <w:sz w:val="20"/>
                <w:szCs w:val="20"/>
                <w:lang w:val="es-ES" w:eastAsia="en-US"/>
              </w:rPr>
            </w:pPr>
            <w:r>
              <w:rPr>
                <w:rFonts w:eastAsia="Times New Roman" w:cs="Arial"/>
                <w:sz w:val="20"/>
                <w:szCs w:val="20"/>
                <w:lang w:val="es-ES" w:eastAsia="en-US"/>
              </w:rPr>
              <w:t>Aportaciones al Sistem</w:t>
            </w:r>
            <w:r w:rsidR="00C50762">
              <w:rPr>
                <w:rFonts w:eastAsia="Times New Roman" w:cs="Arial"/>
                <w:sz w:val="20"/>
                <w:szCs w:val="20"/>
                <w:lang w:val="es-ES" w:eastAsia="en-US"/>
              </w:rPr>
              <w:t>a de Ahorro para el Retiro</w:t>
            </w:r>
            <w:r>
              <w:rPr>
                <w:rFonts w:eastAsia="Times New Roman" w:cs="Arial"/>
                <w:sz w:val="20"/>
                <w:szCs w:val="20"/>
                <w:lang w:val="es-ES" w:eastAsia="en-US"/>
              </w:rPr>
              <w:t>.</w:t>
            </w:r>
          </w:p>
        </w:tc>
        <w:tc>
          <w:tcPr>
            <w:tcW w:w="16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5B5C8C" w14:textId="77777777" w:rsidR="00BF5974" w:rsidRDefault="00BF5974">
            <w:pPr>
              <w:spacing w:line="256" w:lineRule="auto"/>
              <w:jc w:val="right"/>
              <w:rPr>
                <w:rFonts w:eastAsia="Times New Roman" w:cs="Arial"/>
                <w:sz w:val="20"/>
                <w:szCs w:val="20"/>
                <w:lang w:val="es-ES" w:eastAsia="en-US"/>
              </w:rPr>
            </w:pPr>
            <w:r>
              <w:rPr>
                <w:rFonts w:cs="Arial"/>
                <w:color w:val="000000"/>
                <w:sz w:val="20"/>
                <w:szCs w:val="20"/>
                <w:lang w:val="es-ES" w:eastAsia="en-US"/>
              </w:rPr>
              <w:t xml:space="preserve">        3,231,348 </w:t>
            </w:r>
          </w:p>
        </w:tc>
      </w:tr>
      <w:tr w:rsidR="00BF5974" w14:paraId="25EAB237" w14:textId="77777777" w:rsidTr="00BF5974">
        <w:trPr>
          <w:trHeight w:val="20"/>
          <w:jc w:val="center"/>
        </w:trPr>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C11475" w14:textId="77777777" w:rsidR="00BF5974" w:rsidRDefault="00BF5974">
            <w:pPr>
              <w:spacing w:line="256" w:lineRule="auto"/>
              <w:jc w:val="center"/>
              <w:rPr>
                <w:rFonts w:eastAsia="Times New Roman" w:cs="Arial"/>
                <w:b/>
                <w:bCs/>
                <w:sz w:val="20"/>
                <w:szCs w:val="20"/>
                <w:lang w:val="es-ES" w:eastAsia="en-US"/>
              </w:rPr>
            </w:pPr>
            <w:r>
              <w:rPr>
                <w:rFonts w:eastAsia="Times New Roman" w:cs="Arial"/>
                <w:b/>
                <w:bCs/>
                <w:sz w:val="20"/>
                <w:szCs w:val="20"/>
                <w:lang w:val="es-ES" w:eastAsia="en-US"/>
              </w:rPr>
              <w:t>010404000</w:t>
            </w:r>
          </w:p>
        </w:tc>
        <w:tc>
          <w:tcPr>
            <w:tcW w:w="5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3AC9A3" w14:textId="77777777" w:rsidR="00BF5974" w:rsidRDefault="00BF5974">
            <w:pPr>
              <w:spacing w:line="256" w:lineRule="auto"/>
              <w:rPr>
                <w:rFonts w:eastAsia="Times New Roman" w:cs="Arial"/>
                <w:b/>
                <w:bCs/>
                <w:sz w:val="20"/>
                <w:szCs w:val="20"/>
                <w:lang w:val="es-ES" w:eastAsia="en-US"/>
              </w:rPr>
            </w:pPr>
            <w:r>
              <w:rPr>
                <w:rFonts w:eastAsia="Times New Roman" w:cs="Arial"/>
                <w:b/>
                <w:bCs/>
                <w:sz w:val="20"/>
                <w:szCs w:val="20"/>
                <w:lang w:val="es-ES" w:eastAsia="en-US"/>
              </w:rPr>
              <w:t>Aportaciones para seguros.</w:t>
            </w:r>
          </w:p>
        </w:tc>
        <w:tc>
          <w:tcPr>
            <w:tcW w:w="16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5632E1" w14:textId="77777777" w:rsidR="00BF5974" w:rsidRDefault="00BF5974">
            <w:pPr>
              <w:spacing w:line="256" w:lineRule="auto"/>
              <w:jc w:val="right"/>
              <w:rPr>
                <w:rFonts w:eastAsia="Times New Roman" w:cs="Arial"/>
                <w:b/>
                <w:bCs/>
                <w:sz w:val="20"/>
                <w:szCs w:val="20"/>
                <w:lang w:val="es-ES" w:eastAsia="en-US"/>
              </w:rPr>
            </w:pPr>
            <w:r>
              <w:rPr>
                <w:rFonts w:cs="Arial"/>
                <w:b/>
                <w:bCs/>
                <w:color w:val="000000"/>
                <w:sz w:val="20"/>
                <w:szCs w:val="20"/>
                <w:lang w:val="es-ES" w:eastAsia="en-US"/>
              </w:rPr>
              <w:t xml:space="preserve">           552,576 </w:t>
            </w:r>
          </w:p>
        </w:tc>
      </w:tr>
      <w:tr w:rsidR="00BF5974" w14:paraId="6666D566" w14:textId="77777777" w:rsidTr="00BF5974">
        <w:trPr>
          <w:trHeight w:val="20"/>
          <w:jc w:val="center"/>
        </w:trPr>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C39E9B" w14:textId="77777777" w:rsidR="00BF5974" w:rsidRDefault="00BF5974">
            <w:pPr>
              <w:spacing w:line="256" w:lineRule="auto"/>
              <w:jc w:val="center"/>
              <w:rPr>
                <w:rFonts w:eastAsia="Times New Roman" w:cs="Arial"/>
                <w:sz w:val="20"/>
                <w:szCs w:val="20"/>
                <w:lang w:val="es-ES" w:eastAsia="en-US"/>
              </w:rPr>
            </w:pPr>
            <w:r>
              <w:rPr>
                <w:rFonts w:eastAsia="Times New Roman" w:cs="Arial"/>
                <w:sz w:val="20"/>
                <w:szCs w:val="20"/>
                <w:lang w:val="es-ES" w:eastAsia="en-US"/>
              </w:rPr>
              <w:t>010404001</w:t>
            </w:r>
          </w:p>
        </w:tc>
        <w:tc>
          <w:tcPr>
            <w:tcW w:w="5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A863BE" w14:textId="77777777" w:rsidR="00BF5974" w:rsidRDefault="00BF5974">
            <w:pPr>
              <w:spacing w:line="256" w:lineRule="auto"/>
              <w:rPr>
                <w:rFonts w:eastAsia="Times New Roman" w:cs="Arial"/>
                <w:sz w:val="20"/>
                <w:szCs w:val="20"/>
                <w:lang w:val="es-ES" w:eastAsia="en-US"/>
              </w:rPr>
            </w:pPr>
            <w:r>
              <w:rPr>
                <w:rFonts w:eastAsia="Times New Roman" w:cs="Arial"/>
                <w:sz w:val="20"/>
                <w:szCs w:val="20"/>
                <w:lang w:val="es-ES" w:eastAsia="en-US"/>
              </w:rPr>
              <w:t>Aportaciones para seguros.</w:t>
            </w:r>
          </w:p>
        </w:tc>
        <w:tc>
          <w:tcPr>
            <w:tcW w:w="16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075C25" w14:textId="77777777" w:rsidR="00BF5974" w:rsidRDefault="00BF5974">
            <w:pPr>
              <w:spacing w:line="256" w:lineRule="auto"/>
              <w:jc w:val="right"/>
              <w:rPr>
                <w:rFonts w:eastAsia="Times New Roman" w:cs="Arial"/>
                <w:sz w:val="20"/>
                <w:szCs w:val="20"/>
                <w:lang w:val="es-ES" w:eastAsia="en-US"/>
              </w:rPr>
            </w:pPr>
            <w:r>
              <w:rPr>
                <w:rFonts w:cs="Arial"/>
                <w:color w:val="000000"/>
                <w:sz w:val="20"/>
                <w:szCs w:val="20"/>
                <w:lang w:val="es-ES" w:eastAsia="en-US"/>
              </w:rPr>
              <w:t xml:space="preserve">           552,576 </w:t>
            </w:r>
          </w:p>
        </w:tc>
      </w:tr>
      <w:tr w:rsidR="00BF5974" w14:paraId="120767C7" w14:textId="77777777" w:rsidTr="00BF5974">
        <w:trPr>
          <w:trHeight w:val="20"/>
          <w:jc w:val="center"/>
        </w:trPr>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15A1B8" w14:textId="77777777" w:rsidR="00BF5974" w:rsidRDefault="00BF5974">
            <w:pPr>
              <w:spacing w:line="256" w:lineRule="auto"/>
              <w:jc w:val="center"/>
              <w:rPr>
                <w:rFonts w:eastAsia="Times New Roman" w:cs="Arial"/>
                <w:b/>
                <w:bCs/>
                <w:sz w:val="20"/>
                <w:szCs w:val="20"/>
                <w:lang w:val="es-ES" w:eastAsia="en-US"/>
              </w:rPr>
            </w:pPr>
            <w:r>
              <w:rPr>
                <w:rFonts w:eastAsia="Times New Roman" w:cs="Arial"/>
                <w:b/>
                <w:bCs/>
                <w:sz w:val="20"/>
                <w:szCs w:val="20"/>
                <w:lang w:val="es-ES" w:eastAsia="en-US"/>
              </w:rPr>
              <w:t>030908000</w:t>
            </w:r>
          </w:p>
        </w:tc>
        <w:tc>
          <w:tcPr>
            <w:tcW w:w="5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E9C664" w14:textId="77777777" w:rsidR="00BF5974" w:rsidRDefault="00BF5974">
            <w:pPr>
              <w:spacing w:line="256" w:lineRule="auto"/>
              <w:rPr>
                <w:rFonts w:eastAsia="Times New Roman" w:cs="Arial"/>
                <w:b/>
                <w:bCs/>
                <w:sz w:val="20"/>
                <w:szCs w:val="20"/>
                <w:lang w:val="es-ES" w:eastAsia="en-US"/>
              </w:rPr>
            </w:pPr>
            <w:r>
              <w:rPr>
                <w:rFonts w:eastAsia="Times New Roman" w:cs="Arial"/>
                <w:b/>
                <w:bCs/>
                <w:sz w:val="20"/>
                <w:szCs w:val="20"/>
                <w:lang w:val="es-ES" w:eastAsia="en-US"/>
              </w:rPr>
              <w:t>Impuesto sobre nóminas y otros que se deriven de una relación laboral.</w:t>
            </w:r>
          </w:p>
        </w:tc>
        <w:tc>
          <w:tcPr>
            <w:tcW w:w="16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6CCD29" w14:textId="77777777" w:rsidR="00BF5974" w:rsidRDefault="00BF5974">
            <w:pPr>
              <w:spacing w:line="256" w:lineRule="auto"/>
              <w:jc w:val="right"/>
              <w:rPr>
                <w:rFonts w:eastAsia="Times New Roman" w:cs="Arial"/>
                <w:b/>
                <w:bCs/>
                <w:sz w:val="20"/>
                <w:szCs w:val="20"/>
                <w:lang w:val="es-ES" w:eastAsia="en-US"/>
              </w:rPr>
            </w:pPr>
            <w:r>
              <w:rPr>
                <w:rFonts w:cs="Arial"/>
                <w:b/>
                <w:bCs/>
                <w:color w:val="000000"/>
                <w:sz w:val="20"/>
                <w:szCs w:val="20"/>
                <w:lang w:val="es-ES" w:eastAsia="en-US"/>
              </w:rPr>
              <w:t xml:space="preserve">      43,987,404 </w:t>
            </w:r>
          </w:p>
        </w:tc>
      </w:tr>
      <w:tr w:rsidR="00BF5974" w14:paraId="4B468196" w14:textId="77777777" w:rsidTr="00BF5974">
        <w:trPr>
          <w:trHeight w:val="20"/>
          <w:jc w:val="center"/>
        </w:trPr>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124F484" w14:textId="77777777" w:rsidR="00BF5974" w:rsidRDefault="00BF5974">
            <w:pPr>
              <w:spacing w:line="256" w:lineRule="auto"/>
              <w:jc w:val="center"/>
              <w:rPr>
                <w:rFonts w:eastAsia="Times New Roman" w:cs="Arial"/>
                <w:sz w:val="20"/>
                <w:szCs w:val="20"/>
                <w:lang w:val="es-ES" w:eastAsia="en-US"/>
              </w:rPr>
            </w:pPr>
            <w:r>
              <w:rPr>
                <w:rFonts w:eastAsia="Times New Roman" w:cs="Arial"/>
                <w:sz w:val="20"/>
                <w:szCs w:val="20"/>
                <w:lang w:val="es-ES" w:eastAsia="en-US"/>
              </w:rPr>
              <w:t>030908001</w:t>
            </w:r>
          </w:p>
        </w:tc>
        <w:tc>
          <w:tcPr>
            <w:tcW w:w="5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1C540C6" w14:textId="77777777" w:rsidR="00BF5974" w:rsidRDefault="00BF5974">
            <w:pPr>
              <w:spacing w:line="256" w:lineRule="auto"/>
              <w:rPr>
                <w:rFonts w:eastAsia="Times New Roman" w:cs="Arial"/>
                <w:sz w:val="20"/>
                <w:szCs w:val="20"/>
                <w:lang w:val="es-ES" w:eastAsia="en-US"/>
              </w:rPr>
            </w:pPr>
            <w:r>
              <w:rPr>
                <w:rFonts w:eastAsia="Times New Roman" w:cs="Arial"/>
                <w:sz w:val="20"/>
                <w:szCs w:val="20"/>
                <w:lang w:val="es-ES" w:eastAsia="en-US"/>
              </w:rPr>
              <w:t>Impuesto sobre Nóminas.</w:t>
            </w:r>
          </w:p>
        </w:tc>
        <w:tc>
          <w:tcPr>
            <w:tcW w:w="16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52B715" w14:textId="77777777" w:rsidR="00BF5974" w:rsidRDefault="00BF5974">
            <w:pPr>
              <w:spacing w:line="256" w:lineRule="auto"/>
              <w:jc w:val="right"/>
              <w:rPr>
                <w:rFonts w:eastAsia="Times New Roman" w:cs="Arial"/>
                <w:sz w:val="20"/>
                <w:szCs w:val="20"/>
                <w:lang w:val="es-ES" w:eastAsia="en-US"/>
              </w:rPr>
            </w:pPr>
            <w:r>
              <w:rPr>
                <w:rFonts w:cs="Arial"/>
                <w:color w:val="000000"/>
                <w:sz w:val="20"/>
                <w:szCs w:val="20"/>
                <w:lang w:val="es-ES" w:eastAsia="en-US"/>
              </w:rPr>
              <w:t xml:space="preserve">      43,987,404 </w:t>
            </w:r>
          </w:p>
        </w:tc>
      </w:tr>
      <w:tr w:rsidR="00BF5974" w14:paraId="30D47EB9" w14:textId="77777777" w:rsidTr="00BF5974">
        <w:trPr>
          <w:trHeight w:val="20"/>
          <w:jc w:val="center"/>
        </w:trPr>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E632FA" w14:textId="77777777" w:rsidR="00BF5974" w:rsidRDefault="00BF5974">
            <w:pPr>
              <w:spacing w:line="256" w:lineRule="auto"/>
              <w:jc w:val="center"/>
              <w:rPr>
                <w:rFonts w:eastAsia="Times New Roman" w:cs="Arial"/>
                <w:b/>
                <w:bCs/>
                <w:sz w:val="20"/>
                <w:szCs w:val="20"/>
                <w:lang w:val="es-ES" w:eastAsia="en-US"/>
              </w:rPr>
            </w:pPr>
            <w:r>
              <w:rPr>
                <w:rFonts w:eastAsia="Times New Roman" w:cs="Arial"/>
                <w:b/>
                <w:bCs/>
                <w:sz w:val="20"/>
                <w:szCs w:val="20"/>
                <w:lang w:val="es-ES" w:eastAsia="en-US"/>
              </w:rPr>
              <w:t> </w:t>
            </w:r>
          </w:p>
        </w:tc>
        <w:tc>
          <w:tcPr>
            <w:tcW w:w="5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3E98B5" w14:textId="77777777" w:rsidR="00BF5974" w:rsidRDefault="00BF5974">
            <w:pPr>
              <w:spacing w:line="256" w:lineRule="auto"/>
              <w:jc w:val="center"/>
              <w:rPr>
                <w:rFonts w:eastAsia="Times New Roman" w:cs="Arial"/>
                <w:b/>
                <w:bCs/>
                <w:sz w:val="20"/>
                <w:szCs w:val="20"/>
                <w:lang w:val="es-ES" w:eastAsia="en-US"/>
              </w:rPr>
            </w:pPr>
            <w:r>
              <w:rPr>
                <w:rFonts w:eastAsia="Times New Roman" w:cs="Arial"/>
                <w:b/>
                <w:bCs/>
                <w:sz w:val="20"/>
                <w:szCs w:val="20"/>
                <w:lang w:val="es-ES" w:eastAsia="en-US"/>
              </w:rPr>
              <w:t>Total</w:t>
            </w:r>
          </w:p>
        </w:tc>
        <w:tc>
          <w:tcPr>
            <w:tcW w:w="16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752335" w14:textId="77777777" w:rsidR="00BF5974" w:rsidRDefault="00BF5974">
            <w:pPr>
              <w:spacing w:line="256" w:lineRule="auto"/>
              <w:jc w:val="right"/>
              <w:rPr>
                <w:rFonts w:eastAsia="Times New Roman" w:cs="Arial"/>
                <w:b/>
                <w:bCs/>
                <w:sz w:val="20"/>
                <w:szCs w:val="20"/>
                <w:lang w:val="es-ES" w:eastAsia="en-US"/>
              </w:rPr>
            </w:pPr>
            <w:r>
              <w:rPr>
                <w:rFonts w:cs="Arial"/>
                <w:b/>
                <w:bCs/>
                <w:color w:val="000000"/>
                <w:sz w:val="20"/>
                <w:szCs w:val="20"/>
                <w:lang w:val="es-ES" w:eastAsia="en-US"/>
              </w:rPr>
              <w:t xml:space="preserve">     238,216,596 </w:t>
            </w:r>
          </w:p>
        </w:tc>
      </w:tr>
    </w:tbl>
    <w:p w14:paraId="3641CCA3" w14:textId="328E6D56" w:rsidR="00BF5974" w:rsidRDefault="00BF5974" w:rsidP="00BF5974">
      <w:pPr>
        <w:rPr>
          <w:rFonts w:cs="Arial"/>
          <w:b/>
          <w:lang w:val="es-ES"/>
        </w:rPr>
      </w:pPr>
    </w:p>
    <w:p w14:paraId="1D054FDD" w14:textId="77777777" w:rsidR="00105286" w:rsidRDefault="00105286" w:rsidP="00BF5974">
      <w:pPr>
        <w:rPr>
          <w:rFonts w:cs="Arial"/>
          <w:b/>
          <w:lang w:val="es-ES"/>
        </w:rPr>
      </w:pPr>
    </w:p>
    <w:p w14:paraId="15546CF3" w14:textId="77777777" w:rsidR="00BF5974" w:rsidRDefault="00BF5974" w:rsidP="00BF5974">
      <w:pPr>
        <w:rPr>
          <w:rFonts w:cs="Arial"/>
          <w:lang w:val="es-ES"/>
        </w:rPr>
      </w:pPr>
      <w:r>
        <w:rPr>
          <w:rFonts w:cs="Arial"/>
          <w:b/>
          <w:lang w:val="es-ES"/>
        </w:rPr>
        <w:t xml:space="preserve">Artículo 46. </w:t>
      </w:r>
      <w:r>
        <w:rPr>
          <w:rFonts w:cs="Arial"/>
          <w:lang w:val="es-ES"/>
        </w:rPr>
        <w:t xml:space="preserve">Las erogaciones por concepto de pago de laudos laborales en el Ejercicio Fiscal 2025 son: </w:t>
      </w:r>
    </w:p>
    <w:p w14:paraId="62E450AF" w14:textId="77777777" w:rsidR="00BF5974" w:rsidRDefault="00BF5974" w:rsidP="00BF5974">
      <w:pPr>
        <w:rPr>
          <w:rFonts w:cs="Arial"/>
          <w:lang w:val="es-ES"/>
        </w:rPr>
      </w:pPr>
    </w:p>
    <w:p w14:paraId="6BF8426E" w14:textId="77777777" w:rsidR="00BF5974" w:rsidRDefault="00BF5974" w:rsidP="00BF5974">
      <w:pPr>
        <w:jc w:val="center"/>
        <w:rPr>
          <w:rFonts w:cs="Arial"/>
          <w:b/>
          <w:sz w:val="20"/>
          <w:lang w:val="es-ES"/>
        </w:rPr>
      </w:pPr>
      <w:r>
        <w:rPr>
          <w:rFonts w:eastAsia="Times New Roman" w:cs="Arial"/>
          <w:b/>
          <w:sz w:val="20"/>
          <w:lang w:val="es-ES"/>
        </w:rPr>
        <w:t>Tabla 33.</w:t>
      </w:r>
      <w:r>
        <w:rPr>
          <w:rFonts w:cs="Arial"/>
          <w:b/>
          <w:sz w:val="20"/>
          <w:lang w:val="es-ES"/>
        </w:rPr>
        <w:t xml:space="preserve"> </w:t>
      </w:r>
      <w:r>
        <w:rPr>
          <w:rFonts w:eastAsia="Times New Roman" w:cs="Arial"/>
          <w:b/>
          <w:sz w:val="20"/>
          <w:lang w:val="es-ES"/>
        </w:rPr>
        <w:t>Pago de Laudos Laborales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5675"/>
        <w:gridCol w:w="1559"/>
      </w:tblGrid>
      <w:tr w:rsidR="00BF5974" w14:paraId="66852900" w14:textId="77777777" w:rsidTr="00BF5974">
        <w:trPr>
          <w:trHeight w:val="283"/>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E1975A4" w14:textId="77777777" w:rsidR="00BF5974" w:rsidRDefault="00BF5974">
            <w:pPr>
              <w:spacing w:line="256" w:lineRule="auto"/>
              <w:jc w:val="center"/>
              <w:rPr>
                <w:rFonts w:cs="Arial"/>
                <w:b/>
                <w:sz w:val="20"/>
                <w:lang w:val="es-ES" w:eastAsia="en-US"/>
              </w:rPr>
            </w:pPr>
            <w:r>
              <w:rPr>
                <w:rFonts w:cs="Arial"/>
                <w:b/>
                <w:sz w:val="20"/>
                <w:lang w:val="es-ES" w:eastAsia="en-US"/>
              </w:rPr>
              <w:t>Partida</w:t>
            </w:r>
          </w:p>
        </w:tc>
        <w:tc>
          <w:tcPr>
            <w:tcW w:w="5675" w:type="dxa"/>
            <w:tcBorders>
              <w:top w:val="single" w:sz="4" w:space="0" w:color="auto"/>
              <w:left w:val="single" w:sz="4" w:space="0" w:color="auto"/>
              <w:bottom w:val="single" w:sz="4" w:space="0" w:color="auto"/>
              <w:right w:val="single" w:sz="4" w:space="0" w:color="auto"/>
            </w:tcBorders>
            <w:vAlign w:val="center"/>
            <w:hideMark/>
          </w:tcPr>
          <w:p w14:paraId="21C2DBD6" w14:textId="77777777" w:rsidR="00BF5974" w:rsidRDefault="00BF5974">
            <w:pPr>
              <w:spacing w:line="256" w:lineRule="auto"/>
              <w:jc w:val="center"/>
              <w:rPr>
                <w:rFonts w:cs="Arial"/>
                <w:b/>
                <w:sz w:val="20"/>
                <w:lang w:val="es-ES" w:eastAsia="en-US"/>
              </w:rPr>
            </w:pPr>
            <w:r>
              <w:rPr>
                <w:rFonts w:cs="Arial"/>
                <w:b/>
                <w:sz w:val="20"/>
                <w:lang w:val="es-ES" w:eastAsia="en-US"/>
              </w:rPr>
              <w:t>Concepto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78709E" w14:textId="77777777" w:rsidR="00BF5974" w:rsidRDefault="00BF5974">
            <w:pPr>
              <w:spacing w:line="256" w:lineRule="auto"/>
              <w:jc w:val="center"/>
              <w:rPr>
                <w:rFonts w:cs="Arial"/>
                <w:b/>
                <w:sz w:val="20"/>
                <w:lang w:val="es-ES" w:eastAsia="en-US"/>
              </w:rPr>
            </w:pPr>
            <w:r>
              <w:rPr>
                <w:rFonts w:cs="Arial"/>
                <w:b/>
                <w:sz w:val="20"/>
                <w:lang w:val="es-ES" w:eastAsia="en-US"/>
              </w:rPr>
              <w:t>Asignación Presupuestal</w:t>
            </w:r>
          </w:p>
        </w:tc>
      </w:tr>
      <w:tr w:rsidR="00BF5974" w14:paraId="3F101A64" w14:textId="77777777" w:rsidTr="00BF5974">
        <w:trPr>
          <w:trHeight w:val="283"/>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D82C968" w14:textId="77777777" w:rsidR="00BF5974" w:rsidRDefault="00BF5974">
            <w:pPr>
              <w:spacing w:line="256" w:lineRule="auto"/>
              <w:jc w:val="center"/>
              <w:rPr>
                <w:rFonts w:cs="Arial"/>
                <w:sz w:val="20"/>
                <w:lang w:val="es-ES" w:eastAsia="en-US"/>
              </w:rPr>
            </w:pPr>
            <w:r>
              <w:rPr>
                <w:rFonts w:cs="Arial"/>
                <w:sz w:val="20"/>
                <w:lang w:val="es-ES" w:eastAsia="en-US"/>
              </w:rPr>
              <w:t>010502001</w:t>
            </w:r>
          </w:p>
        </w:tc>
        <w:tc>
          <w:tcPr>
            <w:tcW w:w="5675" w:type="dxa"/>
            <w:tcBorders>
              <w:top w:val="single" w:sz="4" w:space="0" w:color="auto"/>
              <w:left w:val="single" w:sz="4" w:space="0" w:color="auto"/>
              <w:bottom w:val="single" w:sz="4" w:space="0" w:color="auto"/>
              <w:right w:val="single" w:sz="4" w:space="0" w:color="auto"/>
            </w:tcBorders>
            <w:vAlign w:val="center"/>
            <w:hideMark/>
          </w:tcPr>
          <w:p w14:paraId="3D755D8B" w14:textId="77777777" w:rsidR="00BF5974" w:rsidRDefault="00BF5974">
            <w:pPr>
              <w:spacing w:line="256" w:lineRule="auto"/>
              <w:rPr>
                <w:rFonts w:cs="Arial"/>
                <w:sz w:val="20"/>
                <w:lang w:val="es-ES" w:eastAsia="en-US"/>
              </w:rPr>
            </w:pPr>
            <w:r>
              <w:rPr>
                <w:rFonts w:cs="Arial"/>
                <w:sz w:val="20"/>
                <w:lang w:val="es-ES" w:eastAsia="en-US"/>
              </w:rPr>
              <w:t>Indemnizaciones.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927144" w14:textId="77777777" w:rsidR="00BF5974" w:rsidRDefault="00BF5974">
            <w:pPr>
              <w:spacing w:line="256" w:lineRule="auto"/>
              <w:jc w:val="right"/>
              <w:rPr>
                <w:rFonts w:cs="Arial"/>
                <w:sz w:val="20"/>
                <w:lang w:val="es-ES" w:eastAsia="en-US"/>
              </w:rPr>
            </w:pPr>
            <w:r>
              <w:rPr>
                <w:rFonts w:cs="Arial"/>
                <w:sz w:val="20"/>
                <w:lang w:val="es-ES" w:eastAsia="en-US"/>
              </w:rPr>
              <w:t>8,239,932</w:t>
            </w:r>
          </w:p>
        </w:tc>
      </w:tr>
    </w:tbl>
    <w:p w14:paraId="67D13C40" w14:textId="70195154" w:rsidR="00BF5974" w:rsidRDefault="00BF5974" w:rsidP="00BF5974">
      <w:pPr>
        <w:jc w:val="center"/>
        <w:rPr>
          <w:rFonts w:eastAsia="Times New Roman" w:cs="Arial"/>
          <w:b/>
          <w:lang w:val="es-ES"/>
        </w:rPr>
      </w:pPr>
      <w:bookmarkStart w:id="178" w:name="_Toc526757489"/>
      <w:bookmarkStart w:id="179" w:name="_Toc22021938"/>
      <w:bookmarkStart w:id="180" w:name="_Toc22983194"/>
    </w:p>
    <w:p w14:paraId="1651F509" w14:textId="0EEEED4A" w:rsidR="00105286" w:rsidRDefault="00105286" w:rsidP="00BF5974">
      <w:pPr>
        <w:jc w:val="center"/>
        <w:rPr>
          <w:rFonts w:eastAsia="Times New Roman" w:cs="Arial"/>
          <w:b/>
          <w:lang w:val="es-ES"/>
        </w:rPr>
      </w:pPr>
    </w:p>
    <w:p w14:paraId="7F11E06F" w14:textId="6BDBF723" w:rsidR="00972897" w:rsidRDefault="00972897" w:rsidP="00BF5974">
      <w:pPr>
        <w:jc w:val="center"/>
        <w:rPr>
          <w:rFonts w:eastAsia="Times New Roman" w:cs="Arial"/>
          <w:b/>
          <w:lang w:val="es-ES"/>
        </w:rPr>
      </w:pPr>
    </w:p>
    <w:p w14:paraId="70A4DA72" w14:textId="77777777" w:rsidR="00972897" w:rsidRDefault="00972897" w:rsidP="00BF5974">
      <w:pPr>
        <w:jc w:val="center"/>
        <w:rPr>
          <w:rFonts w:eastAsia="Times New Roman" w:cs="Arial"/>
          <w:b/>
          <w:lang w:val="es-ES"/>
        </w:rPr>
      </w:pPr>
    </w:p>
    <w:p w14:paraId="61015FDB" w14:textId="77777777" w:rsidR="00BF5974" w:rsidRDefault="00BF5974" w:rsidP="00BF5974">
      <w:pPr>
        <w:jc w:val="center"/>
        <w:rPr>
          <w:rFonts w:eastAsia="Times New Roman" w:cs="Arial"/>
          <w:b/>
          <w:lang w:val="es-ES"/>
        </w:rPr>
      </w:pPr>
    </w:p>
    <w:p w14:paraId="0CC73106" w14:textId="77777777" w:rsidR="00BF5974" w:rsidRDefault="00BF5974" w:rsidP="00BF5974">
      <w:pPr>
        <w:jc w:val="center"/>
        <w:rPr>
          <w:rFonts w:eastAsia="Times New Roman" w:cs="Arial"/>
          <w:b/>
          <w:lang w:val="es-ES"/>
        </w:rPr>
      </w:pPr>
      <w:r>
        <w:rPr>
          <w:rFonts w:eastAsia="Times New Roman" w:cs="Arial"/>
          <w:b/>
          <w:lang w:val="es-ES"/>
        </w:rPr>
        <w:lastRenderedPageBreak/>
        <w:t xml:space="preserve">CAPÍTULO </w:t>
      </w:r>
      <w:bookmarkEnd w:id="178"/>
      <w:r>
        <w:rPr>
          <w:rFonts w:eastAsia="Times New Roman" w:cs="Arial"/>
          <w:b/>
          <w:lang w:val="es-ES"/>
        </w:rPr>
        <w:t>X</w:t>
      </w:r>
      <w:bookmarkEnd w:id="179"/>
      <w:bookmarkEnd w:id="180"/>
      <w:r>
        <w:rPr>
          <w:rFonts w:eastAsia="Times New Roman" w:cs="Arial"/>
          <w:b/>
          <w:lang w:val="es-ES"/>
        </w:rPr>
        <w:t>I</w:t>
      </w:r>
    </w:p>
    <w:p w14:paraId="50B06C33" w14:textId="77777777" w:rsidR="00BF5974" w:rsidRDefault="00BF5974" w:rsidP="00BF5974">
      <w:pPr>
        <w:keepNext/>
        <w:keepLines/>
        <w:jc w:val="center"/>
        <w:outlineLvl w:val="0"/>
        <w:rPr>
          <w:rFonts w:eastAsia="Times New Roman" w:cs="Arial"/>
          <w:b/>
          <w:szCs w:val="32"/>
          <w:lang w:val="es-ES"/>
        </w:rPr>
      </w:pPr>
      <w:bookmarkStart w:id="181" w:name="_Toc526757490"/>
      <w:bookmarkStart w:id="182" w:name="_Toc22021939"/>
      <w:bookmarkStart w:id="183" w:name="_Toc22983195"/>
      <w:r>
        <w:rPr>
          <w:rFonts w:eastAsia="Times New Roman" w:cs="Arial"/>
          <w:b/>
          <w:szCs w:val="32"/>
          <w:lang w:val="es-ES"/>
        </w:rPr>
        <w:t>DEL GASTO EDUCATIVO</w:t>
      </w:r>
      <w:bookmarkEnd w:id="181"/>
      <w:bookmarkEnd w:id="182"/>
      <w:bookmarkEnd w:id="183"/>
    </w:p>
    <w:p w14:paraId="1B33C323" w14:textId="77777777" w:rsidR="00BF5974" w:rsidRPr="00330802" w:rsidRDefault="00BF5974" w:rsidP="00BF5974">
      <w:pPr>
        <w:keepNext/>
        <w:keepLines/>
        <w:jc w:val="center"/>
        <w:outlineLvl w:val="0"/>
        <w:rPr>
          <w:rFonts w:eastAsia="Times New Roman" w:cs="Arial"/>
          <w:b/>
          <w:sz w:val="18"/>
          <w:szCs w:val="24"/>
          <w:lang w:val="es-ES"/>
        </w:rPr>
      </w:pPr>
    </w:p>
    <w:p w14:paraId="2BD1CAB1" w14:textId="77777777" w:rsidR="00BF5974" w:rsidRDefault="00BF5974" w:rsidP="00BF5974">
      <w:pPr>
        <w:rPr>
          <w:rFonts w:cs="Arial"/>
          <w:lang w:val="es-ES"/>
        </w:rPr>
      </w:pPr>
      <w:r>
        <w:rPr>
          <w:rFonts w:cs="Arial"/>
          <w:b/>
          <w:lang w:val="es-ES"/>
        </w:rPr>
        <w:t>Artículo 47</w:t>
      </w:r>
      <w:r>
        <w:rPr>
          <w:rFonts w:cs="Arial"/>
          <w:lang w:val="es-ES"/>
        </w:rPr>
        <w:t>. La integración del Gasto Educativo por fuente de financiamiento para el Ejercicio Fiscal 2025 es la siguiente:</w:t>
      </w:r>
    </w:p>
    <w:p w14:paraId="2A59ABE3" w14:textId="77777777" w:rsidR="00BF5974" w:rsidRDefault="00BF5974" w:rsidP="00BF5974">
      <w:pPr>
        <w:keepNext/>
        <w:keepLines/>
        <w:outlineLvl w:val="2"/>
        <w:rPr>
          <w:rFonts w:eastAsia="Times New Roman" w:cs="Arial"/>
          <w:b/>
          <w:sz w:val="10"/>
          <w:szCs w:val="24"/>
          <w:lang w:val="es-ES" w:eastAsia="en-US"/>
        </w:rPr>
      </w:pPr>
    </w:p>
    <w:p w14:paraId="4D23F729" w14:textId="77777777" w:rsidR="00BF5974" w:rsidRPr="00330802" w:rsidRDefault="00BF5974" w:rsidP="00BF5974">
      <w:pPr>
        <w:rPr>
          <w:sz w:val="16"/>
          <w:szCs w:val="16"/>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32"/>
        <w:gridCol w:w="1163"/>
        <w:gridCol w:w="1278"/>
        <w:gridCol w:w="1252"/>
      </w:tblGrid>
      <w:tr w:rsidR="00BF5974" w14:paraId="29BD1A15" w14:textId="77777777" w:rsidTr="00B36120">
        <w:trPr>
          <w:trHeight w:val="20"/>
          <w:tblHeader/>
          <w:jc w:val="center"/>
        </w:trPr>
        <w:tc>
          <w:tcPr>
            <w:tcW w:w="8931" w:type="dxa"/>
            <w:gridSpan w:val="4"/>
            <w:tcBorders>
              <w:top w:val="nil"/>
              <w:left w:val="nil"/>
              <w:bottom w:val="single" w:sz="4" w:space="0" w:color="auto"/>
              <w:right w:val="nil"/>
            </w:tcBorders>
            <w:noWrap/>
            <w:vAlign w:val="center"/>
            <w:hideMark/>
          </w:tcPr>
          <w:p w14:paraId="77CDB59C" w14:textId="77777777" w:rsidR="00BF5974" w:rsidRDefault="00BF5974">
            <w:pPr>
              <w:spacing w:line="256" w:lineRule="auto"/>
              <w:jc w:val="center"/>
              <w:rPr>
                <w:rFonts w:cs="Arial"/>
                <w:b/>
                <w:bCs/>
                <w:sz w:val="16"/>
                <w:szCs w:val="16"/>
                <w:lang w:val="es-ES" w:eastAsia="en-US"/>
              </w:rPr>
            </w:pPr>
            <w:r>
              <w:rPr>
                <w:rFonts w:eastAsia="Times New Roman" w:cs="Arial"/>
                <w:b/>
                <w:sz w:val="20"/>
                <w:lang w:val="es-ES" w:eastAsia="en-US"/>
              </w:rPr>
              <w:t>Tabla 34. Gasto Educativo Estatal</w:t>
            </w:r>
          </w:p>
        </w:tc>
      </w:tr>
      <w:tr w:rsidR="00BF5974" w14:paraId="69AA7A7A" w14:textId="77777777" w:rsidTr="00B36120">
        <w:trPr>
          <w:trHeight w:val="20"/>
          <w:tblHeader/>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569E6D92" w14:textId="77777777" w:rsidR="00BF5974" w:rsidRDefault="00BF5974">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Concepto</w:t>
            </w:r>
          </w:p>
        </w:tc>
        <w:tc>
          <w:tcPr>
            <w:tcW w:w="1164" w:type="dxa"/>
            <w:tcBorders>
              <w:top w:val="single" w:sz="4" w:space="0" w:color="auto"/>
              <w:left w:val="single" w:sz="4" w:space="0" w:color="auto"/>
              <w:bottom w:val="single" w:sz="4" w:space="0" w:color="auto"/>
              <w:right w:val="single" w:sz="4" w:space="0" w:color="auto"/>
            </w:tcBorders>
            <w:vAlign w:val="center"/>
            <w:hideMark/>
          </w:tcPr>
          <w:p w14:paraId="16DE60FE" w14:textId="77777777" w:rsidR="00BF5974" w:rsidRPr="00B36120" w:rsidRDefault="00BF5974">
            <w:pPr>
              <w:spacing w:line="256" w:lineRule="auto"/>
              <w:jc w:val="center"/>
              <w:rPr>
                <w:rFonts w:eastAsia="Times New Roman" w:cs="Arial"/>
                <w:b/>
                <w:bCs/>
                <w:color w:val="000000"/>
                <w:sz w:val="15"/>
                <w:szCs w:val="15"/>
                <w:lang w:val="es-ES" w:eastAsia="en-US"/>
              </w:rPr>
            </w:pPr>
            <w:r w:rsidRPr="00B36120">
              <w:rPr>
                <w:rFonts w:eastAsia="Times New Roman" w:cs="Arial"/>
                <w:b/>
                <w:bCs/>
                <w:color w:val="000000"/>
                <w:sz w:val="15"/>
                <w:szCs w:val="15"/>
                <w:lang w:val="es-ES" w:eastAsia="en-US"/>
              </w:rPr>
              <w:t>Ingresos de Libre Disposición</w:t>
            </w:r>
          </w:p>
        </w:tc>
        <w:tc>
          <w:tcPr>
            <w:tcW w:w="1279" w:type="dxa"/>
            <w:tcBorders>
              <w:top w:val="single" w:sz="4" w:space="0" w:color="auto"/>
              <w:left w:val="single" w:sz="4" w:space="0" w:color="auto"/>
              <w:bottom w:val="single" w:sz="4" w:space="0" w:color="auto"/>
              <w:right w:val="single" w:sz="4" w:space="0" w:color="auto"/>
            </w:tcBorders>
            <w:vAlign w:val="center"/>
            <w:hideMark/>
          </w:tcPr>
          <w:p w14:paraId="6C3BB9C7" w14:textId="77777777" w:rsidR="00BF5974" w:rsidRPr="00B36120" w:rsidRDefault="00BF5974">
            <w:pPr>
              <w:spacing w:line="256" w:lineRule="auto"/>
              <w:jc w:val="center"/>
              <w:rPr>
                <w:rFonts w:eastAsia="Times New Roman" w:cs="Arial"/>
                <w:b/>
                <w:bCs/>
                <w:color w:val="000000"/>
                <w:sz w:val="15"/>
                <w:szCs w:val="15"/>
                <w:lang w:val="es-ES" w:eastAsia="en-US"/>
              </w:rPr>
            </w:pPr>
            <w:r w:rsidRPr="00B36120">
              <w:rPr>
                <w:rFonts w:eastAsia="Times New Roman" w:cs="Arial"/>
                <w:b/>
                <w:bCs/>
                <w:color w:val="000000"/>
                <w:sz w:val="15"/>
                <w:szCs w:val="15"/>
                <w:lang w:val="es-ES" w:eastAsia="en-US"/>
              </w:rPr>
              <w:t>Transferencias Federales Etiquetadas</w:t>
            </w:r>
          </w:p>
        </w:tc>
        <w:tc>
          <w:tcPr>
            <w:tcW w:w="1253" w:type="dxa"/>
            <w:tcBorders>
              <w:top w:val="single" w:sz="4" w:space="0" w:color="auto"/>
              <w:left w:val="single" w:sz="4" w:space="0" w:color="auto"/>
              <w:bottom w:val="single" w:sz="4" w:space="0" w:color="auto"/>
              <w:right w:val="single" w:sz="4" w:space="0" w:color="auto"/>
            </w:tcBorders>
            <w:vAlign w:val="center"/>
            <w:hideMark/>
          </w:tcPr>
          <w:p w14:paraId="4A52E866" w14:textId="77777777" w:rsidR="00BF5974" w:rsidRPr="00B36120" w:rsidRDefault="00BF5974">
            <w:pPr>
              <w:spacing w:line="256" w:lineRule="auto"/>
              <w:jc w:val="center"/>
              <w:rPr>
                <w:rFonts w:eastAsia="Times New Roman" w:cs="Arial"/>
                <w:b/>
                <w:bCs/>
                <w:color w:val="000000"/>
                <w:sz w:val="15"/>
                <w:szCs w:val="15"/>
                <w:lang w:val="es-ES" w:eastAsia="en-US"/>
              </w:rPr>
            </w:pPr>
            <w:r w:rsidRPr="00B36120">
              <w:rPr>
                <w:rFonts w:eastAsia="Times New Roman" w:cs="Arial"/>
                <w:b/>
                <w:bCs/>
                <w:color w:val="000000"/>
                <w:sz w:val="15"/>
                <w:szCs w:val="15"/>
                <w:lang w:val="es-ES" w:eastAsia="en-US"/>
              </w:rPr>
              <w:t>Asignación Presupuestal</w:t>
            </w:r>
          </w:p>
        </w:tc>
      </w:tr>
      <w:tr w:rsidR="00BF5974" w14:paraId="765D738C"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4C2989F7" w14:textId="77777777" w:rsidR="00BF5974" w:rsidRDefault="00BF5974">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Secretaría de Educación y Cultura.</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709E94EE" w14:textId="77777777" w:rsidR="00BF5974" w:rsidRDefault="00BF5974" w:rsidP="00B36120">
            <w:pPr>
              <w:spacing w:line="256" w:lineRule="auto"/>
              <w:ind w:left="-53"/>
              <w:jc w:val="right"/>
              <w:rPr>
                <w:rFonts w:eastAsia="Times New Roman" w:cs="Arial"/>
                <w:b/>
                <w:bCs/>
                <w:color w:val="000000"/>
                <w:sz w:val="16"/>
                <w:szCs w:val="16"/>
                <w:lang w:val="es-ES" w:eastAsia="en-US"/>
              </w:rPr>
            </w:pPr>
            <w:r>
              <w:rPr>
                <w:rFonts w:cs="Arial"/>
                <w:b/>
                <w:bCs/>
                <w:color w:val="000000"/>
                <w:sz w:val="16"/>
                <w:szCs w:val="16"/>
                <w:lang w:val="es-ES" w:eastAsia="en-US"/>
              </w:rPr>
              <w:t xml:space="preserve">1,417,715,535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0EC46440"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7,442,653,911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1F46B369"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8,860,369,446 </w:t>
            </w:r>
          </w:p>
        </w:tc>
      </w:tr>
      <w:tr w:rsidR="00BF5974" w14:paraId="6D438D21"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7A26A8BC" w14:textId="77777777" w:rsidR="00BF5974" w:rsidRDefault="00BF5974">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Servicios Personales.</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38241D46"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613,273,061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5C83CC56"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287,720,576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4742EB24"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900,993,637 </w:t>
            </w:r>
          </w:p>
        </w:tc>
      </w:tr>
      <w:tr w:rsidR="00BF5974" w14:paraId="5ACB90AB"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538A2F03" w14:textId="77777777" w:rsidR="00BF5974" w:rsidRDefault="00BF5974">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Materiales y suministros.</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773A6206"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172,000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15CF7B84"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0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53C229D4"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172,000 </w:t>
            </w:r>
          </w:p>
        </w:tc>
      </w:tr>
      <w:tr w:rsidR="00BF5974" w14:paraId="76C28BC0"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4E79C41D" w14:textId="77777777" w:rsidR="00BF5974" w:rsidRDefault="00BF5974">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Servicios Generales.</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30657E21"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12,214,011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40A4798D"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0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00D7ED98"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12,214,011 </w:t>
            </w:r>
          </w:p>
        </w:tc>
      </w:tr>
      <w:tr w:rsidR="00BF5974" w14:paraId="4A81F3F0"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2078330C" w14:textId="77777777" w:rsidR="00BF5974" w:rsidRDefault="00BF5974">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Transferencias, Asignaciones, Subsidios y Otras    Ayudas.</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3E4B20C3"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792,056,463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6334A4AA"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7,154,933,335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759E0710"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7,946,989,798 </w:t>
            </w:r>
          </w:p>
        </w:tc>
      </w:tr>
      <w:tr w:rsidR="00BF5974" w14:paraId="0AC49974"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7678133A"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Coordinación de los Servicios Educativos Estatales.</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77869E7D"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100,000,000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027B1C85"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4801DE93"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100,000,000 </w:t>
            </w:r>
          </w:p>
        </w:tc>
      </w:tr>
      <w:tr w:rsidR="00BF5974" w14:paraId="7EB679F2"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333FBEC6"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Escuela de Talentos.</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2F867E48"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5,800,000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55A76D84"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1321473C"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5,800,000 </w:t>
            </w:r>
          </w:p>
        </w:tc>
      </w:tr>
      <w:tr w:rsidR="00BF5974" w14:paraId="2C0E9FEA"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39713F1D"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Instituto Superior de Educación Normal del Estado de Colima.</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488EFB4D"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4,100,000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304B828E"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5BDC434C"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4,100,000 </w:t>
            </w:r>
          </w:p>
        </w:tc>
      </w:tr>
      <w:tr w:rsidR="00BF5974" w14:paraId="3A27D428"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48199DAA"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Instituto Colimense de Infraestructura Física Educativa.</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19C24B71"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16,622,031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4DD4E8DE"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7BF67D0A"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16,622,031 </w:t>
            </w:r>
          </w:p>
        </w:tc>
      </w:tr>
      <w:tr w:rsidR="00BF5974" w14:paraId="13234043"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2502CF2F"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Universidad Tecnológica de Manzanillo.</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77D310F1"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28,891,538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773DE9B4"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1D3B9DD9"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28,891,538 </w:t>
            </w:r>
          </w:p>
        </w:tc>
      </w:tr>
      <w:tr w:rsidR="00BF5974" w14:paraId="760FC673"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4A65072E"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Colegio de Educación Profesional Técnica del Estado de Colima.</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20D15C6F"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2,237,398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1AD3D74F"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4BF7A207"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2,237,398 </w:t>
            </w:r>
          </w:p>
        </w:tc>
      </w:tr>
      <w:tr w:rsidR="00BF5974" w14:paraId="4B7C8EDB"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563D16CC"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Colegio de Educación Profesional Técnica (Tecomán).</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00A0750B"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4,001,920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26B6CDD0"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4E025B7C"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4,001,920 </w:t>
            </w:r>
          </w:p>
        </w:tc>
      </w:tr>
      <w:tr w:rsidR="00BF5974" w14:paraId="6A82FADB"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048151D0"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Fondo para la Educación Tecnológica y de Adultos (FAETA/IEEA).</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702C3B67"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6BEFCA03"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52,164,497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6925CEFF"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52,164,497 </w:t>
            </w:r>
          </w:p>
        </w:tc>
      </w:tr>
      <w:tr w:rsidR="00BF5974" w14:paraId="27600281"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3DDE84D1"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Fondo para la Educación Tecnológica y de Adultos (FAETA/CONALEP).</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1C9A16ED"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5E6E4322"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56,872,587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471262AB"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56,872,587 </w:t>
            </w:r>
          </w:p>
        </w:tc>
      </w:tr>
      <w:tr w:rsidR="00BF5974" w14:paraId="0218328D"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294CD42C"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Fondo de Aportaciones para la Nómina Educativa y Gasto Operativo.</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03747680"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25F2D02A"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4,589,706,935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6F288F8E"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4,589,706,935 </w:t>
            </w:r>
          </w:p>
        </w:tc>
      </w:tr>
      <w:tr w:rsidR="00BF5974" w14:paraId="6FAA37FF"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7557F75A"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Infraestructura Educación Media Superior (IEMS).</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4AB93760"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3E8E3C36"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24,804,805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71A8B164"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24,804,805 </w:t>
            </w:r>
          </w:p>
        </w:tc>
      </w:tr>
      <w:tr w:rsidR="00BF5974" w14:paraId="192F3137"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7033166A"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Infraestructura Educación Básica (RAMO 33).</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72EFC62F"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7392E5A4"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169,964,367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6580CC6C"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169,964,367 </w:t>
            </w:r>
          </w:p>
        </w:tc>
      </w:tr>
      <w:tr w:rsidR="00BF5974" w14:paraId="23DB9271"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427FC6A0"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FAM Infraestructura Educación Superior.</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3AF3B214"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32038DD2"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54,718,590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4D6481FD"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54,718,590 </w:t>
            </w:r>
          </w:p>
        </w:tc>
      </w:tr>
      <w:tr w:rsidR="00BF5974" w14:paraId="57F0DBA0"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398DB020"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Universidad de Colima.</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0BAA8283"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550,000,000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275D88A0"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4A4F1BF8"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550,000,000 </w:t>
            </w:r>
          </w:p>
        </w:tc>
      </w:tr>
      <w:tr w:rsidR="00BF5974" w14:paraId="7DFF1169"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4E265D7E"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Universidad Intercultural de Colima.</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30DD98D8"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7,810,400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403D69CA"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10,510,000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0F1043A0"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18,320,400 </w:t>
            </w:r>
          </w:p>
        </w:tc>
      </w:tr>
      <w:tr w:rsidR="00BF5974" w14:paraId="641B50C7"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3D4BE381"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FAM Infraestructura Superior Universidad de Colima.</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2363972B"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3EAB1527"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21,021,107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44574C6A"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21,021,107 </w:t>
            </w:r>
          </w:p>
        </w:tc>
      </w:tr>
      <w:tr w:rsidR="00BF5974" w14:paraId="34B3B5DA"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06F6CD12"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Programa Fortalecimiento a la Excelencia Educativa.</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4525D8CC"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57FAD8DC"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9,586,387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4D5E4617"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9,586,387 </w:t>
            </w:r>
          </w:p>
        </w:tc>
      </w:tr>
      <w:tr w:rsidR="00BF5974" w14:paraId="6B934E9C"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6D542956"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Centros de Educación Media Superior a Distancia.</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50C2AA79"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30,596,146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5712C2E4"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25,958,716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05CB83FE"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56,554,862 </w:t>
            </w:r>
          </w:p>
        </w:tc>
      </w:tr>
      <w:tr w:rsidR="00BF5974" w14:paraId="4935A1E9"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0D3B9E60"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Programa Fortalecimiento de los Servicios de Educación Especial (PFSEE).</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43378B56"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44E94081"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5,897,802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435C5BAC"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5,897,802 </w:t>
            </w:r>
          </w:p>
        </w:tc>
      </w:tr>
      <w:tr w:rsidR="00BF5974" w14:paraId="2EB97098"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29914BFA"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Telebachillerato Comunitario.</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461C719D"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15,965,380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4C3F6BED"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10,381,895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381C3F69"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26,347,275 </w:t>
            </w:r>
          </w:p>
        </w:tc>
      </w:tr>
      <w:tr w:rsidR="00BF5974" w14:paraId="5E74C0C7"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1B213BB5"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Programa Expansión de la Educación Inicial.</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64FC42FA"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3CA261D0"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67,585,416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3C8F3F1B"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67,585,416 </w:t>
            </w:r>
          </w:p>
        </w:tc>
      </w:tr>
      <w:tr w:rsidR="00BF5974" w14:paraId="67B90D60"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4014878E"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Programa Nacional de Inglés.</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6EA136B0"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39BBF18D"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17,538,053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7A2E928C"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17,538,053 </w:t>
            </w:r>
          </w:p>
        </w:tc>
      </w:tr>
      <w:tr w:rsidR="00BF5974" w14:paraId="35D6162C"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41431A47"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Programa para el Desarrollo Profesional Docente.</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4654000B"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1F926F34"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10,522,643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4FC0E320"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10,522,643 </w:t>
            </w:r>
          </w:p>
        </w:tc>
      </w:tr>
      <w:tr w:rsidR="00BF5974" w14:paraId="2E1628EC"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711D5DC3"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Programa de Atención Planteles Públicos de Educación Media Superior con Estudiantes con Discapacidad</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0EA3027F"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1EA370F8"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179,815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7F31A1B9"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179,815 </w:t>
            </w:r>
          </w:p>
        </w:tc>
      </w:tr>
      <w:tr w:rsidR="00BF5974" w14:paraId="1AF93C6D"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232CC32C"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Subsidio federal ordinario y extraordinario de la Universidad de Colima.</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074835DF"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7847590A"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1,989,167,181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642FDB34"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1,989,167,181 </w:t>
            </w:r>
          </w:p>
        </w:tc>
      </w:tr>
      <w:tr w:rsidR="00BF5974" w14:paraId="4A7E7E59"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668FCF9A"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Subsidio Federal Universidad Tecnológica de Manzanillo.</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361C3504"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732AADC5"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33,000,000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47595E2B"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33,000,000 </w:t>
            </w:r>
          </w:p>
        </w:tc>
      </w:tr>
      <w:tr w:rsidR="00BF5974" w14:paraId="56ED050B"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71C1F74B"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Tecnológico Nacional de México Campus Colima.</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3938E5B8"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13,445,900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56D185DB"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3F08FD5F"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13,445,900 </w:t>
            </w:r>
          </w:p>
        </w:tc>
      </w:tr>
      <w:tr w:rsidR="00BF5974" w14:paraId="49D25037"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5DE76789"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Instituto de Educación Inicial del Estado de Colima.</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117BEC3B"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5,000,000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5A2257C4"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728DED37"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5,000,000 </w:t>
            </w:r>
          </w:p>
        </w:tc>
      </w:tr>
      <w:tr w:rsidR="00BF5974" w14:paraId="1E2D6FD4"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245C23ED"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Instituto Estatal de Educación para Adultos.</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7DDAFBAF"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2,585,750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54F65871"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5,352,539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09ABC83D"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7,938,289 </w:t>
            </w:r>
          </w:p>
        </w:tc>
      </w:tr>
      <w:tr w:rsidR="00BF5974" w14:paraId="2EB7ADA6" w14:textId="77777777" w:rsidTr="00BF5974">
        <w:trPr>
          <w:trHeight w:val="20"/>
          <w:jc w:val="center"/>
        </w:trPr>
        <w:tc>
          <w:tcPr>
            <w:tcW w:w="5235" w:type="dxa"/>
            <w:tcBorders>
              <w:top w:val="single" w:sz="4" w:space="0" w:color="auto"/>
              <w:left w:val="single" w:sz="4" w:space="0" w:color="auto"/>
              <w:bottom w:val="single" w:sz="4" w:space="0" w:color="auto"/>
              <w:right w:val="single" w:sz="4" w:space="0" w:color="auto"/>
            </w:tcBorders>
            <w:noWrap/>
            <w:vAlign w:val="center"/>
            <w:hideMark/>
          </w:tcPr>
          <w:p w14:paraId="5027DD2C" w14:textId="77777777" w:rsidR="00BF5974" w:rsidRDefault="00BF5974">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Universidad José Martí.</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245CD3ED"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5,000,000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183AF701" w14:textId="77777777" w:rsidR="00BF5974" w:rsidRDefault="00BF5974">
            <w:pPr>
              <w:spacing w:line="256" w:lineRule="auto"/>
              <w:jc w:val="right"/>
              <w:rPr>
                <w:rFonts w:eastAsia="Times New Roman" w:cs="Arial"/>
                <w:color w:val="000000"/>
                <w:sz w:val="16"/>
                <w:szCs w:val="16"/>
                <w:lang w:val="es-ES" w:eastAsia="en-US"/>
              </w:rPr>
            </w:pPr>
            <w:r>
              <w:rPr>
                <w:rFonts w:cs="Arial"/>
                <w:color w:val="000000"/>
                <w:sz w:val="16"/>
                <w:szCs w:val="16"/>
                <w:lang w:val="es-ES" w:eastAsia="en-US"/>
              </w:rPr>
              <w:t xml:space="preserve">0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292294EA" w14:textId="77777777" w:rsidR="00BF5974" w:rsidRDefault="00BF5974">
            <w:pPr>
              <w:spacing w:line="256" w:lineRule="auto"/>
              <w:jc w:val="right"/>
              <w:rPr>
                <w:rFonts w:eastAsia="Times New Roman" w:cs="Arial"/>
                <w:b/>
                <w:bCs/>
                <w:color w:val="000000"/>
                <w:sz w:val="16"/>
                <w:szCs w:val="16"/>
                <w:lang w:val="es-ES" w:eastAsia="en-US"/>
              </w:rPr>
            </w:pPr>
            <w:r>
              <w:rPr>
                <w:rFonts w:cs="Arial"/>
                <w:b/>
                <w:bCs/>
                <w:color w:val="000000"/>
                <w:sz w:val="16"/>
                <w:szCs w:val="16"/>
                <w:lang w:val="es-ES" w:eastAsia="en-US"/>
              </w:rPr>
              <w:t xml:space="preserve">5,000,000 </w:t>
            </w:r>
          </w:p>
        </w:tc>
      </w:tr>
    </w:tbl>
    <w:p w14:paraId="578D8E92" w14:textId="77777777" w:rsidR="00BF5974" w:rsidRDefault="00BF5974" w:rsidP="00BF5974">
      <w:pPr>
        <w:ind w:left="284"/>
        <w:rPr>
          <w:rFonts w:cs="Arial"/>
          <w:sz w:val="15"/>
          <w:szCs w:val="15"/>
          <w:lang w:val="es-ES"/>
        </w:rPr>
      </w:pPr>
      <w:r>
        <w:rPr>
          <w:rFonts w:cs="Arial"/>
          <w:b/>
          <w:sz w:val="15"/>
          <w:szCs w:val="15"/>
          <w:lang w:val="es-ES"/>
        </w:rPr>
        <w:t>Nota</w:t>
      </w:r>
      <w:r>
        <w:rPr>
          <w:rFonts w:cs="Arial"/>
          <w:sz w:val="15"/>
          <w:szCs w:val="15"/>
          <w:lang w:val="es-ES"/>
        </w:rPr>
        <w:t xml:space="preserve">: El monto de </w:t>
      </w:r>
      <w:r>
        <w:rPr>
          <w:rFonts w:eastAsiaTheme="minorHAnsi" w:cs="Arial"/>
          <w:color w:val="000000"/>
          <w:sz w:val="15"/>
          <w:szCs w:val="15"/>
          <w:lang w:eastAsia="en-US"/>
        </w:rPr>
        <w:t>Instituto Superior de Educación Normal del Estado de Colima</w:t>
      </w:r>
      <w:r>
        <w:rPr>
          <w:rFonts w:cs="Arial"/>
          <w:sz w:val="15"/>
          <w:szCs w:val="15"/>
          <w:lang w:val="es-ES"/>
        </w:rPr>
        <w:t xml:space="preserve"> solo refleja el gasto operativo.</w:t>
      </w:r>
    </w:p>
    <w:p w14:paraId="6CA36C00" w14:textId="613214F0" w:rsidR="00BF5974" w:rsidRDefault="00BF5974" w:rsidP="00BF5974">
      <w:pPr>
        <w:rPr>
          <w:rFonts w:cs="Arial"/>
          <w:b/>
          <w:lang w:val="es-ES"/>
        </w:rPr>
      </w:pPr>
    </w:p>
    <w:p w14:paraId="595A1DA4" w14:textId="77777777" w:rsidR="00105286" w:rsidRDefault="00105286" w:rsidP="00BF5974">
      <w:pPr>
        <w:rPr>
          <w:rFonts w:cs="Arial"/>
          <w:b/>
          <w:lang w:val="es-ES"/>
        </w:rPr>
      </w:pPr>
    </w:p>
    <w:p w14:paraId="54732A98" w14:textId="77777777" w:rsidR="00BF5974" w:rsidRDefault="00BF5974" w:rsidP="00BF5974">
      <w:pPr>
        <w:rPr>
          <w:rFonts w:cs="Arial"/>
          <w:lang w:val="es-ES"/>
        </w:rPr>
      </w:pPr>
      <w:r>
        <w:rPr>
          <w:rFonts w:cs="Arial"/>
          <w:b/>
          <w:lang w:val="es-ES"/>
        </w:rPr>
        <w:lastRenderedPageBreak/>
        <w:t>Artículo 48</w:t>
      </w:r>
      <w:r>
        <w:rPr>
          <w:rFonts w:cs="Arial"/>
          <w:lang w:val="es-ES"/>
        </w:rPr>
        <w:t>. El Gasto Educativo por nivel educativo y fuente de financiamiento para el Ejercicio Fiscal 2025 es el siguiente:</w:t>
      </w:r>
    </w:p>
    <w:p w14:paraId="6135E6F4" w14:textId="77777777" w:rsidR="00BF5974" w:rsidRDefault="00BF5974" w:rsidP="00BF5974">
      <w:pPr>
        <w:keepNext/>
        <w:keepLines/>
        <w:outlineLvl w:val="2"/>
        <w:rPr>
          <w:rFonts w:eastAsia="Times New Roman" w:cs="Arial"/>
          <w:b/>
          <w:szCs w:val="24"/>
          <w:lang w:val="es-ES" w:eastAsia="en-US"/>
        </w:rPr>
      </w:pPr>
    </w:p>
    <w:tbl>
      <w:tblPr>
        <w:tblW w:w="7720" w:type="dxa"/>
        <w:jc w:val="center"/>
        <w:tblCellMar>
          <w:left w:w="70" w:type="dxa"/>
          <w:right w:w="70" w:type="dxa"/>
        </w:tblCellMar>
        <w:tblLook w:val="04A0" w:firstRow="1" w:lastRow="0" w:firstColumn="1" w:lastColumn="0" w:noHBand="0" w:noVBand="1"/>
      </w:tblPr>
      <w:tblGrid>
        <w:gridCol w:w="3114"/>
        <w:gridCol w:w="1520"/>
        <w:gridCol w:w="1563"/>
        <w:gridCol w:w="1523"/>
      </w:tblGrid>
      <w:tr w:rsidR="00BF5974" w:rsidRPr="00330802" w14:paraId="0B4468F8" w14:textId="77777777" w:rsidTr="00BF5974">
        <w:trPr>
          <w:trHeight w:val="460"/>
          <w:tblHeader/>
          <w:jc w:val="center"/>
        </w:trPr>
        <w:tc>
          <w:tcPr>
            <w:tcW w:w="7720" w:type="dxa"/>
            <w:gridSpan w:val="4"/>
            <w:tcBorders>
              <w:top w:val="nil"/>
              <w:left w:val="nil"/>
              <w:bottom w:val="single" w:sz="4" w:space="0" w:color="auto"/>
              <w:right w:val="nil"/>
            </w:tcBorders>
            <w:vAlign w:val="center"/>
            <w:hideMark/>
          </w:tcPr>
          <w:p w14:paraId="6BEA0165" w14:textId="77777777" w:rsidR="00BF5974" w:rsidRPr="00330802" w:rsidRDefault="00BF5974">
            <w:pPr>
              <w:spacing w:line="256" w:lineRule="auto"/>
              <w:jc w:val="center"/>
              <w:rPr>
                <w:rFonts w:eastAsia="Times New Roman" w:cs="Arial"/>
                <w:b/>
                <w:bCs/>
                <w:color w:val="000000"/>
                <w:sz w:val="20"/>
                <w:lang w:val="es-ES" w:eastAsia="en-US"/>
              </w:rPr>
            </w:pPr>
            <w:r w:rsidRPr="00330802">
              <w:rPr>
                <w:rFonts w:eastAsia="Times New Roman" w:cs="Arial"/>
                <w:b/>
                <w:sz w:val="20"/>
                <w:lang w:val="es-ES" w:eastAsia="en-US"/>
              </w:rPr>
              <w:t>Tabla 35. Gasto Educativo por Nivel Educativo</w:t>
            </w:r>
          </w:p>
        </w:tc>
      </w:tr>
      <w:tr w:rsidR="00BF5974" w:rsidRPr="00330802" w14:paraId="28BD6602" w14:textId="77777777" w:rsidTr="00BF5974">
        <w:trPr>
          <w:trHeight w:val="460"/>
          <w:tblHeade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5A7BAD83" w14:textId="77777777" w:rsidR="00BF5974" w:rsidRPr="00330802" w:rsidRDefault="00BF5974">
            <w:pPr>
              <w:spacing w:line="256" w:lineRule="auto"/>
              <w:jc w:val="center"/>
              <w:rPr>
                <w:rFonts w:eastAsia="Times New Roman" w:cs="Arial"/>
                <w:b/>
                <w:bCs/>
                <w:color w:val="000000"/>
                <w:sz w:val="20"/>
                <w:szCs w:val="20"/>
                <w:lang w:val="es-ES" w:eastAsia="en-US"/>
              </w:rPr>
            </w:pPr>
            <w:r w:rsidRPr="00330802">
              <w:rPr>
                <w:rFonts w:eastAsia="Times New Roman" w:cs="Arial"/>
                <w:b/>
                <w:bCs/>
                <w:color w:val="000000"/>
                <w:sz w:val="20"/>
                <w:szCs w:val="20"/>
                <w:lang w:val="es-ES" w:eastAsia="en-US"/>
              </w:rPr>
              <w:t>Concepto</w:t>
            </w:r>
          </w:p>
        </w:tc>
        <w:tc>
          <w:tcPr>
            <w:tcW w:w="1520" w:type="dxa"/>
            <w:tcBorders>
              <w:top w:val="single" w:sz="4" w:space="0" w:color="auto"/>
              <w:left w:val="nil"/>
              <w:bottom w:val="single" w:sz="4" w:space="0" w:color="auto"/>
              <w:right w:val="single" w:sz="4" w:space="0" w:color="auto"/>
            </w:tcBorders>
            <w:vAlign w:val="center"/>
            <w:hideMark/>
          </w:tcPr>
          <w:p w14:paraId="55BC5600" w14:textId="77777777" w:rsidR="00BF5974" w:rsidRPr="00330802" w:rsidRDefault="00BF5974">
            <w:pPr>
              <w:spacing w:line="256" w:lineRule="auto"/>
              <w:jc w:val="center"/>
              <w:rPr>
                <w:rFonts w:eastAsia="Times New Roman" w:cs="Arial"/>
                <w:b/>
                <w:bCs/>
                <w:color w:val="000000"/>
                <w:sz w:val="16"/>
                <w:szCs w:val="16"/>
                <w:lang w:val="es-ES" w:eastAsia="en-US"/>
              </w:rPr>
            </w:pPr>
            <w:r w:rsidRPr="00330802">
              <w:rPr>
                <w:rFonts w:eastAsia="Times New Roman" w:cs="Arial"/>
                <w:b/>
                <w:bCs/>
                <w:sz w:val="16"/>
                <w:szCs w:val="16"/>
                <w:lang w:val="es-ES" w:eastAsia="en-US"/>
              </w:rPr>
              <w:t>Ingresos de Libre Disposición</w:t>
            </w:r>
          </w:p>
        </w:tc>
        <w:tc>
          <w:tcPr>
            <w:tcW w:w="1563" w:type="dxa"/>
            <w:tcBorders>
              <w:top w:val="single" w:sz="4" w:space="0" w:color="auto"/>
              <w:left w:val="nil"/>
              <w:bottom w:val="single" w:sz="4" w:space="0" w:color="auto"/>
              <w:right w:val="single" w:sz="4" w:space="0" w:color="auto"/>
            </w:tcBorders>
            <w:vAlign w:val="center"/>
            <w:hideMark/>
          </w:tcPr>
          <w:p w14:paraId="353C2EEB" w14:textId="77777777" w:rsidR="00BF5974" w:rsidRPr="00330802" w:rsidRDefault="00BF5974">
            <w:pPr>
              <w:spacing w:line="256" w:lineRule="auto"/>
              <w:jc w:val="center"/>
              <w:rPr>
                <w:rFonts w:eastAsia="Times New Roman" w:cs="Arial"/>
                <w:b/>
                <w:bCs/>
                <w:color w:val="000000"/>
                <w:sz w:val="16"/>
                <w:szCs w:val="16"/>
                <w:lang w:val="es-ES" w:eastAsia="en-US"/>
              </w:rPr>
            </w:pPr>
            <w:r w:rsidRPr="00330802">
              <w:rPr>
                <w:rFonts w:eastAsia="Times New Roman" w:cs="Arial"/>
                <w:b/>
                <w:bCs/>
                <w:sz w:val="16"/>
                <w:szCs w:val="16"/>
                <w:lang w:val="es-ES" w:eastAsia="en-US"/>
              </w:rPr>
              <w:t>Transferencias Federales Etiquetadas</w:t>
            </w:r>
          </w:p>
        </w:tc>
        <w:tc>
          <w:tcPr>
            <w:tcW w:w="1523" w:type="dxa"/>
            <w:tcBorders>
              <w:top w:val="single" w:sz="4" w:space="0" w:color="auto"/>
              <w:left w:val="nil"/>
              <w:bottom w:val="single" w:sz="4" w:space="0" w:color="auto"/>
              <w:right w:val="single" w:sz="4" w:space="0" w:color="auto"/>
            </w:tcBorders>
            <w:vAlign w:val="center"/>
            <w:hideMark/>
          </w:tcPr>
          <w:p w14:paraId="60E0BCF1" w14:textId="77777777" w:rsidR="00BF5974" w:rsidRPr="00330802" w:rsidRDefault="00BF5974">
            <w:pPr>
              <w:spacing w:line="256" w:lineRule="auto"/>
              <w:jc w:val="center"/>
              <w:rPr>
                <w:rFonts w:eastAsia="Times New Roman" w:cs="Arial"/>
                <w:b/>
                <w:bCs/>
                <w:color w:val="000000"/>
                <w:sz w:val="20"/>
                <w:szCs w:val="20"/>
                <w:lang w:val="es-ES" w:eastAsia="en-US"/>
              </w:rPr>
            </w:pPr>
            <w:r w:rsidRPr="00330802">
              <w:rPr>
                <w:rFonts w:eastAsia="Times New Roman" w:cs="Arial"/>
                <w:b/>
                <w:bCs/>
                <w:color w:val="000000"/>
                <w:sz w:val="20"/>
                <w:szCs w:val="20"/>
                <w:lang w:val="es-ES" w:eastAsia="en-US"/>
              </w:rPr>
              <w:t>Asignación Presupuestal</w:t>
            </w:r>
          </w:p>
        </w:tc>
      </w:tr>
      <w:tr w:rsidR="00330802" w:rsidRPr="00330802" w14:paraId="6C95875B" w14:textId="77777777" w:rsidTr="00BF5974">
        <w:trPr>
          <w:trHeight w:val="260"/>
          <w:jc w:val="center"/>
        </w:trPr>
        <w:tc>
          <w:tcPr>
            <w:tcW w:w="3114" w:type="dxa"/>
            <w:tcBorders>
              <w:top w:val="nil"/>
              <w:left w:val="single" w:sz="4" w:space="0" w:color="auto"/>
              <w:bottom w:val="single" w:sz="4" w:space="0" w:color="auto"/>
              <w:right w:val="single" w:sz="4" w:space="0" w:color="auto"/>
            </w:tcBorders>
            <w:noWrap/>
            <w:vAlign w:val="center"/>
            <w:hideMark/>
          </w:tcPr>
          <w:p w14:paraId="04FF2941" w14:textId="77777777" w:rsidR="00330802" w:rsidRPr="00330802" w:rsidRDefault="00330802" w:rsidP="00330802">
            <w:pPr>
              <w:spacing w:line="256" w:lineRule="auto"/>
              <w:rPr>
                <w:rFonts w:eastAsia="Times New Roman" w:cs="Arial"/>
                <w:color w:val="000000"/>
                <w:sz w:val="20"/>
                <w:szCs w:val="20"/>
                <w:lang w:val="es-ES" w:eastAsia="en-US"/>
              </w:rPr>
            </w:pPr>
            <w:r w:rsidRPr="00330802">
              <w:rPr>
                <w:rFonts w:eastAsia="Times New Roman" w:cs="Arial"/>
                <w:color w:val="000000"/>
                <w:sz w:val="20"/>
                <w:szCs w:val="20"/>
                <w:lang w:val="es-ES" w:eastAsia="en-US"/>
              </w:rPr>
              <w:t>Educación Básica.</w:t>
            </w:r>
          </w:p>
        </w:tc>
        <w:tc>
          <w:tcPr>
            <w:tcW w:w="1520" w:type="dxa"/>
            <w:tcBorders>
              <w:top w:val="nil"/>
              <w:left w:val="nil"/>
              <w:bottom w:val="single" w:sz="4" w:space="0" w:color="auto"/>
              <w:right w:val="single" w:sz="4" w:space="0" w:color="auto"/>
            </w:tcBorders>
            <w:noWrap/>
            <w:vAlign w:val="center"/>
            <w:hideMark/>
          </w:tcPr>
          <w:p w14:paraId="4BDE63E0" w14:textId="468E7BF7" w:rsidR="00330802" w:rsidRPr="00330802" w:rsidRDefault="00330802" w:rsidP="00330802">
            <w:pPr>
              <w:spacing w:line="256" w:lineRule="auto"/>
              <w:jc w:val="right"/>
              <w:rPr>
                <w:rFonts w:eastAsia="Times New Roman" w:cs="Arial"/>
                <w:color w:val="000000"/>
                <w:sz w:val="20"/>
                <w:szCs w:val="20"/>
                <w:lang w:val="es-ES" w:eastAsia="en-US"/>
              </w:rPr>
            </w:pPr>
            <w:r w:rsidRPr="00330802">
              <w:rPr>
                <w:rFonts w:cs="Arial"/>
                <w:color w:val="000000"/>
                <w:sz w:val="20"/>
                <w:szCs w:val="20"/>
              </w:rPr>
              <w:t>593,148,611</w:t>
            </w:r>
          </w:p>
        </w:tc>
        <w:tc>
          <w:tcPr>
            <w:tcW w:w="1563" w:type="dxa"/>
            <w:tcBorders>
              <w:top w:val="nil"/>
              <w:left w:val="nil"/>
              <w:bottom w:val="single" w:sz="4" w:space="0" w:color="auto"/>
              <w:right w:val="single" w:sz="4" w:space="0" w:color="auto"/>
            </w:tcBorders>
            <w:noWrap/>
            <w:vAlign w:val="center"/>
            <w:hideMark/>
          </w:tcPr>
          <w:p w14:paraId="2DAA6A3C" w14:textId="3F70A690" w:rsidR="00330802" w:rsidRPr="00330802" w:rsidRDefault="00330802" w:rsidP="00330802">
            <w:pPr>
              <w:spacing w:line="256" w:lineRule="auto"/>
              <w:jc w:val="right"/>
              <w:rPr>
                <w:rFonts w:eastAsia="Times New Roman" w:cs="Arial"/>
                <w:color w:val="000000"/>
                <w:sz w:val="20"/>
                <w:szCs w:val="20"/>
                <w:lang w:val="es-ES" w:eastAsia="en-US"/>
              </w:rPr>
            </w:pPr>
            <w:r w:rsidRPr="00330802">
              <w:rPr>
                <w:rFonts w:cs="Arial"/>
                <w:color w:val="000000"/>
                <w:sz w:val="20"/>
                <w:szCs w:val="20"/>
              </w:rPr>
              <w:t>5,216,039,215</w:t>
            </w:r>
          </w:p>
        </w:tc>
        <w:tc>
          <w:tcPr>
            <w:tcW w:w="1523" w:type="dxa"/>
            <w:tcBorders>
              <w:top w:val="nil"/>
              <w:left w:val="nil"/>
              <w:bottom w:val="single" w:sz="4" w:space="0" w:color="auto"/>
              <w:right w:val="single" w:sz="4" w:space="0" w:color="auto"/>
            </w:tcBorders>
            <w:noWrap/>
            <w:vAlign w:val="center"/>
            <w:hideMark/>
          </w:tcPr>
          <w:p w14:paraId="7DBA3BD0" w14:textId="682DC739" w:rsidR="00330802" w:rsidRPr="00330802" w:rsidRDefault="00330802" w:rsidP="00330802">
            <w:pPr>
              <w:spacing w:line="256" w:lineRule="auto"/>
              <w:jc w:val="right"/>
              <w:rPr>
                <w:rFonts w:eastAsia="Times New Roman" w:cs="Arial"/>
                <w:b/>
                <w:bCs/>
                <w:color w:val="000000"/>
                <w:sz w:val="20"/>
                <w:szCs w:val="20"/>
                <w:lang w:val="es-ES" w:eastAsia="en-US"/>
              </w:rPr>
            </w:pPr>
            <w:r w:rsidRPr="00330802">
              <w:rPr>
                <w:rFonts w:cs="Arial"/>
                <w:color w:val="000000"/>
                <w:sz w:val="20"/>
                <w:szCs w:val="20"/>
              </w:rPr>
              <w:t>5,809,187,826</w:t>
            </w:r>
          </w:p>
        </w:tc>
      </w:tr>
      <w:tr w:rsidR="00330802" w:rsidRPr="00330802" w14:paraId="7A92CBE4" w14:textId="77777777" w:rsidTr="00BF5974">
        <w:trPr>
          <w:trHeight w:val="260"/>
          <w:jc w:val="center"/>
        </w:trPr>
        <w:tc>
          <w:tcPr>
            <w:tcW w:w="3114" w:type="dxa"/>
            <w:tcBorders>
              <w:top w:val="nil"/>
              <w:left w:val="single" w:sz="4" w:space="0" w:color="auto"/>
              <w:bottom w:val="single" w:sz="4" w:space="0" w:color="auto"/>
              <w:right w:val="single" w:sz="4" w:space="0" w:color="auto"/>
            </w:tcBorders>
            <w:noWrap/>
            <w:vAlign w:val="center"/>
            <w:hideMark/>
          </w:tcPr>
          <w:p w14:paraId="3F76A45F" w14:textId="77777777" w:rsidR="00330802" w:rsidRPr="00330802" w:rsidRDefault="00330802" w:rsidP="00330802">
            <w:pPr>
              <w:spacing w:line="256" w:lineRule="auto"/>
              <w:rPr>
                <w:rFonts w:eastAsia="Times New Roman" w:cs="Arial"/>
                <w:color w:val="000000"/>
                <w:sz w:val="20"/>
                <w:szCs w:val="20"/>
                <w:lang w:val="es-ES" w:eastAsia="en-US"/>
              </w:rPr>
            </w:pPr>
            <w:r w:rsidRPr="00330802">
              <w:rPr>
                <w:rFonts w:eastAsia="Times New Roman" w:cs="Arial"/>
                <w:color w:val="000000"/>
                <w:sz w:val="20"/>
                <w:szCs w:val="20"/>
                <w:lang w:val="es-ES" w:eastAsia="en-US"/>
              </w:rPr>
              <w:t>Educación Media Superior.</w:t>
            </w:r>
          </w:p>
        </w:tc>
        <w:tc>
          <w:tcPr>
            <w:tcW w:w="1520" w:type="dxa"/>
            <w:tcBorders>
              <w:top w:val="nil"/>
              <w:left w:val="nil"/>
              <w:bottom w:val="single" w:sz="4" w:space="0" w:color="auto"/>
              <w:right w:val="single" w:sz="4" w:space="0" w:color="auto"/>
            </w:tcBorders>
            <w:noWrap/>
            <w:vAlign w:val="center"/>
            <w:hideMark/>
          </w:tcPr>
          <w:p w14:paraId="458CA328" w14:textId="347DC747" w:rsidR="00330802" w:rsidRPr="00330802" w:rsidRDefault="00330802" w:rsidP="00330802">
            <w:pPr>
              <w:spacing w:line="256" w:lineRule="auto"/>
              <w:jc w:val="right"/>
              <w:rPr>
                <w:rFonts w:eastAsia="Times New Roman" w:cs="Arial"/>
                <w:color w:val="000000"/>
                <w:sz w:val="20"/>
                <w:szCs w:val="20"/>
                <w:lang w:val="es-ES" w:eastAsia="en-US"/>
              </w:rPr>
            </w:pPr>
            <w:r w:rsidRPr="00330802">
              <w:rPr>
                <w:rFonts w:cs="Arial"/>
                <w:color w:val="000000"/>
                <w:sz w:val="20"/>
                <w:szCs w:val="20"/>
              </w:rPr>
              <w:t>52,800,844</w:t>
            </w:r>
          </w:p>
        </w:tc>
        <w:tc>
          <w:tcPr>
            <w:tcW w:w="1563" w:type="dxa"/>
            <w:tcBorders>
              <w:top w:val="nil"/>
              <w:left w:val="nil"/>
              <w:bottom w:val="single" w:sz="4" w:space="0" w:color="auto"/>
              <w:right w:val="single" w:sz="4" w:space="0" w:color="auto"/>
            </w:tcBorders>
            <w:noWrap/>
            <w:vAlign w:val="center"/>
            <w:hideMark/>
          </w:tcPr>
          <w:p w14:paraId="3F5C1CC8" w14:textId="76A65189" w:rsidR="00330802" w:rsidRPr="00330802" w:rsidRDefault="00330802" w:rsidP="00330802">
            <w:pPr>
              <w:spacing w:line="256" w:lineRule="auto"/>
              <w:jc w:val="right"/>
              <w:rPr>
                <w:rFonts w:eastAsia="Times New Roman" w:cs="Arial"/>
                <w:color w:val="000000"/>
                <w:sz w:val="20"/>
                <w:szCs w:val="20"/>
                <w:lang w:val="es-ES" w:eastAsia="en-US"/>
              </w:rPr>
            </w:pPr>
            <w:r w:rsidRPr="00330802">
              <w:rPr>
                <w:rFonts w:cs="Arial"/>
                <w:color w:val="000000"/>
                <w:sz w:val="20"/>
                <w:szCs w:val="20"/>
              </w:rPr>
              <w:t>118,197,818</w:t>
            </w:r>
          </w:p>
        </w:tc>
        <w:tc>
          <w:tcPr>
            <w:tcW w:w="1523" w:type="dxa"/>
            <w:tcBorders>
              <w:top w:val="nil"/>
              <w:left w:val="nil"/>
              <w:bottom w:val="single" w:sz="4" w:space="0" w:color="auto"/>
              <w:right w:val="single" w:sz="4" w:space="0" w:color="auto"/>
            </w:tcBorders>
            <w:noWrap/>
            <w:vAlign w:val="center"/>
            <w:hideMark/>
          </w:tcPr>
          <w:p w14:paraId="4BC90A09" w14:textId="5014FA11" w:rsidR="00330802" w:rsidRPr="00330802" w:rsidRDefault="00330802" w:rsidP="00330802">
            <w:pPr>
              <w:spacing w:line="256" w:lineRule="auto"/>
              <w:jc w:val="right"/>
              <w:rPr>
                <w:rFonts w:eastAsia="Times New Roman" w:cs="Arial"/>
                <w:b/>
                <w:bCs/>
                <w:color w:val="000000"/>
                <w:sz w:val="20"/>
                <w:szCs w:val="20"/>
                <w:lang w:val="es-ES" w:eastAsia="en-US"/>
              </w:rPr>
            </w:pPr>
            <w:r w:rsidRPr="00330802">
              <w:rPr>
                <w:rFonts w:cs="Arial"/>
                <w:color w:val="000000"/>
                <w:sz w:val="20"/>
                <w:szCs w:val="20"/>
              </w:rPr>
              <w:t>170,998,662</w:t>
            </w:r>
          </w:p>
        </w:tc>
      </w:tr>
      <w:tr w:rsidR="00330802" w:rsidRPr="00330802" w14:paraId="49446487" w14:textId="77777777" w:rsidTr="00BF5974">
        <w:trPr>
          <w:trHeight w:val="260"/>
          <w:jc w:val="center"/>
        </w:trPr>
        <w:tc>
          <w:tcPr>
            <w:tcW w:w="3114" w:type="dxa"/>
            <w:tcBorders>
              <w:top w:val="nil"/>
              <w:left w:val="single" w:sz="4" w:space="0" w:color="auto"/>
              <w:bottom w:val="single" w:sz="4" w:space="0" w:color="auto"/>
              <w:right w:val="single" w:sz="4" w:space="0" w:color="auto"/>
            </w:tcBorders>
            <w:noWrap/>
            <w:vAlign w:val="center"/>
            <w:hideMark/>
          </w:tcPr>
          <w:p w14:paraId="6CA4D4C0" w14:textId="77777777" w:rsidR="00330802" w:rsidRPr="00330802" w:rsidRDefault="00330802" w:rsidP="00330802">
            <w:pPr>
              <w:spacing w:line="256" w:lineRule="auto"/>
              <w:rPr>
                <w:rFonts w:eastAsia="Times New Roman" w:cs="Arial"/>
                <w:color w:val="000000"/>
                <w:sz w:val="20"/>
                <w:szCs w:val="20"/>
                <w:lang w:val="es-ES" w:eastAsia="en-US"/>
              </w:rPr>
            </w:pPr>
            <w:r w:rsidRPr="00330802">
              <w:rPr>
                <w:rFonts w:eastAsia="Times New Roman" w:cs="Arial"/>
                <w:color w:val="000000"/>
                <w:sz w:val="20"/>
                <w:szCs w:val="20"/>
                <w:lang w:val="es-ES" w:eastAsia="en-US"/>
              </w:rPr>
              <w:t>Educación Superior.</w:t>
            </w:r>
          </w:p>
        </w:tc>
        <w:tc>
          <w:tcPr>
            <w:tcW w:w="1520" w:type="dxa"/>
            <w:tcBorders>
              <w:top w:val="nil"/>
              <w:left w:val="nil"/>
              <w:bottom w:val="single" w:sz="4" w:space="0" w:color="auto"/>
              <w:right w:val="single" w:sz="4" w:space="0" w:color="auto"/>
            </w:tcBorders>
            <w:noWrap/>
            <w:vAlign w:val="center"/>
            <w:hideMark/>
          </w:tcPr>
          <w:p w14:paraId="0A82AB63" w14:textId="1A9A7139" w:rsidR="00330802" w:rsidRPr="00330802" w:rsidRDefault="00330802" w:rsidP="00330802">
            <w:pPr>
              <w:spacing w:line="256" w:lineRule="auto"/>
              <w:jc w:val="right"/>
              <w:rPr>
                <w:rFonts w:eastAsia="Times New Roman" w:cs="Arial"/>
                <w:color w:val="000000"/>
                <w:sz w:val="20"/>
                <w:szCs w:val="20"/>
                <w:lang w:val="es-ES" w:eastAsia="en-US"/>
              </w:rPr>
            </w:pPr>
            <w:r w:rsidRPr="00330802">
              <w:rPr>
                <w:rFonts w:cs="Arial"/>
                <w:color w:val="000000"/>
                <w:sz w:val="20"/>
                <w:szCs w:val="20"/>
              </w:rPr>
              <w:t>771,766,080</w:t>
            </w:r>
          </w:p>
        </w:tc>
        <w:tc>
          <w:tcPr>
            <w:tcW w:w="1563" w:type="dxa"/>
            <w:tcBorders>
              <w:top w:val="nil"/>
              <w:left w:val="nil"/>
              <w:bottom w:val="single" w:sz="4" w:space="0" w:color="auto"/>
              <w:right w:val="single" w:sz="4" w:space="0" w:color="auto"/>
            </w:tcBorders>
            <w:noWrap/>
            <w:vAlign w:val="center"/>
            <w:hideMark/>
          </w:tcPr>
          <w:p w14:paraId="51F59C27" w14:textId="54B14D93" w:rsidR="00330802" w:rsidRPr="00330802" w:rsidRDefault="00330802" w:rsidP="00330802">
            <w:pPr>
              <w:spacing w:line="256" w:lineRule="auto"/>
              <w:jc w:val="right"/>
              <w:rPr>
                <w:rFonts w:eastAsia="Times New Roman" w:cs="Arial"/>
                <w:color w:val="000000"/>
                <w:sz w:val="20"/>
                <w:szCs w:val="20"/>
                <w:lang w:val="es-ES" w:eastAsia="en-US"/>
              </w:rPr>
            </w:pPr>
            <w:r w:rsidRPr="00330802">
              <w:rPr>
                <w:rFonts w:cs="Arial"/>
                <w:color w:val="000000"/>
                <w:sz w:val="20"/>
                <w:szCs w:val="20"/>
              </w:rPr>
              <w:t>2,108,416,878</w:t>
            </w:r>
          </w:p>
        </w:tc>
        <w:tc>
          <w:tcPr>
            <w:tcW w:w="1523" w:type="dxa"/>
            <w:tcBorders>
              <w:top w:val="nil"/>
              <w:left w:val="nil"/>
              <w:bottom w:val="single" w:sz="4" w:space="0" w:color="auto"/>
              <w:right w:val="single" w:sz="4" w:space="0" w:color="auto"/>
            </w:tcBorders>
            <w:noWrap/>
            <w:vAlign w:val="center"/>
            <w:hideMark/>
          </w:tcPr>
          <w:p w14:paraId="56745DEE" w14:textId="7FE243E7" w:rsidR="00330802" w:rsidRPr="00330802" w:rsidRDefault="00330802" w:rsidP="00330802">
            <w:pPr>
              <w:spacing w:line="256" w:lineRule="auto"/>
              <w:jc w:val="right"/>
              <w:rPr>
                <w:rFonts w:eastAsia="Times New Roman" w:cs="Arial"/>
                <w:b/>
                <w:bCs/>
                <w:color w:val="000000"/>
                <w:sz w:val="20"/>
                <w:szCs w:val="20"/>
                <w:lang w:val="es-ES" w:eastAsia="en-US"/>
              </w:rPr>
            </w:pPr>
            <w:r w:rsidRPr="00330802">
              <w:rPr>
                <w:rFonts w:cs="Arial"/>
                <w:color w:val="000000"/>
                <w:sz w:val="20"/>
                <w:szCs w:val="20"/>
              </w:rPr>
              <w:t>2,880,182,958</w:t>
            </w:r>
          </w:p>
        </w:tc>
      </w:tr>
      <w:tr w:rsidR="00330802" w:rsidRPr="00330802" w14:paraId="1D8724C0" w14:textId="77777777" w:rsidTr="00BF5974">
        <w:trPr>
          <w:trHeight w:val="260"/>
          <w:jc w:val="center"/>
        </w:trPr>
        <w:tc>
          <w:tcPr>
            <w:tcW w:w="3114" w:type="dxa"/>
            <w:tcBorders>
              <w:top w:val="nil"/>
              <w:left w:val="single" w:sz="4" w:space="0" w:color="auto"/>
              <w:bottom w:val="single" w:sz="4" w:space="0" w:color="auto"/>
              <w:right w:val="single" w:sz="4" w:space="0" w:color="auto"/>
            </w:tcBorders>
            <w:vAlign w:val="center"/>
            <w:hideMark/>
          </w:tcPr>
          <w:p w14:paraId="5FD16C8D" w14:textId="77777777" w:rsidR="00330802" w:rsidRPr="00330802" w:rsidRDefault="00330802" w:rsidP="00330802">
            <w:pPr>
              <w:spacing w:line="256" w:lineRule="auto"/>
              <w:jc w:val="center"/>
              <w:rPr>
                <w:rFonts w:eastAsia="Times New Roman" w:cs="Arial"/>
                <w:b/>
                <w:bCs/>
                <w:color w:val="000000"/>
                <w:sz w:val="20"/>
                <w:szCs w:val="20"/>
                <w:lang w:val="es-ES" w:eastAsia="en-US"/>
              </w:rPr>
            </w:pPr>
            <w:r w:rsidRPr="00330802">
              <w:rPr>
                <w:rFonts w:eastAsia="Times New Roman" w:cs="Arial"/>
                <w:b/>
                <w:bCs/>
                <w:color w:val="000000"/>
                <w:sz w:val="20"/>
                <w:szCs w:val="20"/>
                <w:lang w:val="es-ES" w:eastAsia="en-US"/>
              </w:rPr>
              <w:t>Total</w:t>
            </w:r>
          </w:p>
        </w:tc>
        <w:tc>
          <w:tcPr>
            <w:tcW w:w="1520" w:type="dxa"/>
            <w:tcBorders>
              <w:top w:val="nil"/>
              <w:left w:val="nil"/>
              <w:bottom w:val="single" w:sz="4" w:space="0" w:color="auto"/>
              <w:right w:val="single" w:sz="4" w:space="0" w:color="auto"/>
            </w:tcBorders>
            <w:vAlign w:val="center"/>
            <w:hideMark/>
          </w:tcPr>
          <w:p w14:paraId="003E5171" w14:textId="7D23611D" w:rsidR="00330802" w:rsidRPr="00330802" w:rsidRDefault="00330802" w:rsidP="00330802">
            <w:pPr>
              <w:spacing w:line="256" w:lineRule="auto"/>
              <w:jc w:val="right"/>
              <w:rPr>
                <w:rFonts w:eastAsia="Times New Roman" w:cs="Arial"/>
                <w:b/>
                <w:bCs/>
                <w:color w:val="000000"/>
                <w:sz w:val="20"/>
                <w:szCs w:val="20"/>
                <w:lang w:val="es-ES" w:eastAsia="en-US"/>
              </w:rPr>
            </w:pPr>
            <w:r w:rsidRPr="00330802">
              <w:rPr>
                <w:rFonts w:cs="Arial"/>
                <w:b/>
                <w:bCs/>
                <w:color w:val="000000"/>
                <w:sz w:val="20"/>
                <w:szCs w:val="20"/>
              </w:rPr>
              <w:t>1,417,715,535</w:t>
            </w:r>
          </w:p>
        </w:tc>
        <w:tc>
          <w:tcPr>
            <w:tcW w:w="1563" w:type="dxa"/>
            <w:tcBorders>
              <w:top w:val="nil"/>
              <w:left w:val="nil"/>
              <w:bottom w:val="single" w:sz="4" w:space="0" w:color="auto"/>
              <w:right w:val="single" w:sz="4" w:space="0" w:color="auto"/>
            </w:tcBorders>
            <w:noWrap/>
            <w:vAlign w:val="center"/>
            <w:hideMark/>
          </w:tcPr>
          <w:p w14:paraId="71C704F5" w14:textId="3FB3FEF6" w:rsidR="00330802" w:rsidRPr="00330802" w:rsidRDefault="00330802" w:rsidP="00330802">
            <w:pPr>
              <w:spacing w:line="256" w:lineRule="auto"/>
              <w:jc w:val="right"/>
              <w:rPr>
                <w:rFonts w:eastAsia="Times New Roman" w:cs="Arial"/>
                <w:b/>
                <w:bCs/>
                <w:color w:val="000000"/>
                <w:sz w:val="20"/>
                <w:szCs w:val="20"/>
                <w:lang w:val="es-ES" w:eastAsia="en-US"/>
              </w:rPr>
            </w:pPr>
            <w:r w:rsidRPr="00330802">
              <w:rPr>
                <w:rFonts w:cs="Arial"/>
                <w:b/>
                <w:bCs/>
                <w:color w:val="000000"/>
                <w:sz w:val="20"/>
                <w:szCs w:val="20"/>
              </w:rPr>
              <w:t>7,442,653,911</w:t>
            </w:r>
          </w:p>
        </w:tc>
        <w:tc>
          <w:tcPr>
            <w:tcW w:w="1523" w:type="dxa"/>
            <w:tcBorders>
              <w:top w:val="nil"/>
              <w:left w:val="nil"/>
              <w:bottom w:val="single" w:sz="4" w:space="0" w:color="auto"/>
              <w:right w:val="single" w:sz="4" w:space="0" w:color="auto"/>
            </w:tcBorders>
            <w:noWrap/>
            <w:vAlign w:val="center"/>
            <w:hideMark/>
          </w:tcPr>
          <w:p w14:paraId="7B1631F3" w14:textId="435AEC21" w:rsidR="00330802" w:rsidRPr="00330802" w:rsidRDefault="00330802" w:rsidP="00330802">
            <w:pPr>
              <w:spacing w:line="256" w:lineRule="auto"/>
              <w:jc w:val="right"/>
              <w:rPr>
                <w:rFonts w:eastAsia="Times New Roman" w:cs="Arial"/>
                <w:b/>
                <w:bCs/>
                <w:color w:val="000000"/>
                <w:sz w:val="20"/>
                <w:szCs w:val="20"/>
                <w:lang w:val="es-ES" w:eastAsia="en-US"/>
              </w:rPr>
            </w:pPr>
            <w:r w:rsidRPr="00330802">
              <w:rPr>
                <w:rFonts w:cs="Arial"/>
                <w:b/>
                <w:bCs/>
                <w:color w:val="000000"/>
                <w:sz w:val="20"/>
                <w:szCs w:val="20"/>
              </w:rPr>
              <w:t>8,860,369,446</w:t>
            </w:r>
          </w:p>
        </w:tc>
      </w:tr>
    </w:tbl>
    <w:p w14:paraId="64999BC3" w14:textId="3F8112CE" w:rsidR="00BF5974" w:rsidRDefault="00BF5974" w:rsidP="00BF5974">
      <w:pPr>
        <w:rPr>
          <w:rFonts w:eastAsia="Times New Roman"/>
          <w:lang w:val="es-ES"/>
        </w:rPr>
      </w:pPr>
    </w:p>
    <w:p w14:paraId="55BB44FF" w14:textId="77777777" w:rsidR="00657B7A" w:rsidRDefault="00657B7A" w:rsidP="00BF5974">
      <w:pPr>
        <w:rPr>
          <w:rFonts w:eastAsia="Times New Roman"/>
          <w:lang w:val="es-ES"/>
        </w:rPr>
      </w:pPr>
    </w:p>
    <w:p w14:paraId="73F962A6" w14:textId="77777777" w:rsidR="00BF5974" w:rsidRDefault="00BF5974" w:rsidP="00BF5974">
      <w:pPr>
        <w:rPr>
          <w:rFonts w:cs="Arial"/>
          <w:lang w:val="es-ES"/>
        </w:rPr>
      </w:pPr>
      <w:r>
        <w:rPr>
          <w:rFonts w:cs="Arial"/>
          <w:b/>
          <w:lang w:val="es-ES"/>
        </w:rPr>
        <w:t>Artículo 49</w:t>
      </w:r>
      <w:r>
        <w:rPr>
          <w:rFonts w:cs="Arial"/>
          <w:lang w:val="es-ES"/>
        </w:rPr>
        <w:t>. El Gasto Educativo por Institución de nivel Superior para el Ejercicio Fiscal 2025 es el siguiente:</w:t>
      </w:r>
    </w:p>
    <w:p w14:paraId="414A8034" w14:textId="77777777" w:rsidR="00BF5974" w:rsidRDefault="00BF5974" w:rsidP="00BF5974">
      <w:pPr>
        <w:keepNext/>
        <w:keepLines/>
        <w:outlineLvl w:val="2"/>
        <w:rPr>
          <w:rFonts w:eastAsia="Calibri" w:cs="Arial"/>
          <w:b/>
          <w:szCs w:val="24"/>
          <w:lang w:val="es-ES" w:eastAsia="en-US"/>
        </w:rPr>
      </w:pPr>
    </w:p>
    <w:tbl>
      <w:tblPr>
        <w:tblW w:w="8822" w:type="dxa"/>
        <w:jc w:val="center"/>
        <w:tblCellMar>
          <w:left w:w="70" w:type="dxa"/>
          <w:right w:w="70" w:type="dxa"/>
        </w:tblCellMar>
        <w:tblLook w:val="04A0" w:firstRow="1" w:lastRow="0" w:firstColumn="1" w:lastColumn="0" w:noHBand="0" w:noVBand="1"/>
      </w:tblPr>
      <w:tblGrid>
        <w:gridCol w:w="5097"/>
        <w:gridCol w:w="1141"/>
        <w:gridCol w:w="1292"/>
        <w:gridCol w:w="1292"/>
      </w:tblGrid>
      <w:tr w:rsidR="00BF5974" w14:paraId="43A90681" w14:textId="77777777" w:rsidTr="00BF5974">
        <w:trPr>
          <w:trHeight w:val="20"/>
          <w:jc w:val="center"/>
        </w:trPr>
        <w:tc>
          <w:tcPr>
            <w:tcW w:w="8822" w:type="dxa"/>
            <w:gridSpan w:val="4"/>
            <w:tcBorders>
              <w:top w:val="nil"/>
              <w:left w:val="nil"/>
              <w:bottom w:val="single" w:sz="4" w:space="0" w:color="auto"/>
              <w:right w:val="nil"/>
            </w:tcBorders>
            <w:noWrap/>
            <w:vAlign w:val="center"/>
            <w:hideMark/>
          </w:tcPr>
          <w:p w14:paraId="62251525" w14:textId="77777777" w:rsidR="00BF5974" w:rsidRDefault="00BF5974">
            <w:pPr>
              <w:spacing w:line="256" w:lineRule="auto"/>
              <w:jc w:val="center"/>
              <w:rPr>
                <w:rFonts w:eastAsia="Times New Roman" w:cs="Arial"/>
                <w:b/>
                <w:bCs/>
                <w:sz w:val="20"/>
                <w:szCs w:val="20"/>
                <w:lang w:val="es-ES" w:eastAsia="en-US"/>
              </w:rPr>
            </w:pPr>
            <w:r>
              <w:rPr>
                <w:rFonts w:eastAsia="Times New Roman" w:cs="Arial"/>
                <w:b/>
                <w:bCs/>
                <w:sz w:val="20"/>
                <w:szCs w:val="20"/>
                <w:lang w:val="es-ES" w:eastAsia="en-US"/>
              </w:rPr>
              <w:t>Tabla 36. Instituciones de Educación Superior</w:t>
            </w:r>
          </w:p>
        </w:tc>
      </w:tr>
      <w:tr w:rsidR="00BF5974" w14:paraId="07966E62" w14:textId="77777777" w:rsidTr="00BF5974">
        <w:trPr>
          <w:trHeight w:val="20"/>
          <w:jc w:val="center"/>
        </w:trPr>
        <w:tc>
          <w:tcPr>
            <w:tcW w:w="5097" w:type="dxa"/>
            <w:tcBorders>
              <w:top w:val="single" w:sz="4" w:space="0" w:color="auto"/>
              <w:left w:val="single" w:sz="4" w:space="0" w:color="auto"/>
              <w:bottom w:val="single" w:sz="4" w:space="0" w:color="auto"/>
              <w:right w:val="single" w:sz="4" w:space="0" w:color="auto"/>
            </w:tcBorders>
            <w:noWrap/>
            <w:vAlign w:val="center"/>
            <w:hideMark/>
          </w:tcPr>
          <w:p w14:paraId="466B6971" w14:textId="77777777" w:rsidR="00BF5974" w:rsidRDefault="00BF5974">
            <w:pPr>
              <w:spacing w:line="256" w:lineRule="auto"/>
              <w:jc w:val="center"/>
              <w:rPr>
                <w:rFonts w:cs="Arial"/>
                <w:b/>
                <w:bCs/>
                <w:color w:val="000000"/>
                <w:sz w:val="18"/>
                <w:lang w:val="es-ES" w:eastAsia="en-US"/>
              </w:rPr>
            </w:pPr>
            <w:r>
              <w:rPr>
                <w:rFonts w:cs="Arial"/>
                <w:b/>
                <w:bCs/>
                <w:color w:val="000000"/>
                <w:sz w:val="18"/>
                <w:lang w:val="es-ES" w:eastAsia="en-US"/>
              </w:rPr>
              <w:t>Institución de Nivel Superior</w:t>
            </w:r>
          </w:p>
        </w:tc>
        <w:tc>
          <w:tcPr>
            <w:tcW w:w="1141" w:type="dxa"/>
            <w:tcBorders>
              <w:top w:val="single" w:sz="4" w:space="0" w:color="auto"/>
              <w:left w:val="nil"/>
              <w:bottom w:val="single" w:sz="4" w:space="0" w:color="auto"/>
              <w:right w:val="single" w:sz="4" w:space="0" w:color="auto"/>
            </w:tcBorders>
            <w:noWrap/>
            <w:vAlign w:val="center"/>
            <w:hideMark/>
          </w:tcPr>
          <w:p w14:paraId="21B8E114" w14:textId="77777777" w:rsidR="00BF5974" w:rsidRDefault="00BF5974">
            <w:pPr>
              <w:spacing w:line="256" w:lineRule="auto"/>
              <w:jc w:val="center"/>
              <w:rPr>
                <w:rFonts w:cs="Arial"/>
                <w:color w:val="000000"/>
                <w:sz w:val="14"/>
                <w:szCs w:val="14"/>
                <w:lang w:val="es-ES" w:eastAsia="en-US"/>
              </w:rPr>
            </w:pPr>
            <w:r>
              <w:rPr>
                <w:rFonts w:eastAsia="Times New Roman" w:cs="Arial"/>
                <w:b/>
                <w:bCs/>
                <w:sz w:val="14"/>
                <w:szCs w:val="14"/>
                <w:lang w:val="es-ES" w:eastAsia="en-US"/>
              </w:rPr>
              <w:t>Ingresos de Libre Disposición</w:t>
            </w:r>
          </w:p>
        </w:tc>
        <w:tc>
          <w:tcPr>
            <w:tcW w:w="1292" w:type="dxa"/>
            <w:tcBorders>
              <w:top w:val="single" w:sz="4" w:space="0" w:color="auto"/>
              <w:left w:val="nil"/>
              <w:bottom w:val="single" w:sz="4" w:space="0" w:color="auto"/>
              <w:right w:val="single" w:sz="4" w:space="0" w:color="auto"/>
            </w:tcBorders>
            <w:noWrap/>
            <w:vAlign w:val="center"/>
            <w:hideMark/>
          </w:tcPr>
          <w:p w14:paraId="4C9F8B9D" w14:textId="77777777" w:rsidR="00BF5974" w:rsidRDefault="00BF5974">
            <w:pPr>
              <w:spacing w:line="256" w:lineRule="auto"/>
              <w:jc w:val="center"/>
              <w:rPr>
                <w:rFonts w:cs="Arial"/>
                <w:color w:val="000000"/>
                <w:sz w:val="14"/>
                <w:szCs w:val="14"/>
                <w:lang w:val="es-ES" w:eastAsia="en-US"/>
              </w:rPr>
            </w:pPr>
            <w:r>
              <w:rPr>
                <w:rFonts w:eastAsia="Times New Roman" w:cs="Arial"/>
                <w:b/>
                <w:bCs/>
                <w:sz w:val="14"/>
                <w:szCs w:val="14"/>
                <w:lang w:val="es-ES" w:eastAsia="en-US"/>
              </w:rPr>
              <w:t>Transferencias Federales Etiquetadas</w:t>
            </w:r>
          </w:p>
        </w:tc>
        <w:tc>
          <w:tcPr>
            <w:tcW w:w="1292" w:type="dxa"/>
            <w:tcBorders>
              <w:top w:val="single" w:sz="4" w:space="0" w:color="auto"/>
              <w:left w:val="nil"/>
              <w:bottom w:val="single" w:sz="4" w:space="0" w:color="auto"/>
              <w:right w:val="single" w:sz="4" w:space="0" w:color="auto"/>
            </w:tcBorders>
            <w:noWrap/>
            <w:vAlign w:val="center"/>
            <w:hideMark/>
          </w:tcPr>
          <w:p w14:paraId="1FBBED97" w14:textId="77777777" w:rsidR="00BF5974" w:rsidRDefault="00BF5974">
            <w:pPr>
              <w:spacing w:line="256" w:lineRule="auto"/>
              <w:jc w:val="center"/>
              <w:rPr>
                <w:rFonts w:cs="Arial"/>
                <w:b/>
                <w:bCs/>
                <w:color w:val="000000"/>
                <w:sz w:val="16"/>
                <w:szCs w:val="16"/>
                <w:lang w:val="es-ES" w:eastAsia="en-US"/>
              </w:rPr>
            </w:pPr>
            <w:r>
              <w:rPr>
                <w:rFonts w:eastAsia="Times New Roman" w:cs="Arial"/>
                <w:b/>
                <w:bCs/>
                <w:sz w:val="16"/>
                <w:szCs w:val="16"/>
                <w:lang w:val="es-ES" w:eastAsia="en-US"/>
              </w:rPr>
              <w:t>Asignación Presupuestal</w:t>
            </w:r>
          </w:p>
        </w:tc>
      </w:tr>
      <w:tr w:rsidR="00BF5974" w14:paraId="36474163" w14:textId="77777777" w:rsidTr="00BF5974">
        <w:trPr>
          <w:trHeight w:val="20"/>
          <w:jc w:val="center"/>
        </w:trPr>
        <w:tc>
          <w:tcPr>
            <w:tcW w:w="5097" w:type="dxa"/>
            <w:tcBorders>
              <w:top w:val="single" w:sz="4" w:space="0" w:color="auto"/>
              <w:left w:val="single" w:sz="4" w:space="0" w:color="auto"/>
              <w:bottom w:val="single" w:sz="4" w:space="0" w:color="auto"/>
              <w:right w:val="single" w:sz="4" w:space="0" w:color="auto"/>
            </w:tcBorders>
            <w:noWrap/>
            <w:vAlign w:val="center"/>
            <w:hideMark/>
          </w:tcPr>
          <w:p w14:paraId="311565BE" w14:textId="77777777" w:rsidR="00BF5974" w:rsidRDefault="00BF5974">
            <w:pPr>
              <w:spacing w:line="256" w:lineRule="auto"/>
              <w:rPr>
                <w:rFonts w:eastAsia="Times New Roman" w:cs="Arial"/>
                <w:bCs/>
                <w:sz w:val="18"/>
                <w:lang w:val="es-ES" w:eastAsia="en-US"/>
              </w:rPr>
            </w:pPr>
            <w:r>
              <w:rPr>
                <w:rFonts w:cs="Arial"/>
                <w:color w:val="000000"/>
                <w:sz w:val="18"/>
                <w:szCs w:val="18"/>
                <w:lang w:val="es-ES" w:eastAsia="en-US"/>
              </w:rPr>
              <w:t>Universidad de Colima.</w:t>
            </w:r>
          </w:p>
        </w:tc>
        <w:tc>
          <w:tcPr>
            <w:tcW w:w="1141" w:type="dxa"/>
            <w:tcBorders>
              <w:top w:val="single" w:sz="4" w:space="0" w:color="auto"/>
              <w:left w:val="nil"/>
              <w:bottom w:val="single" w:sz="4" w:space="0" w:color="auto"/>
              <w:right w:val="single" w:sz="4" w:space="0" w:color="auto"/>
            </w:tcBorders>
            <w:noWrap/>
            <w:vAlign w:val="center"/>
            <w:hideMark/>
          </w:tcPr>
          <w:p w14:paraId="1CECF015" w14:textId="77777777" w:rsidR="00BF5974" w:rsidRDefault="00BF5974">
            <w:pPr>
              <w:spacing w:line="256" w:lineRule="auto"/>
              <w:jc w:val="right"/>
              <w:rPr>
                <w:rFonts w:eastAsia="Times New Roman" w:cs="Arial"/>
                <w:sz w:val="16"/>
                <w:szCs w:val="16"/>
                <w:lang w:val="es-ES" w:eastAsia="en-US"/>
              </w:rPr>
            </w:pPr>
            <w:r>
              <w:rPr>
                <w:rFonts w:cs="Arial"/>
                <w:color w:val="000000"/>
                <w:sz w:val="16"/>
                <w:szCs w:val="16"/>
                <w:lang w:val="es-ES" w:eastAsia="en-US"/>
              </w:rPr>
              <w:t>550,000,000</w:t>
            </w:r>
          </w:p>
        </w:tc>
        <w:tc>
          <w:tcPr>
            <w:tcW w:w="1292" w:type="dxa"/>
            <w:tcBorders>
              <w:top w:val="single" w:sz="4" w:space="0" w:color="auto"/>
              <w:left w:val="nil"/>
              <w:bottom w:val="single" w:sz="4" w:space="0" w:color="auto"/>
              <w:right w:val="single" w:sz="4" w:space="0" w:color="auto"/>
            </w:tcBorders>
            <w:noWrap/>
            <w:vAlign w:val="center"/>
            <w:hideMark/>
          </w:tcPr>
          <w:p w14:paraId="48C32919" w14:textId="77777777" w:rsidR="00BF5974" w:rsidRDefault="00BF5974">
            <w:pPr>
              <w:spacing w:line="256" w:lineRule="auto"/>
              <w:jc w:val="right"/>
              <w:rPr>
                <w:rFonts w:eastAsia="Times New Roman" w:cs="Arial"/>
                <w:sz w:val="16"/>
                <w:szCs w:val="16"/>
                <w:lang w:val="es-ES" w:eastAsia="en-US"/>
              </w:rPr>
            </w:pPr>
            <w:r>
              <w:rPr>
                <w:rFonts w:cs="Arial"/>
                <w:color w:val="000000"/>
                <w:sz w:val="16"/>
                <w:szCs w:val="16"/>
                <w:lang w:val="es-ES" w:eastAsia="en-US"/>
              </w:rPr>
              <w:t>2,010,188,288</w:t>
            </w:r>
          </w:p>
        </w:tc>
        <w:tc>
          <w:tcPr>
            <w:tcW w:w="1292" w:type="dxa"/>
            <w:tcBorders>
              <w:top w:val="single" w:sz="4" w:space="0" w:color="auto"/>
              <w:left w:val="nil"/>
              <w:bottom w:val="single" w:sz="4" w:space="0" w:color="auto"/>
              <w:right w:val="single" w:sz="4" w:space="0" w:color="auto"/>
            </w:tcBorders>
            <w:noWrap/>
            <w:vAlign w:val="center"/>
            <w:hideMark/>
          </w:tcPr>
          <w:p w14:paraId="020C8B43" w14:textId="77777777" w:rsidR="00BF5974" w:rsidRDefault="00BF5974">
            <w:pPr>
              <w:spacing w:line="256" w:lineRule="auto"/>
              <w:jc w:val="right"/>
              <w:rPr>
                <w:rFonts w:eastAsia="Times New Roman" w:cs="Arial"/>
                <w:b/>
                <w:bCs/>
                <w:sz w:val="16"/>
                <w:szCs w:val="16"/>
                <w:lang w:val="es-ES" w:eastAsia="en-US"/>
              </w:rPr>
            </w:pPr>
            <w:r>
              <w:rPr>
                <w:rFonts w:cs="Arial"/>
                <w:b/>
                <w:bCs/>
                <w:color w:val="000000"/>
                <w:sz w:val="16"/>
                <w:szCs w:val="16"/>
                <w:lang w:val="es-ES" w:eastAsia="en-US"/>
              </w:rPr>
              <w:t>2,560,188,288</w:t>
            </w:r>
          </w:p>
        </w:tc>
      </w:tr>
      <w:tr w:rsidR="00BF5974" w14:paraId="09E8DE0A" w14:textId="77777777" w:rsidTr="00BF5974">
        <w:trPr>
          <w:trHeight w:val="20"/>
          <w:jc w:val="center"/>
        </w:trPr>
        <w:tc>
          <w:tcPr>
            <w:tcW w:w="5097" w:type="dxa"/>
            <w:tcBorders>
              <w:top w:val="nil"/>
              <w:left w:val="single" w:sz="4" w:space="0" w:color="auto"/>
              <w:bottom w:val="single" w:sz="4" w:space="0" w:color="auto"/>
              <w:right w:val="single" w:sz="4" w:space="0" w:color="auto"/>
            </w:tcBorders>
            <w:noWrap/>
            <w:vAlign w:val="center"/>
            <w:hideMark/>
          </w:tcPr>
          <w:p w14:paraId="66A447B6" w14:textId="77777777" w:rsidR="00BF5974" w:rsidRDefault="00BF5974">
            <w:pPr>
              <w:spacing w:line="256" w:lineRule="auto"/>
              <w:rPr>
                <w:rFonts w:eastAsia="Times New Roman" w:cs="Arial"/>
                <w:bCs/>
                <w:sz w:val="18"/>
                <w:lang w:val="es-ES" w:eastAsia="en-US"/>
              </w:rPr>
            </w:pPr>
            <w:r>
              <w:rPr>
                <w:rFonts w:cs="Arial"/>
                <w:color w:val="000000"/>
                <w:sz w:val="18"/>
                <w:szCs w:val="18"/>
                <w:lang w:val="es-ES" w:eastAsia="en-US"/>
              </w:rPr>
              <w:t>Universidad Intercultural de Colima.</w:t>
            </w:r>
          </w:p>
        </w:tc>
        <w:tc>
          <w:tcPr>
            <w:tcW w:w="1141" w:type="dxa"/>
            <w:tcBorders>
              <w:top w:val="nil"/>
              <w:left w:val="nil"/>
              <w:bottom w:val="single" w:sz="4" w:space="0" w:color="auto"/>
              <w:right w:val="single" w:sz="4" w:space="0" w:color="auto"/>
            </w:tcBorders>
            <w:noWrap/>
            <w:vAlign w:val="center"/>
            <w:hideMark/>
          </w:tcPr>
          <w:p w14:paraId="475FEC4E" w14:textId="77777777" w:rsidR="00BF5974" w:rsidRDefault="00BF5974">
            <w:pPr>
              <w:spacing w:line="256" w:lineRule="auto"/>
              <w:jc w:val="right"/>
              <w:rPr>
                <w:rFonts w:eastAsia="Times New Roman" w:cs="Arial"/>
                <w:color w:val="FF0000"/>
                <w:sz w:val="16"/>
                <w:szCs w:val="16"/>
                <w:lang w:val="es-ES" w:eastAsia="en-US"/>
              </w:rPr>
            </w:pPr>
            <w:r>
              <w:rPr>
                <w:rFonts w:cs="Arial"/>
                <w:color w:val="000000"/>
                <w:sz w:val="16"/>
                <w:szCs w:val="16"/>
                <w:lang w:val="es-ES" w:eastAsia="en-US"/>
              </w:rPr>
              <w:t>7,810,400</w:t>
            </w:r>
          </w:p>
        </w:tc>
        <w:tc>
          <w:tcPr>
            <w:tcW w:w="1292" w:type="dxa"/>
            <w:tcBorders>
              <w:top w:val="nil"/>
              <w:left w:val="nil"/>
              <w:bottom w:val="single" w:sz="4" w:space="0" w:color="auto"/>
              <w:right w:val="single" w:sz="4" w:space="0" w:color="auto"/>
            </w:tcBorders>
            <w:noWrap/>
            <w:vAlign w:val="center"/>
            <w:hideMark/>
          </w:tcPr>
          <w:p w14:paraId="45F94859" w14:textId="77777777" w:rsidR="00BF5974" w:rsidRDefault="00BF5974">
            <w:pPr>
              <w:spacing w:line="256" w:lineRule="auto"/>
              <w:jc w:val="right"/>
              <w:rPr>
                <w:rFonts w:eastAsia="Times New Roman" w:cs="Arial"/>
                <w:sz w:val="16"/>
                <w:szCs w:val="16"/>
                <w:lang w:val="es-ES" w:eastAsia="en-US"/>
              </w:rPr>
            </w:pPr>
            <w:r>
              <w:rPr>
                <w:rFonts w:cs="Arial"/>
                <w:color w:val="000000"/>
                <w:sz w:val="16"/>
                <w:szCs w:val="16"/>
                <w:lang w:val="es-ES" w:eastAsia="en-US"/>
              </w:rPr>
              <w:t>10,510,000</w:t>
            </w:r>
          </w:p>
        </w:tc>
        <w:tc>
          <w:tcPr>
            <w:tcW w:w="1292" w:type="dxa"/>
            <w:tcBorders>
              <w:top w:val="nil"/>
              <w:left w:val="nil"/>
              <w:bottom w:val="single" w:sz="4" w:space="0" w:color="auto"/>
              <w:right w:val="single" w:sz="4" w:space="0" w:color="auto"/>
            </w:tcBorders>
            <w:noWrap/>
            <w:vAlign w:val="center"/>
            <w:hideMark/>
          </w:tcPr>
          <w:p w14:paraId="07595A46" w14:textId="77777777" w:rsidR="00BF5974" w:rsidRDefault="00BF5974">
            <w:pPr>
              <w:spacing w:line="256" w:lineRule="auto"/>
              <w:jc w:val="right"/>
              <w:rPr>
                <w:rFonts w:eastAsia="Times New Roman" w:cs="Arial"/>
                <w:b/>
                <w:bCs/>
                <w:sz w:val="16"/>
                <w:szCs w:val="16"/>
                <w:lang w:val="es-ES" w:eastAsia="en-US"/>
              </w:rPr>
            </w:pPr>
            <w:r>
              <w:rPr>
                <w:rFonts w:cs="Arial"/>
                <w:b/>
                <w:bCs/>
                <w:color w:val="000000"/>
                <w:sz w:val="16"/>
                <w:szCs w:val="16"/>
                <w:lang w:val="es-ES" w:eastAsia="en-US"/>
              </w:rPr>
              <w:t>18,320,400</w:t>
            </w:r>
          </w:p>
        </w:tc>
      </w:tr>
      <w:tr w:rsidR="00BF5974" w14:paraId="505168DE" w14:textId="77777777" w:rsidTr="00BF5974">
        <w:trPr>
          <w:trHeight w:val="20"/>
          <w:jc w:val="center"/>
        </w:trPr>
        <w:tc>
          <w:tcPr>
            <w:tcW w:w="5097" w:type="dxa"/>
            <w:tcBorders>
              <w:top w:val="nil"/>
              <w:left w:val="single" w:sz="4" w:space="0" w:color="auto"/>
              <w:bottom w:val="single" w:sz="4" w:space="0" w:color="auto"/>
              <w:right w:val="single" w:sz="4" w:space="0" w:color="auto"/>
            </w:tcBorders>
            <w:noWrap/>
            <w:vAlign w:val="center"/>
            <w:hideMark/>
          </w:tcPr>
          <w:p w14:paraId="459AD85C" w14:textId="77777777" w:rsidR="00BF5974" w:rsidRDefault="00BF5974">
            <w:pPr>
              <w:spacing w:line="256" w:lineRule="auto"/>
              <w:rPr>
                <w:rFonts w:eastAsia="Times New Roman" w:cs="Arial"/>
                <w:bCs/>
                <w:sz w:val="18"/>
                <w:lang w:val="es-ES" w:eastAsia="en-US"/>
              </w:rPr>
            </w:pPr>
            <w:r>
              <w:rPr>
                <w:rFonts w:cs="Arial"/>
                <w:color w:val="000000"/>
                <w:sz w:val="18"/>
                <w:szCs w:val="18"/>
                <w:lang w:val="es-ES" w:eastAsia="en-US"/>
              </w:rPr>
              <w:t>Instituto Superior de Educación Normal del Estado de Colima.</w:t>
            </w:r>
          </w:p>
        </w:tc>
        <w:tc>
          <w:tcPr>
            <w:tcW w:w="1141" w:type="dxa"/>
            <w:tcBorders>
              <w:top w:val="nil"/>
              <w:left w:val="nil"/>
              <w:bottom w:val="single" w:sz="4" w:space="0" w:color="auto"/>
              <w:right w:val="single" w:sz="4" w:space="0" w:color="auto"/>
            </w:tcBorders>
            <w:vAlign w:val="center"/>
            <w:hideMark/>
          </w:tcPr>
          <w:p w14:paraId="606B1A23" w14:textId="77777777" w:rsidR="00BF5974" w:rsidRDefault="00BF5974">
            <w:pPr>
              <w:spacing w:line="256" w:lineRule="auto"/>
              <w:jc w:val="right"/>
              <w:rPr>
                <w:rFonts w:eastAsia="Times New Roman" w:cs="Arial"/>
                <w:sz w:val="16"/>
                <w:szCs w:val="16"/>
                <w:lang w:val="es-ES" w:eastAsia="en-US"/>
              </w:rPr>
            </w:pPr>
            <w:r>
              <w:rPr>
                <w:rFonts w:cs="Arial"/>
                <w:color w:val="000000"/>
                <w:sz w:val="16"/>
                <w:szCs w:val="16"/>
                <w:lang w:val="es-ES" w:eastAsia="en-US"/>
              </w:rPr>
              <w:t>166,618,242</w:t>
            </w:r>
          </w:p>
        </w:tc>
        <w:tc>
          <w:tcPr>
            <w:tcW w:w="1292" w:type="dxa"/>
            <w:tcBorders>
              <w:top w:val="nil"/>
              <w:left w:val="nil"/>
              <w:bottom w:val="single" w:sz="4" w:space="0" w:color="auto"/>
              <w:right w:val="single" w:sz="4" w:space="0" w:color="auto"/>
            </w:tcBorders>
            <w:vAlign w:val="center"/>
            <w:hideMark/>
          </w:tcPr>
          <w:p w14:paraId="07D68CF5" w14:textId="77777777" w:rsidR="00BF5974" w:rsidRDefault="00BF5974">
            <w:pPr>
              <w:spacing w:line="256" w:lineRule="auto"/>
              <w:jc w:val="right"/>
              <w:rPr>
                <w:rFonts w:eastAsia="Times New Roman" w:cs="Arial"/>
                <w:sz w:val="16"/>
                <w:szCs w:val="16"/>
                <w:lang w:val="es-ES" w:eastAsia="en-US"/>
              </w:rPr>
            </w:pPr>
            <w:r>
              <w:rPr>
                <w:rFonts w:cs="Arial"/>
                <w:color w:val="000000"/>
                <w:sz w:val="16"/>
                <w:szCs w:val="16"/>
                <w:lang w:val="es-ES" w:eastAsia="en-US"/>
              </w:rPr>
              <w:t>0</w:t>
            </w:r>
          </w:p>
        </w:tc>
        <w:tc>
          <w:tcPr>
            <w:tcW w:w="1292" w:type="dxa"/>
            <w:tcBorders>
              <w:top w:val="nil"/>
              <w:left w:val="nil"/>
              <w:bottom w:val="single" w:sz="4" w:space="0" w:color="auto"/>
              <w:right w:val="single" w:sz="4" w:space="0" w:color="auto"/>
            </w:tcBorders>
            <w:vAlign w:val="center"/>
            <w:hideMark/>
          </w:tcPr>
          <w:p w14:paraId="4CEA371E" w14:textId="77777777" w:rsidR="00BF5974" w:rsidRDefault="00BF5974">
            <w:pPr>
              <w:spacing w:line="256" w:lineRule="auto"/>
              <w:jc w:val="right"/>
              <w:rPr>
                <w:rFonts w:eastAsia="Times New Roman" w:cs="Arial"/>
                <w:b/>
                <w:bCs/>
                <w:sz w:val="16"/>
                <w:szCs w:val="16"/>
                <w:lang w:val="es-ES" w:eastAsia="en-US"/>
              </w:rPr>
            </w:pPr>
            <w:r>
              <w:rPr>
                <w:rFonts w:cs="Arial"/>
                <w:b/>
                <w:bCs/>
                <w:color w:val="000000"/>
                <w:sz w:val="16"/>
                <w:szCs w:val="16"/>
                <w:lang w:val="es-ES" w:eastAsia="en-US"/>
              </w:rPr>
              <w:t>166,618,242</w:t>
            </w:r>
          </w:p>
        </w:tc>
      </w:tr>
      <w:tr w:rsidR="00BF5974" w14:paraId="1A40FAAC" w14:textId="77777777" w:rsidTr="00BF5974">
        <w:trPr>
          <w:trHeight w:val="20"/>
          <w:jc w:val="center"/>
        </w:trPr>
        <w:tc>
          <w:tcPr>
            <w:tcW w:w="5097" w:type="dxa"/>
            <w:tcBorders>
              <w:top w:val="nil"/>
              <w:left w:val="single" w:sz="4" w:space="0" w:color="auto"/>
              <w:bottom w:val="single" w:sz="4" w:space="0" w:color="auto"/>
              <w:right w:val="single" w:sz="4" w:space="0" w:color="auto"/>
            </w:tcBorders>
            <w:noWrap/>
            <w:vAlign w:val="center"/>
            <w:hideMark/>
          </w:tcPr>
          <w:p w14:paraId="5E30E6DC" w14:textId="77777777" w:rsidR="00BF5974" w:rsidRDefault="00BF5974">
            <w:pPr>
              <w:spacing w:line="256" w:lineRule="auto"/>
              <w:rPr>
                <w:rFonts w:cs="Arial"/>
                <w:color w:val="000000"/>
                <w:sz w:val="18"/>
                <w:lang w:val="es-ES" w:eastAsia="en-US"/>
              </w:rPr>
            </w:pPr>
            <w:r>
              <w:rPr>
                <w:rFonts w:cs="Arial"/>
                <w:color w:val="000000"/>
                <w:sz w:val="18"/>
                <w:szCs w:val="18"/>
                <w:lang w:val="es-ES" w:eastAsia="en-US"/>
              </w:rPr>
              <w:t>Universidad Tecnológica de Manzanillo.</w:t>
            </w:r>
          </w:p>
        </w:tc>
        <w:tc>
          <w:tcPr>
            <w:tcW w:w="1141" w:type="dxa"/>
            <w:tcBorders>
              <w:top w:val="nil"/>
              <w:left w:val="nil"/>
              <w:bottom w:val="single" w:sz="4" w:space="0" w:color="auto"/>
              <w:right w:val="single" w:sz="4" w:space="0" w:color="auto"/>
            </w:tcBorders>
            <w:vAlign w:val="center"/>
            <w:hideMark/>
          </w:tcPr>
          <w:p w14:paraId="15157A70" w14:textId="77777777" w:rsidR="00BF5974" w:rsidRDefault="00BF5974">
            <w:pPr>
              <w:spacing w:line="256" w:lineRule="auto"/>
              <w:jc w:val="right"/>
              <w:rPr>
                <w:rFonts w:cs="Arial"/>
                <w:color w:val="000000"/>
                <w:sz w:val="16"/>
                <w:szCs w:val="16"/>
                <w:lang w:val="es-ES" w:eastAsia="en-US"/>
              </w:rPr>
            </w:pPr>
            <w:r>
              <w:rPr>
                <w:rFonts w:cs="Arial"/>
                <w:color w:val="000000"/>
                <w:sz w:val="16"/>
                <w:szCs w:val="16"/>
                <w:lang w:val="es-ES" w:eastAsia="en-US"/>
              </w:rPr>
              <w:t>28,891,538</w:t>
            </w:r>
          </w:p>
        </w:tc>
        <w:tc>
          <w:tcPr>
            <w:tcW w:w="1292" w:type="dxa"/>
            <w:tcBorders>
              <w:top w:val="nil"/>
              <w:left w:val="nil"/>
              <w:bottom w:val="single" w:sz="4" w:space="0" w:color="auto"/>
              <w:right w:val="single" w:sz="4" w:space="0" w:color="auto"/>
            </w:tcBorders>
            <w:vAlign w:val="center"/>
            <w:hideMark/>
          </w:tcPr>
          <w:p w14:paraId="7406DF78" w14:textId="77777777" w:rsidR="00BF5974" w:rsidRDefault="00BF5974">
            <w:pPr>
              <w:spacing w:line="256" w:lineRule="auto"/>
              <w:jc w:val="right"/>
              <w:rPr>
                <w:rFonts w:cs="Arial"/>
                <w:color w:val="000000"/>
                <w:sz w:val="16"/>
                <w:szCs w:val="16"/>
                <w:lang w:val="es-ES" w:eastAsia="en-US"/>
              </w:rPr>
            </w:pPr>
            <w:r>
              <w:rPr>
                <w:rFonts w:cs="Arial"/>
                <w:color w:val="000000"/>
                <w:sz w:val="16"/>
                <w:szCs w:val="16"/>
                <w:lang w:val="es-ES" w:eastAsia="en-US"/>
              </w:rPr>
              <w:t>33,000,000</w:t>
            </w:r>
          </w:p>
        </w:tc>
        <w:tc>
          <w:tcPr>
            <w:tcW w:w="1292" w:type="dxa"/>
            <w:tcBorders>
              <w:top w:val="nil"/>
              <w:left w:val="nil"/>
              <w:bottom w:val="single" w:sz="4" w:space="0" w:color="auto"/>
              <w:right w:val="single" w:sz="4" w:space="0" w:color="auto"/>
            </w:tcBorders>
            <w:vAlign w:val="center"/>
            <w:hideMark/>
          </w:tcPr>
          <w:p w14:paraId="46B7F50E" w14:textId="77777777" w:rsidR="00BF5974" w:rsidRDefault="00BF5974">
            <w:pPr>
              <w:spacing w:line="256" w:lineRule="auto"/>
              <w:jc w:val="right"/>
              <w:rPr>
                <w:rFonts w:cs="Arial"/>
                <w:b/>
                <w:bCs/>
                <w:color w:val="000000"/>
                <w:sz w:val="16"/>
                <w:szCs w:val="16"/>
                <w:lang w:val="es-ES" w:eastAsia="en-US"/>
              </w:rPr>
            </w:pPr>
            <w:r>
              <w:rPr>
                <w:rFonts w:cs="Arial"/>
                <w:b/>
                <w:bCs/>
                <w:color w:val="000000"/>
                <w:sz w:val="16"/>
                <w:szCs w:val="16"/>
                <w:lang w:val="es-ES" w:eastAsia="en-US"/>
              </w:rPr>
              <w:t>61,891,538</w:t>
            </w:r>
          </w:p>
        </w:tc>
      </w:tr>
      <w:tr w:rsidR="00BF5974" w14:paraId="4AA958FE" w14:textId="77777777" w:rsidTr="00BF5974">
        <w:trPr>
          <w:trHeight w:val="20"/>
          <w:jc w:val="center"/>
        </w:trPr>
        <w:tc>
          <w:tcPr>
            <w:tcW w:w="5097" w:type="dxa"/>
            <w:tcBorders>
              <w:top w:val="nil"/>
              <w:left w:val="single" w:sz="4" w:space="0" w:color="auto"/>
              <w:bottom w:val="single" w:sz="4" w:space="0" w:color="auto"/>
              <w:right w:val="single" w:sz="4" w:space="0" w:color="auto"/>
            </w:tcBorders>
            <w:noWrap/>
            <w:vAlign w:val="center"/>
            <w:hideMark/>
          </w:tcPr>
          <w:p w14:paraId="49DD5121" w14:textId="77777777" w:rsidR="00BF5974" w:rsidRDefault="00BF5974">
            <w:pPr>
              <w:spacing w:line="256" w:lineRule="auto"/>
              <w:rPr>
                <w:rFonts w:eastAsia="Times New Roman" w:cs="Arial"/>
                <w:bCs/>
                <w:sz w:val="18"/>
                <w:lang w:val="es-ES" w:eastAsia="en-US"/>
              </w:rPr>
            </w:pPr>
            <w:r>
              <w:rPr>
                <w:rFonts w:cs="Arial"/>
                <w:color w:val="000000"/>
                <w:sz w:val="18"/>
                <w:szCs w:val="18"/>
                <w:lang w:val="es-ES" w:eastAsia="en-US"/>
              </w:rPr>
              <w:t>Tecnológico Nacional de México Campus Colima.</w:t>
            </w:r>
          </w:p>
        </w:tc>
        <w:tc>
          <w:tcPr>
            <w:tcW w:w="1141" w:type="dxa"/>
            <w:tcBorders>
              <w:top w:val="nil"/>
              <w:left w:val="nil"/>
              <w:bottom w:val="single" w:sz="4" w:space="0" w:color="auto"/>
              <w:right w:val="single" w:sz="4" w:space="0" w:color="auto"/>
            </w:tcBorders>
            <w:vAlign w:val="center"/>
            <w:hideMark/>
          </w:tcPr>
          <w:p w14:paraId="4A7E451D" w14:textId="77777777" w:rsidR="00BF5974" w:rsidRDefault="00BF5974">
            <w:pPr>
              <w:spacing w:line="256" w:lineRule="auto"/>
              <w:jc w:val="right"/>
              <w:rPr>
                <w:rFonts w:eastAsia="Times New Roman" w:cs="Arial"/>
                <w:sz w:val="16"/>
                <w:szCs w:val="16"/>
                <w:lang w:val="es-ES" w:eastAsia="en-US"/>
              </w:rPr>
            </w:pPr>
            <w:r>
              <w:rPr>
                <w:rFonts w:cs="Arial"/>
                <w:color w:val="000000"/>
                <w:sz w:val="16"/>
                <w:szCs w:val="16"/>
                <w:lang w:val="es-ES" w:eastAsia="en-US"/>
              </w:rPr>
              <w:t>13,445,900</w:t>
            </w:r>
          </w:p>
        </w:tc>
        <w:tc>
          <w:tcPr>
            <w:tcW w:w="1292" w:type="dxa"/>
            <w:tcBorders>
              <w:top w:val="nil"/>
              <w:left w:val="nil"/>
              <w:bottom w:val="single" w:sz="4" w:space="0" w:color="auto"/>
              <w:right w:val="single" w:sz="4" w:space="0" w:color="auto"/>
            </w:tcBorders>
            <w:vAlign w:val="center"/>
            <w:hideMark/>
          </w:tcPr>
          <w:p w14:paraId="692E597A" w14:textId="77777777" w:rsidR="00BF5974" w:rsidRDefault="00BF5974">
            <w:pPr>
              <w:spacing w:line="256" w:lineRule="auto"/>
              <w:jc w:val="right"/>
              <w:rPr>
                <w:rFonts w:eastAsia="Times New Roman" w:cs="Arial"/>
                <w:sz w:val="16"/>
                <w:szCs w:val="16"/>
                <w:lang w:val="es-ES" w:eastAsia="en-US"/>
              </w:rPr>
            </w:pPr>
            <w:r>
              <w:rPr>
                <w:rFonts w:cs="Arial"/>
                <w:color w:val="000000"/>
                <w:sz w:val="16"/>
                <w:szCs w:val="16"/>
                <w:lang w:val="es-ES" w:eastAsia="en-US"/>
              </w:rPr>
              <w:t>0</w:t>
            </w:r>
          </w:p>
        </w:tc>
        <w:tc>
          <w:tcPr>
            <w:tcW w:w="1292" w:type="dxa"/>
            <w:tcBorders>
              <w:top w:val="nil"/>
              <w:left w:val="nil"/>
              <w:bottom w:val="single" w:sz="4" w:space="0" w:color="auto"/>
              <w:right w:val="single" w:sz="4" w:space="0" w:color="auto"/>
            </w:tcBorders>
            <w:vAlign w:val="center"/>
            <w:hideMark/>
          </w:tcPr>
          <w:p w14:paraId="322B8566" w14:textId="77777777" w:rsidR="00BF5974" w:rsidRDefault="00BF5974">
            <w:pPr>
              <w:spacing w:line="256" w:lineRule="auto"/>
              <w:jc w:val="right"/>
              <w:rPr>
                <w:rFonts w:eastAsia="Times New Roman" w:cs="Arial"/>
                <w:b/>
                <w:bCs/>
                <w:sz w:val="16"/>
                <w:szCs w:val="16"/>
                <w:lang w:val="es-ES" w:eastAsia="en-US"/>
              </w:rPr>
            </w:pPr>
            <w:r>
              <w:rPr>
                <w:rFonts w:cs="Arial"/>
                <w:b/>
                <w:bCs/>
                <w:color w:val="000000"/>
                <w:sz w:val="16"/>
                <w:szCs w:val="16"/>
                <w:lang w:val="es-ES" w:eastAsia="en-US"/>
              </w:rPr>
              <w:t>13,445,900</w:t>
            </w:r>
          </w:p>
        </w:tc>
      </w:tr>
      <w:tr w:rsidR="00BF5974" w14:paraId="50969898" w14:textId="77777777" w:rsidTr="00BF5974">
        <w:trPr>
          <w:trHeight w:val="20"/>
          <w:jc w:val="center"/>
        </w:trPr>
        <w:tc>
          <w:tcPr>
            <w:tcW w:w="5097" w:type="dxa"/>
            <w:tcBorders>
              <w:top w:val="nil"/>
              <w:left w:val="single" w:sz="4" w:space="0" w:color="auto"/>
              <w:bottom w:val="single" w:sz="4" w:space="0" w:color="auto"/>
              <w:right w:val="single" w:sz="4" w:space="0" w:color="auto"/>
            </w:tcBorders>
            <w:noWrap/>
            <w:vAlign w:val="center"/>
            <w:hideMark/>
          </w:tcPr>
          <w:p w14:paraId="5DC7F84A" w14:textId="77777777" w:rsidR="00BF5974" w:rsidRDefault="00BF5974">
            <w:pPr>
              <w:spacing w:line="256" w:lineRule="auto"/>
              <w:rPr>
                <w:rFonts w:cs="Arial"/>
                <w:color w:val="000000"/>
                <w:sz w:val="18"/>
                <w:szCs w:val="18"/>
                <w:lang w:val="es-ES" w:eastAsia="en-US"/>
              </w:rPr>
            </w:pPr>
            <w:r>
              <w:rPr>
                <w:rFonts w:cs="Arial"/>
                <w:color w:val="000000"/>
                <w:sz w:val="18"/>
                <w:szCs w:val="18"/>
                <w:lang w:val="es-ES" w:eastAsia="en-US"/>
              </w:rPr>
              <w:t>Universidad José Martí.</w:t>
            </w:r>
          </w:p>
        </w:tc>
        <w:tc>
          <w:tcPr>
            <w:tcW w:w="1141" w:type="dxa"/>
            <w:tcBorders>
              <w:top w:val="nil"/>
              <w:left w:val="nil"/>
              <w:bottom w:val="single" w:sz="4" w:space="0" w:color="auto"/>
              <w:right w:val="single" w:sz="4" w:space="0" w:color="auto"/>
            </w:tcBorders>
            <w:vAlign w:val="center"/>
            <w:hideMark/>
          </w:tcPr>
          <w:p w14:paraId="5B8D1DED" w14:textId="77777777" w:rsidR="00BF5974" w:rsidRDefault="00BF5974">
            <w:pPr>
              <w:spacing w:line="256" w:lineRule="auto"/>
              <w:jc w:val="right"/>
              <w:rPr>
                <w:rFonts w:eastAsia="Times New Roman" w:cs="Arial"/>
                <w:sz w:val="16"/>
                <w:szCs w:val="16"/>
                <w:lang w:val="es-ES" w:eastAsia="en-US"/>
              </w:rPr>
            </w:pPr>
            <w:r>
              <w:rPr>
                <w:rFonts w:cs="Arial"/>
                <w:color w:val="000000"/>
                <w:sz w:val="16"/>
                <w:szCs w:val="16"/>
                <w:lang w:val="es-ES" w:eastAsia="en-US"/>
              </w:rPr>
              <w:t>5,000,000</w:t>
            </w:r>
          </w:p>
        </w:tc>
        <w:tc>
          <w:tcPr>
            <w:tcW w:w="1292" w:type="dxa"/>
            <w:tcBorders>
              <w:top w:val="nil"/>
              <w:left w:val="nil"/>
              <w:bottom w:val="single" w:sz="4" w:space="0" w:color="auto"/>
              <w:right w:val="single" w:sz="4" w:space="0" w:color="auto"/>
            </w:tcBorders>
            <w:vAlign w:val="center"/>
            <w:hideMark/>
          </w:tcPr>
          <w:p w14:paraId="4FC1EE47" w14:textId="77777777" w:rsidR="00BF5974" w:rsidRDefault="00BF5974">
            <w:pPr>
              <w:spacing w:line="256" w:lineRule="auto"/>
              <w:jc w:val="right"/>
              <w:rPr>
                <w:rFonts w:eastAsia="Times New Roman" w:cs="Arial"/>
                <w:sz w:val="16"/>
                <w:szCs w:val="16"/>
                <w:lang w:val="es-ES" w:eastAsia="en-US"/>
              </w:rPr>
            </w:pPr>
            <w:r>
              <w:rPr>
                <w:rFonts w:cs="Arial"/>
                <w:color w:val="000000"/>
                <w:sz w:val="16"/>
                <w:szCs w:val="16"/>
                <w:lang w:val="es-ES" w:eastAsia="en-US"/>
              </w:rPr>
              <w:t>0</w:t>
            </w:r>
          </w:p>
        </w:tc>
        <w:tc>
          <w:tcPr>
            <w:tcW w:w="1292" w:type="dxa"/>
            <w:tcBorders>
              <w:top w:val="nil"/>
              <w:left w:val="nil"/>
              <w:bottom w:val="single" w:sz="4" w:space="0" w:color="auto"/>
              <w:right w:val="single" w:sz="4" w:space="0" w:color="auto"/>
            </w:tcBorders>
            <w:vAlign w:val="center"/>
            <w:hideMark/>
          </w:tcPr>
          <w:p w14:paraId="5DDF0A2F" w14:textId="77777777" w:rsidR="00BF5974" w:rsidRDefault="00BF5974">
            <w:pPr>
              <w:spacing w:line="256" w:lineRule="auto"/>
              <w:jc w:val="right"/>
              <w:rPr>
                <w:rFonts w:eastAsia="Times New Roman" w:cs="Arial"/>
                <w:b/>
                <w:bCs/>
                <w:sz w:val="16"/>
                <w:szCs w:val="16"/>
                <w:lang w:val="es-ES" w:eastAsia="en-US"/>
              </w:rPr>
            </w:pPr>
            <w:r>
              <w:rPr>
                <w:rFonts w:cs="Arial"/>
                <w:b/>
                <w:bCs/>
                <w:color w:val="000000"/>
                <w:sz w:val="16"/>
                <w:szCs w:val="16"/>
                <w:lang w:val="es-ES" w:eastAsia="en-US"/>
              </w:rPr>
              <w:t>5,000,000</w:t>
            </w:r>
          </w:p>
        </w:tc>
      </w:tr>
      <w:tr w:rsidR="00BF5974" w14:paraId="5F1C618E" w14:textId="77777777" w:rsidTr="00BF5974">
        <w:trPr>
          <w:trHeight w:val="20"/>
          <w:jc w:val="center"/>
        </w:trPr>
        <w:tc>
          <w:tcPr>
            <w:tcW w:w="5097" w:type="dxa"/>
            <w:tcBorders>
              <w:top w:val="nil"/>
              <w:left w:val="single" w:sz="4" w:space="0" w:color="auto"/>
              <w:bottom w:val="single" w:sz="4" w:space="0" w:color="auto"/>
              <w:right w:val="single" w:sz="4" w:space="0" w:color="auto"/>
            </w:tcBorders>
            <w:noWrap/>
            <w:vAlign w:val="center"/>
            <w:hideMark/>
          </w:tcPr>
          <w:p w14:paraId="3C68F229" w14:textId="77777777" w:rsidR="00BF5974" w:rsidRDefault="00BF5974">
            <w:pPr>
              <w:spacing w:line="256" w:lineRule="auto"/>
              <w:rPr>
                <w:rFonts w:cs="Arial"/>
                <w:color w:val="000000"/>
                <w:sz w:val="18"/>
                <w:lang w:val="es-ES" w:eastAsia="en-US"/>
              </w:rPr>
            </w:pPr>
            <w:r>
              <w:rPr>
                <w:rFonts w:cs="Arial"/>
                <w:color w:val="000000"/>
                <w:sz w:val="18"/>
                <w:szCs w:val="18"/>
                <w:lang w:val="es-ES" w:eastAsia="en-US"/>
              </w:rPr>
              <w:t>FAM Infraestructura Educación Superior.</w:t>
            </w:r>
          </w:p>
        </w:tc>
        <w:tc>
          <w:tcPr>
            <w:tcW w:w="1141" w:type="dxa"/>
            <w:tcBorders>
              <w:top w:val="nil"/>
              <w:left w:val="nil"/>
              <w:bottom w:val="single" w:sz="4" w:space="0" w:color="auto"/>
              <w:right w:val="single" w:sz="4" w:space="0" w:color="auto"/>
            </w:tcBorders>
            <w:vAlign w:val="center"/>
            <w:hideMark/>
          </w:tcPr>
          <w:p w14:paraId="211EDACD" w14:textId="77777777" w:rsidR="00BF5974" w:rsidRDefault="00BF5974">
            <w:pPr>
              <w:spacing w:line="256" w:lineRule="auto"/>
              <w:jc w:val="right"/>
              <w:rPr>
                <w:rFonts w:eastAsia="Times New Roman" w:cs="Arial"/>
                <w:sz w:val="16"/>
                <w:szCs w:val="16"/>
                <w:lang w:val="es-ES" w:eastAsia="en-US"/>
              </w:rPr>
            </w:pPr>
            <w:r>
              <w:rPr>
                <w:rFonts w:cs="Arial"/>
                <w:color w:val="000000"/>
                <w:sz w:val="16"/>
                <w:szCs w:val="16"/>
                <w:lang w:val="es-ES" w:eastAsia="en-US"/>
              </w:rPr>
              <w:t>0</w:t>
            </w:r>
          </w:p>
        </w:tc>
        <w:tc>
          <w:tcPr>
            <w:tcW w:w="1292" w:type="dxa"/>
            <w:tcBorders>
              <w:top w:val="nil"/>
              <w:left w:val="nil"/>
              <w:bottom w:val="single" w:sz="4" w:space="0" w:color="auto"/>
              <w:right w:val="single" w:sz="4" w:space="0" w:color="auto"/>
            </w:tcBorders>
            <w:vAlign w:val="center"/>
            <w:hideMark/>
          </w:tcPr>
          <w:p w14:paraId="37BC9E06" w14:textId="77777777" w:rsidR="00BF5974" w:rsidRDefault="00BF5974">
            <w:pPr>
              <w:spacing w:line="256" w:lineRule="auto"/>
              <w:jc w:val="right"/>
              <w:rPr>
                <w:rFonts w:eastAsia="Times New Roman" w:cs="Arial"/>
                <w:sz w:val="16"/>
                <w:szCs w:val="16"/>
                <w:lang w:val="es-ES" w:eastAsia="en-US"/>
              </w:rPr>
            </w:pPr>
            <w:r>
              <w:rPr>
                <w:rFonts w:cs="Arial"/>
                <w:color w:val="000000"/>
                <w:sz w:val="16"/>
                <w:szCs w:val="16"/>
                <w:lang w:val="es-ES" w:eastAsia="en-US"/>
              </w:rPr>
              <w:t>54,718,590</w:t>
            </w:r>
          </w:p>
        </w:tc>
        <w:tc>
          <w:tcPr>
            <w:tcW w:w="1292" w:type="dxa"/>
            <w:tcBorders>
              <w:top w:val="nil"/>
              <w:left w:val="nil"/>
              <w:bottom w:val="single" w:sz="4" w:space="0" w:color="auto"/>
              <w:right w:val="single" w:sz="4" w:space="0" w:color="auto"/>
            </w:tcBorders>
            <w:vAlign w:val="center"/>
            <w:hideMark/>
          </w:tcPr>
          <w:p w14:paraId="5A0724D2" w14:textId="77777777" w:rsidR="00BF5974" w:rsidRDefault="00BF5974">
            <w:pPr>
              <w:spacing w:line="256" w:lineRule="auto"/>
              <w:jc w:val="right"/>
              <w:rPr>
                <w:rFonts w:eastAsia="Times New Roman" w:cs="Arial"/>
                <w:b/>
                <w:bCs/>
                <w:sz w:val="16"/>
                <w:szCs w:val="16"/>
                <w:lang w:val="es-ES" w:eastAsia="en-US"/>
              </w:rPr>
            </w:pPr>
            <w:r>
              <w:rPr>
                <w:rFonts w:cs="Arial"/>
                <w:b/>
                <w:bCs/>
                <w:color w:val="000000"/>
                <w:sz w:val="16"/>
                <w:szCs w:val="16"/>
                <w:lang w:val="es-ES" w:eastAsia="en-US"/>
              </w:rPr>
              <w:t>54,718,590</w:t>
            </w:r>
          </w:p>
        </w:tc>
      </w:tr>
      <w:tr w:rsidR="00BF5974" w14:paraId="50B6CC43" w14:textId="77777777" w:rsidTr="00BF5974">
        <w:trPr>
          <w:trHeight w:val="20"/>
          <w:jc w:val="center"/>
        </w:trPr>
        <w:tc>
          <w:tcPr>
            <w:tcW w:w="5097" w:type="dxa"/>
            <w:tcBorders>
              <w:top w:val="nil"/>
              <w:left w:val="single" w:sz="4" w:space="0" w:color="auto"/>
              <w:bottom w:val="single" w:sz="4" w:space="0" w:color="auto"/>
              <w:right w:val="single" w:sz="4" w:space="0" w:color="auto"/>
            </w:tcBorders>
            <w:noWrap/>
            <w:vAlign w:val="center"/>
            <w:hideMark/>
          </w:tcPr>
          <w:p w14:paraId="5ED7798C" w14:textId="77777777" w:rsidR="00BF5974" w:rsidRDefault="00BF5974">
            <w:pPr>
              <w:spacing w:line="256" w:lineRule="auto"/>
              <w:jc w:val="center"/>
              <w:rPr>
                <w:rFonts w:eastAsia="Times New Roman" w:cs="Arial"/>
                <w:b/>
                <w:bCs/>
                <w:sz w:val="18"/>
                <w:lang w:val="es-ES" w:eastAsia="en-US"/>
              </w:rPr>
            </w:pPr>
            <w:r>
              <w:rPr>
                <w:rFonts w:cs="Arial"/>
                <w:b/>
                <w:bCs/>
                <w:color w:val="000000"/>
                <w:sz w:val="18"/>
                <w:szCs w:val="18"/>
                <w:lang w:val="es-ES" w:eastAsia="en-US"/>
              </w:rPr>
              <w:t>Total</w:t>
            </w:r>
          </w:p>
        </w:tc>
        <w:tc>
          <w:tcPr>
            <w:tcW w:w="1141" w:type="dxa"/>
            <w:tcBorders>
              <w:top w:val="nil"/>
              <w:left w:val="nil"/>
              <w:bottom w:val="single" w:sz="4" w:space="0" w:color="auto"/>
              <w:right w:val="single" w:sz="4" w:space="0" w:color="auto"/>
            </w:tcBorders>
            <w:vAlign w:val="center"/>
            <w:hideMark/>
          </w:tcPr>
          <w:p w14:paraId="0B5EDE75" w14:textId="77777777" w:rsidR="00BF5974" w:rsidRDefault="00BF5974">
            <w:pPr>
              <w:spacing w:line="256" w:lineRule="auto"/>
              <w:jc w:val="right"/>
              <w:rPr>
                <w:rFonts w:eastAsia="Times New Roman" w:cs="Arial"/>
                <w:b/>
                <w:bCs/>
                <w:sz w:val="16"/>
                <w:szCs w:val="16"/>
                <w:lang w:val="es-ES" w:eastAsia="en-US"/>
              </w:rPr>
            </w:pPr>
            <w:r>
              <w:rPr>
                <w:rFonts w:cs="Arial"/>
                <w:b/>
                <w:bCs/>
                <w:color w:val="000000"/>
                <w:sz w:val="16"/>
                <w:szCs w:val="16"/>
                <w:lang w:val="es-ES" w:eastAsia="en-US"/>
              </w:rPr>
              <w:t>771,766,080</w:t>
            </w:r>
          </w:p>
        </w:tc>
        <w:tc>
          <w:tcPr>
            <w:tcW w:w="1292" w:type="dxa"/>
            <w:tcBorders>
              <w:top w:val="nil"/>
              <w:left w:val="nil"/>
              <w:bottom w:val="single" w:sz="4" w:space="0" w:color="auto"/>
              <w:right w:val="single" w:sz="4" w:space="0" w:color="auto"/>
            </w:tcBorders>
            <w:vAlign w:val="center"/>
            <w:hideMark/>
          </w:tcPr>
          <w:p w14:paraId="5188E5E0" w14:textId="77777777" w:rsidR="00BF5974" w:rsidRDefault="00BF5974">
            <w:pPr>
              <w:spacing w:line="256" w:lineRule="auto"/>
              <w:jc w:val="right"/>
              <w:rPr>
                <w:rFonts w:eastAsia="Times New Roman" w:cs="Arial"/>
                <w:b/>
                <w:bCs/>
                <w:sz w:val="16"/>
                <w:szCs w:val="16"/>
                <w:lang w:val="es-ES" w:eastAsia="en-US"/>
              </w:rPr>
            </w:pPr>
            <w:r>
              <w:rPr>
                <w:rFonts w:cs="Arial"/>
                <w:b/>
                <w:bCs/>
                <w:color w:val="000000"/>
                <w:sz w:val="16"/>
                <w:szCs w:val="16"/>
                <w:lang w:val="es-ES" w:eastAsia="en-US"/>
              </w:rPr>
              <w:t>2,108,416,878</w:t>
            </w:r>
          </w:p>
        </w:tc>
        <w:tc>
          <w:tcPr>
            <w:tcW w:w="1292" w:type="dxa"/>
            <w:tcBorders>
              <w:top w:val="nil"/>
              <w:left w:val="nil"/>
              <w:bottom w:val="single" w:sz="4" w:space="0" w:color="auto"/>
              <w:right w:val="single" w:sz="4" w:space="0" w:color="auto"/>
            </w:tcBorders>
            <w:vAlign w:val="center"/>
            <w:hideMark/>
          </w:tcPr>
          <w:p w14:paraId="0BE7A522" w14:textId="77777777" w:rsidR="00BF5974" w:rsidRDefault="00BF5974">
            <w:pPr>
              <w:spacing w:line="256" w:lineRule="auto"/>
              <w:jc w:val="right"/>
              <w:rPr>
                <w:rFonts w:eastAsia="Times New Roman" w:cs="Arial"/>
                <w:b/>
                <w:bCs/>
                <w:sz w:val="16"/>
                <w:szCs w:val="16"/>
                <w:lang w:val="es-ES" w:eastAsia="en-US"/>
              </w:rPr>
            </w:pPr>
            <w:r>
              <w:rPr>
                <w:rFonts w:cs="Arial"/>
                <w:b/>
                <w:bCs/>
                <w:color w:val="000000"/>
                <w:sz w:val="16"/>
                <w:szCs w:val="16"/>
                <w:lang w:val="es-ES" w:eastAsia="en-US"/>
              </w:rPr>
              <w:t>2,880,182,958</w:t>
            </w:r>
          </w:p>
        </w:tc>
      </w:tr>
    </w:tbl>
    <w:p w14:paraId="618C88CD" w14:textId="0C52D484" w:rsidR="00BF5974" w:rsidRDefault="00BF5974" w:rsidP="00BF5974">
      <w:pPr>
        <w:rPr>
          <w:rFonts w:cs="Arial"/>
          <w:szCs w:val="28"/>
          <w:lang w:val="es-ES"/>
        </w:rPr>
      </w:pPr>
      <w:bookmarkStart w:id="184" w:name="_Toc522869276"/>
      <w:bookmarkStart w:id="185" w:name="_Toc526757494"/>
      <w:bookmarkStart w:id="186" w:name="_Toc22021943"/>
      <w:bookmarkStart w:id="187" w:name="_Toc22983197"/>
      <w:bookmarkStart w:id="188" w:name="_Toc465292958"/>
      <w:bookmarkStart w:id="189" w:name="_Toc465292886"/>
      <w:bookmarkStart w:id="190" w:name="_Hlk148796717"/>
    </w:p>
    <w:p w14:paraId="60AF7251" w14:textId="77777777" w:rsidR="00657B7A" w:rsidRDefault="00657B7A" w:rsidP="00BF5974">
      <w:pPr>
        <w:rPr>
          <w:rFonts w:cs="Arial"/>
          <w:szCs w:val="28"/>
          <w:lang w:val="es-ES"/>
        </w:rPr>
      </w:pPr>
    </w:p>
    <w:p w14:paraId="67691582" w14:textId="77777777" w:rsidR="00BF5974" w:rsidRDefault="00BF5974" w:rsidP="00BF5974">
      <w:pPr>
        <w:jc w:val="center"/>
        <w:rPr>
          <w:rFonts w:eastAsia="Times New Roman" w:cs="Arial"/>
          <w:b/>
          <w:lang w:val="es-ES"/>
        </w:rPr>
      </w:pPr>
      <w:bookmarkStart w:id="191" w:name="_Hlk87266831"/>
      <w:r>
        <w:rPr>
          <w:rFonts w:eastAsia="Times New Roman" w:cs="Arial"/>
          <w:b/>
          <w:lang w:val="es-ES"/>
        </w:rPr>
        <w:t xml:space="preserve">CAPÍTULO </w:t>
      </w:r>
      <w:bookmarkEnd w:id="184"/>
      <w:bookmarkEnd w:id="185"/>
      <w:r>
        <w:rPr>
          <w:rFonts w:eastAsia="Times New Roman" w:cs="Arial"/>
          <w:b/>
          <w:lang w:val="es-ES"/>
        </w:rPr>
        <w:t>X</w:t>
      </w:r>
      <w:bookmarkEnd w:id="186"/>
      <w:bookmarkEnd w:id="187"/>
      <w:r>
        <w:rPr>
          <w:rFonts w:eastAsia="Times New Roman" w:cs="Arial"/>
          <w:b/>
          <w:lang w:val="es-ES"/>
        </w:rPr>
        <w:t>I</w:t>
      </w:r>
    </w:p>
    <w:p w14:paraId="456B11CA" w14:textId="77777777" w:rsidR="00BF5974" w:rsidRDefault="00BF5974" w:rsidP="00BF5974">
      <w:pPr>
        <w:keepNext/>
        <w:keepLines/>
        <w:jc w:val="center"/>
        <w:outlineLvl w:val="0"/>
        <w:rPr>
          <w:rFonts w:eastAsia="Times New Roman" w:cs="Arial"/>
          <w:b/>
          <w:szCs w:val="32"/>
        </w:rPr>
      </w:pPr>
      <w:bookmarkStart w:id="192" w:name="_Toc522869277"/>
      <w:bookmarkStart w:id="193" w:name="_Toc526757495"/>
      <w:bookmarkStart w:id="194" w:name="_Toc22021944"/>
      <w:bookmarkStart w:id="195" w:name="_Toc22983198"/>
      <w:r>
        <w:rPr>
          <w:rFonts w:eastAsia="Times New Roman" w:cs="Arial"/>
          <w:b/>
          <w:szCs w:val="32"/>
        </w:rPr>
        <w:t>DE LA DEUDA PÚBLICA</w:t>
      </w:r>
      <w:bookmarkEnd w:id="188"/>
      <w:bookmarkEnd w:id="189"/>
      <w:bookmarkEnd w:id="192"/>
      <w:bookmarkEnd w:id="193"/>
      <w:bookmarkEnd w:id="194"/>
      <w:bookmarkEnd w:id="195"/>
    </w:p>
    <w:p w14:paraId="37964BFF" w14:textId="77777777" w:rsidR="00BF5974" w:rsidRDefault="00BF5974" w:rsidP="00BF5974">
      <w:pPr>
        <w:rPr>
          <w:rFonts w:cs="Arial"/>
          <w:b/>
          <w:lang w:val="es-ES"/>
        </w:rPr>
      </w:pPr>
    </w:p>
    <w:p w14:paraId="1BEE58C5" w14:textId="77777777" w:rsidR="00BF5974" w:rsidRDefault="00BF5974" w:rsidP="00BF5974">
      <w:pPr>
        <w:rPr>
          <w:rFonts w:cs="Arial"/>
          <w:lang w:val="es-ES"/>
        </w:rPr>
      </w:pPr>
      <w:r>
        <w:rPr>
          <w:rFonts w:cs="Arial"/>
          <w:b/>
          <w:lang w:val="es-ES"/>
        </w:rPr>
        <w:t>Artículo 50</w:t>
      </w:r>
      <w:r>
        <w:rPr>
          <w:rFonts w:cs="Arial"/>
          <w:lang w:val="es-ES"/>
        </w:rPr>
        <w:t xml:space="preserve">. </w:t>
      </w:r>
      <w:r>
        <w:rPr>
          <w:rFonts w:cs="Arial"/>
          <w:lang w:val="es-ES"/>
        </w:rPr>
        <w:tab/>
        <w:t>Para el Ejercicio Fiscal 2025, se establece la asignación presupuestaria destinada a cubrir la amortización de capital, el pago de intereses, el pago por administración de los fideicomisos que fungen como mecanismo de pago de la deuda, comisiones y demás accesorios de la Deuda Pública, de la siguiente manera:</w:t>
      </w:r>
    </w:p>
    <w:p w14:paraId="21D03CF5" w14:textId="77777777" w:rsidR="00BF5974" w:rsidRDefault="00BF5974" w:rsidP="00BF5974">
      <w:pPr>
        <w:rPr>
          <w:rFonts w:cs="Arial"/>
          <w:lang w:val="es-ES"/>
        </w:rPr>
      </w:pPr>
    </w:p>
    <w:p w14:paraId="4CBF501B" w14:textId="77777777" w:rsidR="00BF5974" w:rsidRDefault="00BF5974" w:rsidP="00BF5974">
      <w:pPr>
        <w:ind w:left="284" w:hanging="284"/>
        <w:rPr>
          <w:rFonts w:eastAsia="Times New Roman" w:cs="Arial"/>
          <w:lang w:val="es-ES" w:eastAsia="es-ES"/>
        </w:rPr>
      </w:pPr>
      <w:r>
        <w:rPr>
          <w:rFonts w:eastAsia="Times New Roman" w:cs="Arial"/>
          <w:lang w:val="es-ES" w:eastAsia="es-ES"/>
        </w:rPr>
        <w:t>I.</w:t>
      </w:r>
      <w:r>
        <w:rPr>
          <w:rFonts w:eastAsia="Times New Roman" w:cs="Arial"/>
          <w:lang w:val="es-ES" w:eastAsia="es-ES"/>
        </w:rPr>
        <w:tab/>
        <w:t>El saldo insoluto de la Deuda Pública Directa del Gobierno del Estado de Colima al 31 de octubre de 2024, es de un total de</w:t>
      </w:r>
      <w:r>
        <w:rPr>
          <w:rFonts w:eastAsia="Times New Roman" w:cs="Arial"/>
          <w:b/>
          <w:bCs/>
          <w:lang w:val="es-ES" w:eastAsia="es-ES"/>
        </w:rPr>
        <w:t xml:space="preserve"> 3,492,601,723 </w:t>
      </w:r>
      <w:r>
        <w:rPr>
          <w:rFonts w:eastAsia="Times New Roman" w:cs="Arial"/>
          <w:lang w:val="es-ES" w:eastAsia="es-ES"/>
        </w:rPr>
        <w:t>pesos</w:t>
      </w:r>
      <w:r>
        <w:rPr>
          <w:rFonts w:eastAsia="Times New Roman" w:cs="Arial"/>
          <w:b/>
          <w:bCs/>
          <w:lang w:val="es-ES" w:eastAsia="es-ES"/>
        </w:rPr>
        <w:t>.</w:t>
      </w:r>
      <w:r>
        <w:rPr>
          <w:rFonts w:eastAsia="Times New Roman" w:cs="Arial"/>
          <w:lang w:val="es-ES" w:eastAsia="es-ES"/>
        </w:rPr>
        <w:t xml:space="preserve"> El desglose de la Deuda Pública Directa por institución acreedora, tipo de instrumento, monto contratado, monto dispuesto, saldo insoluto, número de crédito, tasa de interés anual, fechas de suscripción, de vencimiento y garantías es de la siguiente forma:</w:t>
      </w:r>
    </w:p>
    <w:p w14:paraId="6270F220" w14:textId="77777777" w:rsidR="00BF5974" w:rsidRDefault="00BF5974" w:rsidP="00BF5974">
      <w:pPr>
        <w:keepNext/>
        <w:keepLines/>
        <w:outlineLvl w:val="2"/>
        <w:rPr>
          <w:rFonts w:eastAsia="Times New Roman" w:cs="Arial"/>
          <w:b/>
          <w:szCs w:val="24"/>
          <w:lang w:val="es-ES" w:eastAsia="en-US"/>
        </w:rPr>
      </w:pPr>
    </w:p>
    <w:tbl>
      <w:tblPr>
        <w:tblW w:w="10140" w:type="dxa"/>
        <w:jc w:val="center"/>
        <w:tblLayout w:type="fixed"/>
        <w:tblCellMar>
          <w:left w:w="70" w:type="dxa"/>
          <w:right w:w="70" w:type="dxa"/>
        </w:tblCellMar>
        <w:tblLook w:val="04A0" w:firstRow="1" w:lastRow="0" w:firstColumn="1" w:lastColumn="0" w:noHBand="0" w:noVBand="1"/>
      </w:tblPr>
      <w:tblGrid>
        <w:gridCol w:w="709"/>
        <w:gridCol w:w="1005"/>
        <w:gridCol w:w="980"/>
        <w:gridCol w:w="992"/>
        <w:gridCol w:w="709"/>
        <w:gridCol w:w="850"/>
        <w:gridCol w:w="709"/>
        <w:gridCol w:w="709"/>
        <w:gridCol w:w="764"/>
        <w:gridCol w:w="1140"/>
        <w:gridCol w:w="708"/>
        <w:gridCol w:w="858"/>
        <w:gridCol w:w="7"/>
      </w:tblGrid>
      <w:tr w:rsidR="00BF5974" w14:paraId="271AFE50" w14:textId="77777777" w:rsidTr="00BF5974">
        <w:trPr>
          <w:trHeight w:val="20"/>
          <w:tblHeader/>
          <w:jc w:val="center"/>
        </w:trPr>
        <w:tc>
          <w:tcPr>
            <w:tcW w:w="10140" w:type="dxa"/>
            <w:gridSpan w:val="13"/>
            <w:tcBorders>
              <w:top w:val="nil"/>
              <w:left w:val="nil"/>
              <w:bottom w:val="single" w:sz="4" w:space="0" w:color="auto"/>
              <w:right w:val="nil"/>
            </w:tcBorders>
            <w:vAlign w:val="center"/>
            <w:hideMark/>
          </w:tcPr>
          <w:p w14:paraId="4BCD8959" w14:textId="256FEC87" w:rsidR="00BF5974" w:rsidRDefault="00791213">
            <w:pPr>
              <w:spacing w:line="256" w:lineRule="auto"/>
              <w:jc w:val="center"/>
              <w:rPr>
                <w:rFonts w:eastAsia="Times New Roman" w:cs="Arial"/>
                <w:b/>
                <w:bCs/>
                <w:sz w:val="12"/>
                <w:szCs w:val="12"/>
                <w:lang w:val="es-ES" w:eastAsia="en-US"/>
              </w:rPr>
            </w:pPr>
            <w:r>
              <w:rPr>
                <w:rFonts w:eastAsia="Times New Roman" w:cs="Arial"/>
                <w:b/>
                <w:sz w:val="20"/>
                <w:lang w:val="es-ES" w:eastAsia="en-US"/>
              </w:rPr>
              <w:t xml:space="preserve"> </w:t>
            </w:r>
          </w:p>
        </w:tc>
      </w:tr>
      <w:tr w:rsidR="00BF5974" w14:paraId="1D342AED" w14:textId="77777777" w:rsidTr="00BF5974">
        <w:trPr>
          <w:gridAfter w:val="1"/>
          <w:wAfter w:w="7" w:type="dxa"/>
          <w:trHeight w:val="20"/>
          <w:tblHeade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19B1AE1"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 xml:space="preserve">Acreedor </w:t>
            </w:r>
          </w:p>
        </w:tc>
        <w:tc>
          <w:tcPr>
            <w:tcW w:w="1005" w:type="dxa"/>
            <w:tcBorders>
              <w:top w:val="single" w:sz="4" w:space="0" w:color="auto"/>
              <w:left w:val="nil"/>
              <w:bottom w:val="single" w:sz="4" w:space="0" w:color="auto"/>
              <w:right w:val="single" w:sz="4" w:space="0" w:color="auto"/>
            </w:tcBorders>
            <w:vAlign w:val="center"/>
            <w:hideMark/>
          </w:tcPr>
          <w:p w14:paraId="4662FF15"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 xml:space="preserve">Monto Contratado </w:t>
            </w:r>
          </w:p>
        </w:tc>
        <w:tc>
          <w:tcPr>
            <w:tcW w:w="980" w:type="dxa"/>
            <w:tcBorders>
              <w:top w:val="single" w:sz="4" w:space="0" w:color="auto"/>
              <w:left w:val="nil"/>
              <w:bottom w:val="single" w:sz="4" w:space="0" w:color="auto"/>
              <w:right w:val="single" w:sz="4" w:space="0" w:color="auto"/>
            </w:tcBorders>
            <w:vAlign w:val="center"/>
            <w:hideMark/>
          </w:tcPr>
          <w:p w14:paraId="5EE09E32"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Monto Dispuesto</w:t>
            </w:r>
          </w:p>
        </w:tc>
        <w:tc>
          <w:tcPr>
            <w:tcW w:w="992" w:type="dxa"/>
            <w:tcBorders>
              <w:top w:val="single" w:sz="4" w:space="0" w:color="auto"/>
              <w:left w:val="nil"/>
              <w:bottom w:val="single" w:sz="4" w:space="0" w:color="auto"/>
              <w:right w:val="single" w:sz="4" w:space="0" w:color="auto"/>
            </w:tcBorders>
            <w:vAlign w:val="center"/>
            <w:hideMark/>
          </w:tcPr>
          <w:p w14:paraId="6A21CEA3"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Saldo Insoluto</w:t>
            </w:r>
          </w:p>
        </w:tc>
        <w:tc>
          <w:tcPr>
            <w:tcW w:w="709" w:type="dxa"/>
            <w:tcBorders>
              <w:top w:val="single" w:sz="4" w:space="0" w:color="auto"/>
              <w:left w:val="nil"/>
              <w:bottom w:val="single" w:sz="4" w:space="0" w:color="auto"/>
              <w:right w:val="single" w:sz="4" w:space="0" w:color="auto"/>
            </w:tcBorders>
            <w:vAlign w:val="center"/>
            <w:hideMark/>
          </w:tcPr>
          <w:p w14:paraId="2E012154"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Número de Crédito</w:t>
            </w:r>
          </w:p>
        </w:tc>
        <w:tc>
          <w:tcPr>
            <w:tcW w:w="850" w:type="dxa"/>
            <w:tcBorders>
              <w:top w:val="single" w:sz="4" w:space="0" w:color="auto"/>
              <w:left w:val="nil"/>
              <w:bottom w:val="single" w:sz="4" w:space="0" w:color="auto"/>
              <w:right w:val="single" w:sz="4" w:space="0" w:color="auto"/>
            </w:tcBorders>
            <w:vAlign w:val="center"/>
            <w:hideMark/>
          </w:tcPr>
          <w:p w14:paraId="7C684C62"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Tasa de Interés Contratada</w:t>
            </w:r>
          </w:p>
        </w:tc>
        <w:tc>
          <w:tcPr>
            <w:tcW w:w="709" w:type="dxa"/>
            <w:tcBorders>
              <w:top w:val="single" w:sz="4" w:space="0" w:color="auto"/>
              <w:left w:val="nil"/>
              <w:bottom w:val="single" w:sz="4" w:space="0" w:color="auto"/>
              <w:right w:val="single" w:sz="4" w:space="0" w:color="auto"/>
            </w:tcBorders>
            <w:vAlign w:val="center"/>
            <w:hideMark/>
          </w:tcPr>
          <w:p w14:paraId="484746A2"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Tasa Efectiva</w:t>
            </w:r>
          </w:p>
        </w:tc>
        <w:tc>
          <w:tcPr>
            <w:tcW w:w="709" w:type="dxa"/>
            <w:tcBorders>
              <w:top w:val="single" w:sz="4" w:space="0" w:color="auto"/>
              <w:left w:val="nil"/>
              <w:bottom w:val="single" w:sz="4" w:space="0" w:color="auto"/>
              <w:right w:val="single" w:sz="4" w:space="0" w:color="auto"/>
            </w:tcBorders>
            <w:vAlign w:val="center"/>
            <w:hideMark/>
          </w:tcPr>
          <w:p w14:paraId="716D9894"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Fecha de Suscripción</w:t>
            </w:r>
          </w:p>
        </w:tc>
        <w:tc>
          <w:tcPr>
            <w:tcW w:w="764" w:type="dxa"/>
            <w:tcBorders>
              <w:top w:val="single" w:sz="4" w:space="0" w:color="auto"/>
              <w:left w:val="nil"/>
              <w:bottom w:val="single" w:sz="4" w:space="0" w:color="auto"/>
              <w:right w:val="single" w:sz="4" w:space="0" w:color="auto"/>
            </w:tcBorders>
            <w:vAlign w:val="center"/>
            <w:hideMark/>
          </w:tcPr>
          <w:p w14:paraId="14835CE8"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Fecha de Vencimiento</w:t>
            </w:r>
          </w:p>
        </w:tc>
        <w:tc>
          <w:tcPr>
            <w:tcW w:w="1140" w:type="dxa"/>
            <w:tcBorders>
              <w:top w:val="single" w:sz="4" w:space="0" w:color="auto"/>
              <w:left w:val="nil"/>
              <w:bottom w:val="single" w:sz="4" w:space="0" w:color="auto"/>
              <w:right w:val="single" w:sz="4" w:space="0" w:color="auto"/>
            </w:tcBorders>
            <w:vAlign w:val="center"/>
            <w:hideMark/>
          </w:tcPr>
          <w:p w14:paraId="0E8FDC91"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Garantía y/o Fuente de Pago</w:t>
            </w:r>
          </w:p>
        </w:tc>
        <w:tc>
          <w:tcPr>
            <w:tcW w:w="708" w:type="dxa"/>
            <w:tcBorders>
              <w:top w:val="single" w:sz="4" w:space="0" w:color="auto"/>
              <w:left w:val="nil"/>
              <w:bottom w:val="single" w:sz="4" w:space="0" w:color="auto"/>
              <w:right w:val="single" w:sz="4" w:space="0" w:color="auto"/>
            </w:tcBorders>
            <w:vAlign w:val="center"/>
            <w:hideMark/>
          </w:tcPr>
          <w:p w14:paraId="400D6790"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Tipo de Crédito</w:t>
            </w:r>
          </w:p>
        </w:tc>
        <w:tc>
          <w:tcPr>
            <w:tcW w:w="858" w:type="dxa"/>
            <w:tcBorders>
              <w:top w:val="single" w:sz="4" w:space="0" w:color="auto"/>
              <w:left w:val="nil"/>
              <w:bottom w:val="single" w:sz="4" w:space="0" w:color="auto"/>
              <w:right w:val="single" w:sz="4" w:space="0" w:color="auto"/>
            </w:tcBorders>
            <w:vAlign w:val="center"/>
            <w:hideMark/>
          </w:tcPr>
          <w:p w14:paraId="5D4AE4B0"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Destino</w:t>
            </w:r>
          </w:p>
        </w:tc>
      </w:tr>
      <w:tr w:rsidR="00BF5974" w14:paraId="67044EBF" w14:textId="77777777" w:rsidTr="00BF5974">
        <w:trPr>
          <w:gridAfter w:val="1"/>
          <w:wAfter w:w="7" w:type="dxa"/>
          <w:trHeight w:val="20"/>
          <w:jc w:val="center"/>
        </w:trPr>
        <w:tc>
          <w:tcPr>
            <w:tcW w:w="709" w:type="dxa"/>
            <w:tcBorders>
              <w:top w:val="nil"/>
              <w:left w:val="single" w:sz="4" w:space="0" w:color="auto"/>
              <w:bottom w:val="single" w:sz="4" w:space="0" w:color="auto"/>
              <w:right w:val="single" w:sz="4" w:space="0" w:color="auto"/>
            </w:tcBorders>
            <w:noWrap/>
            <w:vAlign w:val="center"/>
            <w:hideMark/>
          </w:tcPr>
          <w:p w14:paraId="755F8AA7" w14:textId="77777777" w:rsidR="00BF5974" w:rsidRDefault="00BF5974">
            <w:pPr>
              <w:spacing w:line="256" w:lineRule="auto"/>
              <w:jc w:val="left"/>
              <w:rPr>
                <w:rFonts w:eastAsia="Times New Roman" w:cs="Arial"/>
                <w:b/>
                <w:bCs/>
                <w:sz w:val="12"/>
                <w:szCs w:val="12"/>
                <w:lang w:val="es-ES" w:eastAsia="en-US"/>
              </w:rPr>
            </w:pPr>
            <w:r>
              <w:rPr>
                <w:rFonts w:cs="Arial"/>
                <w:sz w:val="12"/>
                <w:szCs w:val="12"/>
                <w:lang w:val="es-ES" w:eastAsia="en-US"/>
              </w:rPr>
              <w:t>Banobras</w:t>
            </w:r>
          </w:p>
        </w:tc>
        <w:tc>
          <w:tcPr>
            <w:tcW w:w="1005" w:type="dxa"/>
            <w:tcBorders>
              <w:top w:val="nil"/>
              <w:left w:val="nil"/>
              <w:bottom w:val="single" w:sz="4" w:space="0" w:color="auto"/>
              <w:right w:val="single" w:sz="4" w:space="0" w:color="auto"/>
            </w:tcBorders>
            <w:noWrap/>
            <w:vAlign w:val="center"/>
            <w:hideMark/>
          </w:tcPr>
          <w:p w14:paraId="6D573096" w14:textId="77777777" w:rsidR="00BF5974" w:rsidRDefault="00BF5974">
            <w:pPr>
              <w:spacing w:line="256" w:lineRule="auto"/>
              <w:jc w:val="right"/>
              <w:rPr>
                <w:rFonts w:eastAsia="Times New Roman" w:cs="Arial"/>
                <w:sz w:val="12"/>
                <w:szCs w:val="12"/>
                <w:lang w:val="es-ES" w:eastAsia="en-US"/>
              </w:rPr>
            </w:pPr>
            <w:r>
              <w:rPr>
                <w:rFonts w:cs="Arial"/>
                <w:sz w:val="12"/>
                <w:szCs w:val="12"/>
                <w:lang w:val="es-ES" w:eastAsia="en-US"/>
              </w:rPr>
              <w:t xml:space="preserve">502,012,500 </w:t>
            </w:r>
          </w:p>
        </w:tc>
        <w:tc>
          <w:tcPr>
            <w:tcW w:w="980" w:type="dxa"/>
            <w:tcBorders>
              <w:top w:val="nil"/>
              <w:left w:val="nil"/>
              <w:bottom w:val="single" w:sz="4" w:space="0" w:color="auto"/>
              <w:right w:val="single" w:sz="4" w:space="0" w:color="auto"/>
            </w:tcBorders>
            <w:noWrap/>
            <w:vAlign w:val="center"/>
            <w:hideMark/>
          </w:tcPr>
          <w:p w14:paraId="44EFD783" w14:textId="77777777" w:rsidR="00BF5974" w:rsidRDefault="00BF5974">
            <w:pPr>
              <w:spacing w:line="256" w:lineRule="auto"/>
              <w:jc w:val="right"/>
              <w:rPr>
                <w:rFonts w:eastAsia="Times New Roman" w:cs="Arial"/>
                <w:sz w:val="12"/>
                <w:szCs w:val="12"/>
                <w:lang w:val="es-ES" w:eastAsia="en-US"/>
              </w:rPr>
            </w:pPr>
            <w:r>
              <w:rPr>
                <w:rFonts w:cs="Arial"/>
                <w:sz w:val="12"/>
                <w:szCs w:val="12"/>
                <w:lang w:val="es-ES" w:eastAsia="en-US"/>
              </w:rPr>
              <w:t xml:space="preserve">500,610,000 </w:t>
            </w:r>
          </w:p>
        </w:tc>
        <w:tc>
          <w:tcPr>
            <w:tcW w:w="992" w:type="dxa"/>
            <w:tcBorders>
              <w:top w:val="nil"/>
              <w:left w:val="nil"/>
              <w:bottom w:val="single" w:sz="4" w:space="0" w:color="auto"/>
              <w:right w:val="single" w:sz="4" w:space="0" w:color="auto"/>
            </w:tcBorders>
            <w:noWrap/>
            <w:vAlign w:val="center"/>
            <w:hideMark/>
          </w:tcPr>
          <w:p w14:paraId="402BA185" w14:textId="77777777" w:rsidR="00BF5974" w:rsidRDefault="00BF5974">
            <w:pPr>
              <w:spacing w:line="256" w:lineRule="auto"/>
              <w:jc w:val="right"/>
              <w:rPr>
                <w:rFonts w:eastAsia="Times New Roman" w:cs="Arial"/>
                <w:sz w:val="12"/>
                <w:szCs w:val="12"/>
                <w:lang w:val="es-ES" w:eastAsia="en-US"/>
              </w:rPr>
            </w:pPr>
            <w:r>
              <w:rPr>
                <w:rFonts w:cs="Arial"/>
                <w:sz w:val="12"/>
                <w:szCs w:val="12"/>
                <w:lang w:val="es-ES" w:eastAsia="en-US"/>
              </w:rPr>
              <w:t xml:space="preserve">287,191,676 </w:t>
            </w:r>
          </w:p>
        </w:tc>
        <w:tc>
          <w:tcPr>
            <w:tcW w:w="709" w:type="dxa"/>
            <w:tcBorders>
              <w:top w:val="nil"/>
              <w:left w:val="nil"/>
              <w:bottom w:val="single" w:sz="4" w:space="0" w:color="auto"/>
              <w:right w:val="single" w:sz="4" w:space="0" w:color="auto"/>
            </w:tcBorders>
            <w:noWrap/>
            <w:vAlign w:val="center"/>
            <w:hideMark/>
          </w:tcPr>
          <w:p w14:paraId="64E0387E" w14:textId="77777777" w:rsidR="00BF5974" w:rsidRDefault="00BF5974">
            <w:pPr>
              <w:spacing w:line="256" w:lineRule="auto"/>
              <w:jc w:val="center"/>
              <w:rPr>
                <w:rFonts w:eastAsia="Times New Roman" w:cs="Arial"/>
                <w:sz w:val="12"/>
                <w:szCs w:val="12"/>
                <w:highlight w:val="yellow"/>
                <w:lang w:val="es-ES" w:eastAsia="en-US"/>
              </w:rPr>
            </w:pPr>
            <w:r>
              <w:rPr>
                <w:rFonts w:cs="Arial"/>
                <w:sz w:val="12"/>
                <w:szCs w:val="12"/>
                <w:lang w:val="es-ES" w:eastAsia="en-US"/>
              </w:rPr>
              <w:t>7225-7226</w:t>
            </w:r>
          </w:p>
        </w:tc>
        <w:tc>
          <w:tcPr>
            <w:tcW w:w="850" w:type="dxa"/>
            <w:tcBorders>
              <w:top w:val="nil"/>
              <w:left w:val="nil"/>
              <w:bottom w:val="single" w:sz="4" w:space="0" w:color="auto"/>
              <w:right w:val="single" w:sz="4" w:space="0" w:color="auto"/>
            </w:tcBorders>
            <w:noWrap/>
            <w:vAlign w:val="center"/>
            <w:hideMark/>
          </w:tcPr>
          <w:p w14:paraId="08E41710"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TIIE+ 0.27%</w:t>
            </w:r>
          </w:p>
        </w:tc>
        <w:tc>
          <w:tcPr>
            <w:tcW w:w="709" w:type="dxa"/>
            <w:tcBorders>
              <w:top w:val="nil"/>
              <w:left w:val="nil"/>
              <w:bottom w:val="single" w:sz="4" w:space="0" w:color="auto"/>
              <w:right w:val="single" w:sz="4" w:space="0" w:color="auto"/>
            </w:tcBorders>
            <w:noWrap/>
            <w:vAlign w:val="center"/>
            <w:hideMark/>
          </w:tcPr>
          <w:p w14:paraId="315579C2" w14:textId="77777777" w:rsidR="00BF5974" w:rsidRDefault="00BF5974">
            <w:pPr>
              <w:spacing w:line="256" w:lineRule="auto"/>
              <w:jc w:val="center"/>
              <w:rPr>
                <w:rFonts w:eastAsia="Times New Roman" w:cs="Arial"/>
                <w:sz w:val="12"/>
                <w:szCs w:val="12"/>
                <w:lang w:val="es-ES" w:eastAsia="en-US"/>
              </w:rPr>
            </w:pPr>
            <w:proofErr w:type="spellStart"/>
            <w:r>
              <w:rPr>
                <w:rFonts w:cs="Arial"/>
                <w:sz w:val="12"/>
                <w:szCs w:val="12"/>
                <w:lang w:val="es-ES" w:eastAsia="en-US"/>
              </w:rPr>
              <w:t>n.a</w:t>
            </w:r>
            <w:proofErr w:type="spellEnd"/>
          </w:p>
        </w:tc>
        <w:tc>
          <w:tcPr>
            <w:tcW w:w="709" w:type="dxa"/>
            <w:tcBorders>
              <w:top w:val="nil"/>
              <w:left w:val="nil"/>
              <w:bottom w:val="single" w:sz="4" w:space="0" w:color="auto"/>
              <w:right w:val="single" w:sz="4" w:space="0" w:color="auto"/>
            </w:tcBorders>
            <w:noWrap/>
            <w:vAlign w:val="center"/>
            <w:hideMark/>
          </w:tcPr>
          <w:p w14:paraId="372CE31D"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jun-08</w:t>
            </w:r>
          </w:p>
        </w:tc>
        <w:tc>
          <w:tcPr>
            <w:tcW w:w="764" w:type="dxa"/>
            <w:tcBorders>
              <w:top w:val="nil"/>
              <w:left w:val="nil"/>
              <w:bottom w:val="single" w:sz="4" w:space="0" w:color="auto"/>
              <w:right w:val="single" w:sz="4" w:space="0" w:color="auto"/>
            </w:tcBorders>
            <w:noWrap/>
            <w:vAlign w:val="center"/>
            <w:hideMark/>
          </w:tcPr>
          <w:p w14:paraId="5011AEFE"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mar-33</w:t>
            </w:r>
          </w:p>
        </w:tc>
        <w:tc>
          <w:tcPr>
            <w:tcW w:w="1140" w:type="dxa"/>
            <w:tcBorders>
              <w:top w:val="nil"/>
              <w:left w:val="nil"/>
              <w:bottom w:val="single" w:sz="4" w:space="0" w:color="auto"/>
              <w:right w:val="single" w:sz="4" w:space="0" w:color="auto"/>
            </w:tcBorders>
            <w:noWrap/>
            <w:vAlign w:val="center"/>
            <w:hideMark/>
          </w:tcPr>
          <w:p w14:paraId="51732FD9"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Participaciones</w:t>
            </w:r>
          </w:p>
        </w:tc>
        <w:tc>
          <w:tcPr>
            <w:tcW w:w="708" w:type="dxa"/>
            <w:tcBorders>
              <w:top w:val="nil"/>
              <w:left w:val="nil"/>
              <w:bottom w:val="single" w:sz="4" w:space="0" w:color="auto"/>
              <w:right w:val="single" w:sz="4" w:space="0" w:color="auto"/>
            </w:tcBorders>
            <w:noWrap/>
            <w:vAlign w:val="center"/>
            <w:hideMark/>
          </w:tcPr>
          <w:p w14:paraId="4AFF6F0C"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Simple</w:t>
            </w:r>
          </w:p>
        </w:tc>
        <w:tc>
          <w:tcPr>
            <w:tcW w:w="858" w:type="dxa"/>
            <w:tcBorders>
              <w:top w:val="nil"/>
              <w:left w:val="nil"/>
              <w:bottom w:val="single" w:sz="4" w:space="0" w:color="auto"/>
              <w:right w:val="single" w:sz="4" w:space="0" w:color="auto"/>
            </w:tcBorders>
            <w:noWrap/>
            <w:vAlign w:val="center"/>
            <w:hideMark/>
          </w:tcPr>
          <w:p w14:paraId="445409AF" w14:textId="77777777" w:rsidR="00BF5974" w:rsidRDefault="00BF5974">
            <w:pPr>
              <w:spacing w:line="256" w:lineRule="auto"/>
              <w:jc w:val="center"/>
              <w:rPr>
                <w:rFonts w:eastAsia="Times New Roman" w:cs="Arial"/>
                <w:sz w:val="12"/>
                <w:szCs w:val="12"/>
                <w:lang w:val="es-ES" w:eastAsia="en-US"/>
              </w:rPr>
            </w:pPr>
            <w:proofErr w:type="spellStart"/>
            <w:r>
              <w:rPr>
                <w:rFonts w:cs="Arial"/>
                <w:sz w:val="12"/>
                <w:szCs w:val="12"/>
                <w:lang w:val="es-ES" w:eastAsia="en-US"/>
              </w:rPr>
              <w:t>Refin</w:t>
            </w:r>
            <w:proofErr w:type="spellEnd"/>
            <w:r>
              <w:rPr>
                <w:rFonts w:cs="Arial"/>
                <w:sz w:val="12"/>
                <w:szCs w:val="12"/>
                <w:lang w:val="es-ES" w:eastAsia="en-US"/>
              </w:rPr>
              <w:t xml:space="preserve"> e </w:t>
            </w:r>
            <w:proofErr w:type="spellStart"/>
            <w:r>
              <w:rPr>
                <w:rFonts w:cs="Arial"/>
                <w:sz w:val="12"/>
                <w:szCs w:val="12"/>
                <w:lang w:val="es-ES" w:eastAsia="en-US"/>
              </w:rPr>
              <w:t>Inv.Pub</w:t>
            </w:r>
            <w:proofErr w:type="spellEnd"/>
            <w:r>
              <w:rPr>
                <w:rFonts w:cs="Arial"/>
                <w:sz w:val="12"/>
                <w:szCs w:val="12"/>
                <w:lang w:val="es-ES" w:eastAsia="en-US"/>
              </w:rPr>
              <w:t xml:space="preserve"> </w:t>
            </w:r>
            <w:proofErr w:type="spellStart"/>
            <w:r>
              <w:rPr>
                <w:rFonts w:cs="Arial"/>
                <w:sz w:val="12"/>
                <w:szCs w:val="12"/>
                <w:lang w:val="es-ES" w:eastAsia="en-US"/>
              </w:rPr>
              <w:t>Prod</w:t>
            </w:r>
            <w:proofErr w:type="spellEnd"/>
            <w:r>
              <w:rPr>
                <w:rFonts w:cs="Arial"/>
                <w:sz w:val="12"/>
                <w:szCs w:val="12"/>
                <w:lang w:val="es-ES" w:eastAsia="en-US"/>
              </w:rPr>
              <w:t>.</w:t>
            </w:r>
          </w:p>
        </w:tc>
      </w:tr>
      <w:tr w:rsidR="00BF5974" w14:paraId="56619FD1" w14:textId="77777777" w:rsidTr="00BF5974">
        <w:trPr>
          <w:gridAfter w:val="1"/>
          <w:wAfter w:w="7" w:type="dxa"/>
          <w:trHeight w:val="20"/>
          <w:jc w:val="center"/>
        </w:trPr>
        <w:tc>
          <w:tcPr>
            <w:tcW w:w="709" w:type="dxa"/>
            <w:tcBorders>
              <w:top w:val="nil"/>
              <w:left w:val="single" w:sz="4" w:space="0" w:color="auto"/>
              <w:bottom w:val="single" w:sz="4" w:space="0" w:color="auto"/>
              <w:right w:val="single" w:sz="4" w:space="0" w:color="auto"/>
            </w:tcBorders>
            <w:noWrap/>
            <w:vAlign w:val="center"/>
            <w:hideMark/>
          </w:tcPr>
          <w:p w14:paraId="2B4DDCDD" w14:textId="77777777" w:rsidR="00BF5974" w:rsidRDefault="00BF5974">
            <w:pPr>
              <w:spacing w:line="256" w:lineRule="auto"/>
              <w:jc w:val="left"/>
              <w:rPr>
                <w:rFonts w:eastAsia="Times New Roman" w:cs="Arial"/>
                <w:b/>
                <w:bCs/>
                <w:sz w:val="12"/>
                <w:szCs w:val="12"/>
                <w:lang w:val="es-ES" w:eastAsia="en-US"/>
              </w:rPr>
            </w:pPr>
            <w:r>
              <w:rPr>
                <w:rFonts w:cs="Arial"/>
                <w:sz w:val="12"/>
                <w:szCs w:val="12"/>
                <w:lang w:val="es-ES" w:eastAsia="en-US"/>
              </w:rPr>
              <w:t>Banobras</w:t>
            </w:r>
          </w:p>
        </w:tc>
        <w:tc>
          <w:tcPr>
            <w:tcW w:w="1005" w:type="dxa"/>
            <w:tcBorders>
              <w:top w:val="nil"/>
              <w:left w:val="nil"/>
              <w:bottom w:val="single" w:sz="4" w:space="0" w:color="auto"/>
              <w:right w:val="single" w:sz="4" w:space="0" w:color="auto"/>
            </w:tcBorders>
            <w:noWrap/>
            <w:vAlign w:val="center"/>
            <w:hideMark/>
          </w:tcPr>
          <w:p w14:paraId="651EDE34" w14:textId="77777777" w:rsidR="00BF5974" w:rsidRDefault="00BF5974">
            <w:pPr>
              <w:spacing w:line="256" w:lineRule="auto"/>
              <w:jc w:val="right"/>
              <w:rPr>
                <w:rFonts w:eastAsia="Times New Roman" w:cs="Arial"/>
                <w:sz w:val="12"/>
                <w:szCs w:val="12"/>
                <w:lang w:val="es-ES" w:eastAsia="en-US"/>
              </w:rPr>
            </w:pPr>
            <w:r>
              <w:rPr>
                <w:rFonts w:cs="Arial"/>
                <w:sz w:val="12"/>
                <w:szCs w:val="12"/>
                <w:lang w:val="es-ES" w:eastAsia="en-US"/>
              </w:rPr>
              <w:t xml:space="preserve">410,000,000 </w:t>
            </w:r>
          </w:p>
        </w:tc>
        <w:tc>
          <w:tcPr>
            <w:tcW w:w="980" w:type="dxa"/>
            <w:tcBorders>
              <w:top w:val="nil"/>
              <w:left w:val="nil"/>
              <w:bottom w:val="single" w:sz="4" w:space="0" w:color="auto"/>
              <w:right w:val="single" w:sz="4" w:space="0" w:color="auto"/>
            </w:tcBorders>
            <w:noWrap/>
            <w:vAlign w:val="center"/>
            <w:hideMark/>
          </w:tcPr>
          <w:p w14:paraId="6C3F5B83" w14:textId="77777777" w:rsidR="00BF5974" w:rsidRDefault="00BF5974">
            <w:pPr>
              <w:spacing w:line="256" w:lineRule="auto"/>
              <w:jc w:val="right"/>
              <w:rPr>
                <w:rFonts w:eastAsia="Times New Roman" w:cs="Arial"/>
                <w:sz w:val="12"/>
                <w:szCs w:val="12"/>
                <w:lang w:val="es-ES" w:eastAsia="en-US"/>
              </w:rPr>
            </w:pPr>
            <w:r>
              <w:rPr>
                <w:rFonts w:cs="Arial"/>
                <w:sz w:val="12"/>
                <w:szCs w:val="12"/>
                <w:lang w:val="es-ES" w:eastAsia="en-US"/>
              </w:rPr>
              <w:t xml:space="preserve">402,911,553 </w:t>
            </w:r>
          </w:p>
        </w:tc>
        <w:tc>
          <w:tcPr>
            <w:tcW w:w="992" w:type="dxa"/>
            <w:tcBorders>
              <w:top w:val="nil"/>
              <w:left w:val="nil"/>
              <w:bottom w:val="single" w:sz="4" w:space="0" w:color="auto"/>
              <w:right w:val="single" w:sz="4" w:space="0" w:color="auto"/>
            </w:tcBorders>
            <w:noWrap/>
            <w:vAlign w:val="center"/>
            <w:hideMark/>
          </w:tcPr>
          <w:p w14:paraId="55A69CA3" w14:textId="77777777" w:rsidR="00BF5974" w:rsidRDefault="00BF5974">
            <w:pPr>
              <w:spacing w:line="256" w:lineRule="auto"/>
              <w:jc w:val="right"/>
              <w:rPr>
                <w:rFonts w:eastAsia="Times New Roman" w:cs="Arial"/>
                <w:sz w:val="12"/>
                <w:szCs w:val="12"/>
                <w:lang w:val="es-ES" w:eastAsia="en-US"/>
              </w:rPr>
            </w:pPr>
            <w:r>
              <w:rPr>
                <w:rFonts w:cs="Arial"/>
                <w:sz w:val="12"/>
                <w:szCs w:val="12"/>
                <w:lang w:val="es-ES" w:eastAsia="en-US"/>
              </w:rPr>
              <w:t xml:space="preserve">364,030,886 </w:t>
            </w:r>
          </w:p>
        </w:tc>
        <w:tc>
          <w:tcPr>
            <w:tcW w:w="709" w:type="dxa"/>
            <w:tcBorders>
              <w:top w:val="nil"/>
              <w:left w:val="nil"/>
              <w:bottom w:val="single" w:sz="4" w:space="0" w:color="auto"/>
              <w:right w:val="single" w:sz="4" w:space="0" w:color="auto"/>
            </w:tcBorders>
            <w:noWrap/>
            <w:vAlign w:val="center"/>
            <w:hideMark/>
          </w:tcPr>
          <w:p w14:paraId="73D3F05B" w14:textId="77777777" w:rsidR="00BF5974" w:rsidRDefault="00BF5974">
            <w:pPr>
              <w:spacing w:line="256" w:lineRule="auto"/>
              <w:jc w:val="center"/>
              <w:rPr>
                <w:rFonts w:eastAsia="Times New Roman" w:cs="Arial"/>
                <w:sz w:val="12"/>
                <w:szCs w:val="12"/>
                <w:highlight w:val="yellow"/>
                <w:lang w:val="es-ES" w:eastAsia="en-US"/>
              </w:rPr>
            </w:pPr>
            <w:r>
              <w:rPr>
                <w:rFonts w:cs="Arial"/>
                <w:sz w:val="12"/>
                <w:szCs w:val="12"/>
                <w:lang w:val="es-ES" w:eastAsia="en-US"/>
              </w:rPr>
              <w:t>13451</w:t>
            </w:r>
          </w:p>
        </w:tc>
        <w:tc>
          <w:tcPr>
            <w:tcW w:w="850" w:type="dxa"/>
            <w:tcBorders>
              <w:top w:val="nil"/>
              <w:left w:val="nil"/>
              <w:bottom w:val="single" w:sz="4" w:space="0" w:color="auto"/>
              <w:right w:val="single" w:sz="4" w:space="0" w:color="auto"/>
            </w:tcBorders>
            <w:noWrap/>
            <w:vAlign w:val="center"/>
            <w:hideMark/>
          </w:tcPr>
          <w:p w14:paraId="24B8B66A"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TIIE+ 0.50%</w:t>
            </w:r>
          </w:p>
        </w:tc>
        <w:tc>
          <w:tcPr>
            <w:tcW w:w="709" w:type="dxa"/>
            <w:tcBorders>
              <w:top w:val="nil"/>
              <w:left w:val="nil"/>
              <w:bottom w:val="single" w:sz="4" w:space="0" w:color="auto"/>
              <w:right w:val="single" w:sz="4" w:space="0" w:color="auto"/>
            </w:tcBorders>
            <w:noWrap/>
            <w:vAlign w:val="center"/>
            <w:hideMark/>
          </w:tcPr>
          <w:p w14:paraId="5D3AD4F3"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9.70%</w:t>
            </w:r>
          </w:p>
        </w:tc>
        <w:tc>
          <w:tcPr>
            <w:tcW w:w="709" w:type="dxa"/>
            <w:tcBorders>
              <w:top w:val="nil"/>
              <w:left w:val="nil"/>
              <w:bottom w:val="single" w:sz="4" w:space="0" w:color="auto"/>
              <w:right w:val="single" w:sz="4" w:space="0" w:color="auto"/>
            </w:tcBorders>
            <w:noWrap/>
            <w:vAlign w:val="center"/>
            <w:hideMark/>
          </w:tcPr>
          <w:p w14:paraId="35086351"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nov-18</w:t>
            </w:r>
          </w:p>
        </w:tc>
        <w:tc>
          <w:tcPr>
            <w:tcW w:w="764" w:type="dxa"/>
            <w:tcBorders>
              <w:top w:val="nil"/>
              <w:left w:val="nil"/>
              <w:bottom w:val="single" w:sz="4" w:space="0" w:color="auto"/>
              <w:right w:val="single" w:sz="4" w:space="0" w:color="auto"/>
            </w:tcBorders>
            <w:noWrap/>
            <w:vAlign w:val="center"/>
            <w:hideMark/>
          </w:tcPr>
          <w:p w14:paraId="1DD6E9A1"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dic-38</w:t>
            </w:r>
          </w:p>
        </w:tc>
        <w:tc>
          <w:tcPr>
            <w:tcW w:w="1140" w:type="dxa"/>
            <w:tcBorders>
              <w:top w:val="nil"/>
              <w:left w:val="nil"/>
              <w:bottom w:val="single" w:sz="4" w:space="0" w:color="auto"/>
              <w:right w:val="single" w:sz="4" w:space="0" w:color="auto"/>
            </w:tcBorders>
            <w:noWrap/>
            <w:vAlign w:val="center"/>
            <w:hideMark/>
          </w:tcPr>
          <w:p w14:paraId="58CD78BD"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Participaciones</w:t>
            </w:r>
          </w:p>
        </w:tc>
        <w:tc>
          <w:tcPr>
            <w:tcW w:w="708" w:type="dxa"/>
            <w:tcBorders>
              <w:top w:val="nil"/>
              <w:left w:val="nil"/>
              <w:bottom w:val="single" w:sz="4" w:space="0" w:color="auto"/>
              <w:right w:val="single" w:sz="4" w:space="0" w:color="auto"/>
            </w:tcBorders>
            <w:noWrap/>
            <w:vAlign w:val="center"/>
            <w:hideMark/>
          </w:tcPr>
          <w:p w14:paraId="5D9DCDCA"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Simple</w:t>
            </w:r>
          </w:p>
        </w:tc>
        <w:tc>
          <w:tcPr>
            <w:tcW w:w="858" w:type="dxa"/>
            <w:tcBorders>
              <w:top w:val="nil"/>
              <w:left w:val="nil"/>
              <w:bottom w:val="single" w:sz="4" w:space="0" w:color="auto"/>
              <w:right w:val="single" w:sz="4" w:space="0" w:color="auto"/>
            </w:tcBorders>
            <w:noWrap/>
            <w:vAlign w:val="center"/>
            <w:hideMark/>
          </w:tcPr>
          <w:p w14:paraId="09ECA424"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 xml:space="preserve">Inv. Pub. </w:t>
            </w:r>
            <w:proofErr w:type="spellStart"/>
            <w:r>
              <w:rPr>
                <w:rFonts w:cs="Arial"/>
                <w:sz w:val="12"/>
                <w:szCs w:val="12"/>
                <w:lang w:val="es-ES" w:eastAsia="en-US"/>
              </w:rPr>
              <w:t>Poductiva</w:t>
            </w:r>
            <w:proofErr w:type="spellEnd"/>
          </w:p>
        </w:tc>
      </w:tr>
      <w:tr w:rsidR="00BF5974" w14:paraId="41EDA281" w14:textId="77777777" w:rsidTr="00BF5974">
        <w:trPr>
          <w:gridAfter w:val="1"/>
          <w:wAfter w:w="7" w:type="dxa"/>
          <w:trHeight w:val="20"/>
          <w:jc w:val="center"/>
        </w:trPr>
        <w:tc>
          <w:tcPr>
            <w:tcW w:w="709" w:type="dxa"/>
            <w:tcBorders>
              <w:top w:val="nil"/>
              <w:left w:val="single" w:sz="4" w:space="0" w:color="auto"/>
              <w:bottom w:val="single" w:sz="4" w:space="0" w:color="auto"/>
              <w:right w:val="single" w:sz="4" w:space="0" w:color="auto"/>
            </w:tcBorders>
            <w:noWrap/>
            <w:vAlign w:val="center"/>
            <w:hideMark/>
          </w:tcPr>
          <w:p w14:paraId="7A3CEB3D" w14:textId="77777777" w:rsidR="00BF5974" w:rsidRDefault="00BF5974">
            <w:pPr>
              <w:spacing w:line="256" w:lineRule="auto"/>
              <w:jc w:val="left"/>
              <w:rPr>
                <w:rFonts w:eastAsia="Times New Roman" w:cs="Arial"/>
                <w:b/>
                <w:bCs/>
                <w:sz w:val="12"/>
                <w:szCs w:val="12"/>
                <w:lang w:val="es-ES" w:eastAsia="en-US"/>
              </w:rPr>
            </w:pPr>
            <w:r>
              <w:rPr>
                <w:rFonts w:cs="Arial"/>
                <w:sz w:val="12"/>
                <w:szCs w:val="12"/>
                <w:lang w:val="es-ES" w:eastAsia="en-US"/>
              </w:rPr>
              <w:t>Banobras</w:t>
            </w:r>
          </w:p>
        </w:tc>
        <w:tc>
          <w:tcPr>
            <w:tcW w:w="1005" w:type="dxa"/>
            <w:tcBorders>
              <w:top w:val="nil"/>
              <w:left w:val="nil"/>
              <w:bottom w:val="single" w:sz="4" w:space="0" w:color="auto"/>
              <w:right w:val="single" w:sz="4" w:space="0" w:color="auto"/>
            </w:tcBorders>
            <w:noWrap/>
            <w:vAlign w:val="center"/>
            <w:hideMark/>
          </w:tcPr>
          <w:p w14:paraId="0E198CF5" w14:textId="77777777" w:rsidR="00BF5974" w:rsidRDefault="00BF5974">
            <w:pPr>
              <w:spacing w:line="256" w:lineRule="auto"/>
              <w:jc w:val="right"/>
              <w:rPr>
                <w:rFonts w:eastAsia="Times New Roman" w:cs="Arial"/>
                <w:sz w:val="12"/>
                <w:szCs w:val="12"/>
                <w:lang w:val="es-ES" w:eastAsia="en-US"/>
              </w:rPr>
            </w:pPr>
            <w:r>
              <w:rPr>
                <w:rFonts w:cs="Arial"/>
                <w:sz w:val="12"/>
                <w:szCs w:val="12"/>
                <w:lang w:val="es-ES" w:eastAsia="en-US"/>
              </w:rPr>
              <w:t xml:space="preserve">65,000,000 </w:t>
            </w:r>
          </w:p>
        </w:tc>
        <w:tc>
          <w:tcPr>
            <w:tcW w:w="980" w:type="dxa"/>
            <w:tcBorders>
              <w:top w:val="nil"/>
              <w:left w:val="nil"/>
              <w:bottom w:val="single" w:sz="4" w:space="0" w:color="auto"/>
              <w:right w:val="single" w:sz="4" w:space="0" w:color="auto"/>
            </w:tcBorders>
            <w:noWrap/>
            <w:vAlign w:val="center"/>
            <w:hideMark/>
          </w:tcPr>
          <w:p w14:paraId="054147FB" w14:textId="77777777" w:rsidR="00BF5974" w:rsidRDefault="00BF5974">
            <w:pPr>
              <w:spacing w:line="256" w:lineRule="auto"/>
              <w:jc w:val="right"/>
              <w:rPr>
                <w:rFonts w:eastAsia="Times New Roman" w:cs="Arial"/>
                <w:sz w:val="12"/>
                <w:szCs w:val="12"/>
                <w:lang w:val="es-ES" w:eastAsia="en-US"/>
              </w:rPr>
            </w:pPr>
            <w:r>
              <w:rPr>
                <w:rFonts w:cs="Arial"/>
                <w:sz w:val="12"/>
                <w:szCs w:val="12"/>
                <w:lang w:val="es-ES" w:eastAsia="en-US"/>
              </w:rPr>
              <w:t xml:space="preserve">62,427,512 </w:t>
            </w:r>
          </w:p>
        </w:tc>
        <w:tc>
          <w:tcPr>
            <w:tcW w:w="992" w:type="dxa"/>
            <w:tcBorders>
              <w:top w:val="nil"/>
              <w:left w:val="nil"/>
              <w:bottom w:val="single" w:sz="4" w:space="0" w:color="auto"/>
              <w:right w:val="single" w:sz="4" w:space="0" w:color="auto"/>
            </w:tcBorders>
            <w:noWrap/>
            <w:vAlign w:val="center"/>
            <w:hideMark/>
          </w:tcPr>
          <w:p w14:paraId="34732BC5" w14:textId="77777777" w:rsidR="00BF5974" w:rsidRDefault="00BF5974">
            <w:pPr>
              <w:spacing w:line="256" w:lineRule="auto"/>
              <w:jc w:val="right"/>
              <w:rPr>
                <w:rFonts w:eastAsia="Times New Roman" w:cs="Arial"/>
                <w:sz w:val="12"/>
                <w:szCs w:val="12"/>
                <w:lang w:val="es-ES" w:eastAsia="en-US"/>
              </w:rPr>
            </w:pPr>
            <w:r>
              <w:rPr>
                <w:rFonts w:cs="Arial"/>
                <w:sz w:val="12"/>
                <w:szCs w:val="12"/>
                <w:lang w:val="es-ES" w:eastAsia="en-US"/>
              </w:rPr>
              <w:t xml:space="preserve">50,092,775 </w:t>
            </w:r>
          </w:p>
        </w:tc>
        <w:tc>
          <w:tcPr>
            <w:tcW w:w="709" w:type="dxa"/>
            <w:tcBorders>
              <w:top w:val="nil"/>
              <w:left w:val="nil"/>
              <w:bottom w:val="single" w:sz="4" w:space="0" w:color="auto"/>
              <w:right w:val="single" w:sz="4" w:space="0" w:color="auto"/>
            </w:tcBorders>
            <w:noWrap/>
            <w:vAlign w:val="center"/>
            <w:hideMark/>
          </w:tcPr>
          <w:p w14:paraId="4162F843" w14:textId="77777777" w:rsidR="00BF5974" w:rsidRDefault="00BF5974">
            <w:pPr>
              <w:spacing w:line="256" w:lineRule="auto"/>
              <w:jc w:val="center"/>
              <w:rPr>
                <w:rFonts w:eastAsia="Times New Roman" w:cs="Arial"/>
                <w:sz w:val="12"/>
                <w:szCs w:val="12"/>
                <w:highlight w:val="yellow"/>
                <w:lang w:val="es-ES" w:eastAsia="en-US"/>
              </w:rPr>
            </w:pPr>
            <w:r>
              <w:rPr>
                <w:rFonts w:cs="Arial"/>
                <w:sz w:val="12"/>
                <w:szCs w:val="12"/>
                <w:lang w:val="es-ES" w:eastAsia="en-US"/>
              </w:rPr>
              <w:t>15211</w:t>
            </w:r>
          </w:p>
        </w:tc>
        <w:tc>
          <w:tcPr>
            <w:tcW w:w="850" w:type="dxa"/>
            <w:tcBorders>
              <w:top w:val="nil"/>
              <w:left w:val="nil"/>
              <w:bottom w:val="single" w:sz="4" w:space="0" w:color="auto"/>
              <w:right w:val="single" w:sz="4" w:space="0" w:color="auto"/>
            </w:tcBorders>
            <w:noWrap/>
            <w:vAlign w:val="center"/>
            <w:hideMark/>
          </w:tcPr>
          <w:p w14:paraId="0CDAF810"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Fija 11.07%</w:t>
            </w:r>
          </w:p>
        </w:tc>
        <w:tc>
          <w:tcPr>
            <w:tcW w:w="709" w:type="dxa"/>
            <w:tcBorders>
              <w:top w:val="nil"/>
              <w:left w:val="nil"/>
              <w:bottom w:val="single" w:sz="4" w:space="0" w:color="auto"/>
              <w:right w:val="single" w:sz="4" w:space="0" w:color="auto"/>
            </w:tcBorders>
            <w:noWrap/>
            <w:vAlign w:val="center"/>
            <w:hideMark/>
          </w:tcPr>
          <w:p w14:paraId="476B297F"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10.08%</w:t>
            </w:r>
          </w:p>
        </w:tc>
        <w:tc>
          <w:tcPr>
            <w:tcW w:w="709" w:type="dxa"/>
            <w:tcBorders>
              <w:top w:val="nil"/>
              <w:left w:val="nil"/>
              <w:bottom w:val="single" w:sz="4" w:space="0" w:color="auto"/>
              <w:right w:val="single" w:sz="4" w:space="0" w:color="auto"/>
            </w:tcBorders>
            <w:noWrap/>
            <w:vAlign w:val="center"/>
            <w:hideMark/>
          </w:tcPr>
          <w:p w14:paraId="7523C300"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ago-23</w:t>
            </w:r>
          </w:p>
        </w:tc>
        <w:tc>
          <w:tcPr>
            <w:tcW w:w="764" w:type="dxa"/>
            <w:tcBorders>
              <w:top w:val="nil"/>
              <w:left w:val="nil"/>
              <w:bottom w:val="single" w:sz="4" w:space="0" w:color="auto"/>
              <w:right w:val="single" w:sz="4" w:space="0" w:color="auto"/>
            </w:tcBorders>
            <w:noWrap/>
            <w:vAlign w:val="center"/>
            <w:hideMark/>
          </w:tcPr>
          <w:p w14:paraId="77FCDD58"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oct-27</w:t>
            </w:r>
          </w:p>
        </w:tc>
        <w:tc>
          <w:tcPr>
            <w:tcW w:w="1140" w:type="dxa"/>
            <w:tcBorders>
              <w:top w:val="nil"/>
              <w:left w:val="nil"/>
              <w:bottom w:val="single" w:sz="4" w:space="0" w:color="auto"/>
              <w:right w:val="single" w:sz="4" w:space="0" w:color="auto"/>
            </w:tcBorders>
            <w:noWrap/>
            <w:vAlign w:val="center"/>
            <w:hideMark/>
          </w:tcPr>
          <w:p w14:paraId="3AC46D09"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Aportaciones</w:t>
            </w:r>
          </w:p>
        </w:tc>
        <w:tc>
          <w:tcPr>
            <w:tcW w:w="708" w:type="dxa"/>
            <w:tcBorders>
              <w:top w:val="nil"/>
              <w:left w:val="nil"/>
              <w:bottom w:val="single" w:sz="4" w:space="0" w:color="auto"/>
              <w:right w:val="single" w:sz="4" w:space="0" w:color="auto"/>
            </w:tcBorders>
            <w:noWrap/>
            <w:vAlign w:val="center"/>
            <w:hideMark/>
          </w:tcPr>
          <w:p w14:paraId="1C97B3AF"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Simple</w:t>
            </w:r>
          </w:p>
        </w:tc>
        <w:tc>
          <w:tcPr>
            <w:tcW w:w="858" w:type="dxa"/>
            <w:tcBorders>
              <w:top w:val="nil"/>
              <w:left w:val="nil"/>
              <w:bottom w:val="single" w:sz="4" w:space="0" w:color="auto"/>
              <w:right w:val="single" w:sz="4" w:space="0" w:color="auto"/>
            </w:tcBorders>
            <w:noWrap/>
            <w:vAlign w:val="center"/>
            <w:hideMark/>
          </w:tcPr>
          <w:p w14:paraId="02D50A02"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 xml:space="preserve">Inv. Pub. </w:t>
            </w:r>
            <w:proofErr w:type="spellStart"/>
            <w:r>
              <w:rPr>
                <w:rFonts w:cs="Arial"/>
                <w:sz w:val="12"/>
                <w:szCs w:val="12"/>
                <w:lang w:val="es-ES" w:eastAsia="en-US"/>
              </w:rPr>
              <w:t>Poductiva</w:t>
            </w:r>
            <w:proofErr w:type="spellEnd"/>
          </w:p>
        </w:tc>
      </w:tr>
      <w:tr w:rsidR="00BF5974" w14:paraId="71274E53" w14:textId="77777777" w:rsidTr="00BF5974">
        <w:trPr>
          <w:gridAfter w:val="1"/>
          <w:wAfter w:w="7" w:type="dxa"/>
          <w:trHeight w:val="20"/>
          <w:jc w:val="center"/>
        </w:trPr>
        <w:tc>
          <w:tcPr>
            <w:tcW w:w="709" w:type="dxa"/>
            <w:tcBorders>
              <w:top w:val="nil"/>
              <w:left w:val="single" w:sz="4" w:space="0" w:color="auto"/>
              <w:bottom w:val="single" w:sz="4" w:space="0" w:color="auto"/>
              <w:right w:val="single" w:sz="4" w:space="0" w:color="auto"/>
            </w:tcBorders>
            <w:noWrap/>
            <w:vAlign w:val="center"/>
            <w:hideMark/>
          </w:tcPr>
          <w:p w14:paraId="547FF60C" w14:textId="77777777" w:rsidR="00BF5974" w:rsidRDefault="00BF5974">
            <w:pPr>
              <w:spacing w:line="256" w:lineRule="auto"/>
              <w:jc w:val="left"/>
              <w:rPr>
                <w:rFonts w:eastAsia="Times New Roman" w:cs="Arial"/>
                <w:b/>
                <w:bCs/>
                <w:sz w:val="12"/>
                <w:szCs w:val="12"/>
                <w:lang w:val="es-ES" w:eastAsia="en-US"/>
              </w:rPr>
            </w:pPr>
            <w:r>
              <w:rPr>
                <w:rFonts w:cs="Arial"/>
                <w:sz w:val="12"/>
                <w:szCs w:val="12"/>
                <w:lang w:val="es-ES" w:eastAsia="en-US"/>
              </w:rPr>
              <w:t>Banco del Bajío</w:t>
            </w:r>
          </w:p>
        </w:tc>
        <w:tc>
          <w:tcPr>
            <w:tcW w:w="1005" w:type="dxa"/>
            <w:tcBorders>
              <w:top w:val="nil"/>
              <w:left w:val="nil"/>
              <w:bottom w:val="single" w:sz="4" w:space="0" w:color="auto"/>
              <w:right w:val="single" w:sz="4" w:space="0" w:color="auto"/>
            </w:tcBorders>
            <w:noWrap/>
            <w:vAlign w:val="center"/>
            <w:hideMark/>
          </w:tcPr>
          <w:p w14:paraId="4C0F0A44" w14:textId="77777777" w:rsidR="00BF5974" w:rsidRDefault="00BF5974">
            <w:pPr>
              <w:spacing w:line="256" w:lineRule="auto"/>
              <w:jc w:val="right"/>
              <w:rPr>
                <w:rFonts w:eastAsia="Times New Roman" w:cs="Arial"/>
                <w:sz w:val="12"/>
                <w:szCs w:val="12"/>
                <w:lang w:val="es-ES" w:eastAsia="en-US"/>
              </w:rPr>
            </w:pPr>
            <w:r>
              <w:rPr>
                <w:rFonts w:cs="Arial"/>
                <w:sz w:val="12"/>
                <w:szCs w:val="12"/>
                <w:lang w:val="es-ES" w:eastAsia="en-US"/>
              </w:rPr>
              <w:t xml:space="preserve">1,000,000,000 </w:t>
            </w:r>
          </w:p>
        </w:tc>
        <w:tc>
          <w:tcPr>
            <w:tcW w:w="980" w:type="dxa"/>
            <w:tcBorders>
              <w:top w:val="nil"/>
              <w:left w:val="nil"/>
              <w:bottom w:val="single" w:sz="4" w:space="0" w:color="auto"/>
              <w:right w:val="single" w:sz="4" w:space="0" w:color="auto"/>
            </w:tcBorders>
            <w:noWrap/>
            <w:vAlign w:val="center"/>
            <w:hideMark/>
          </w:tcPr>
          <w:p w14:paraId="7809BFB8" w14:textId="77777777" w:rsidR="00BF5974" w:rsidRDefault="00BF5974">
            <w:pPr>
              <w:spacing w:line="256" w:lineRule="auto"/>
              <w:jc w:val="right"/>
              <w:rPr>
                <w:rFonts w:eastAsia="Times New Roman" w:cs="Arial"/>
                <w:sz w:val="12"/>
                <w:szCs w:val="12"/>
                <w:lang w:val="es-ES" w:eastAsia="en-US"/>
              </w:rPr>
            </w:pPr>
            <w:r>
              <w:rPr>
                <w:rFonts w:cs="Arial"/>
                <w:sz w:val="12"/>
                <w:szCs w:val="12"/>
                <w:lang w:val="es-ES" w:eastAsia="en-US"/>
              </w:rPr>
              <w:t xml:space="preserve">964,857,927 </w:t>
            </w:r>
          </w:p>
        </w:tc>
        <w:tc>
          <w:tcPr>
            <w:tcW w:w="992" w:type="dxa"/>
            <w:tcBorders>
              <w:top w:val="nil"/>
              <w:left w:val="nil"/>
              <w:bottom w:val="single" w:sz="4" w:space="0" w:color="auto"/>
              <w:right w:val="single" w:sz="4" w:space="0" w:color="auto"/>
            </w:tcBorders>
            <w:noWrap/>
            <w:vAlign w:val="center"/>
            <w:hideMark/>
          </w:tcPr>
          <w:p w14:paraId="290D0110" w14:textId="77777777" w:rsidR="00BF5974" w:rsidRDefault="00BF5974">
            <w:pPr>
              <w:spacing w:line="256" w:lineRule="auto"/>
              <w:jc w:val="right"/>
              <w:rPr>
                <w:rFonts w:eastAsia="Times New Roman" w:cs="Arial"/>
                <w:sz w:val="12"/>
                <w:szCs w:val="12"/>
                <w:lang w:val="es-ES" w:eastAsia="en-US"/>
              </w:rPr>
            </w:pPr>
            <w:r>
              <w:rPr>
                <w:rFonts w:cs="Arial"/>
                <w:sz w:val="12"/>
                <w:szCs w:val="12"/>
                <w:lang w:val="es-ES" w:eastAsia="en-US"/>
              </w:rPr>
              <w:t xml:space="preserve">961,779,548 </w:t>
            </w:r>
          </w:p>
        </w:tc>
        <w:tc>
          <w:tcPr>
            <w:tcW w:w="709" w:type="dxa"/>
            <w:tcBorders>
              <w:top w:val="nil"/>
              <w:left w:val="nil"/>
              <w:bottom w:val="single" w:sz="4" w:space="0" w:color="auto"/>
              <w:right w:val="single" w:sz="4" w:space="0" w:color="auto"/>
            </w:tcBorders>
            <w:noWrap/>
            <w:vAlign w:val="center"/>
            <w:hideMark/>
          </w:tcPr>
          <w:p w14:paraId="72EE892B" w14:textId="77777777" w:rsidR="00BF5974" w:rsidRDefault="00BF5974">
            <w:pPr>
              <w:spacing w:line="256" w:lineRule="auto"/>
              <w:jc w:val="center"/>
              <w:rPr>
                <w:rFonts w:eastAsia="Times New Roman" w:cs="Arial"/>
                <w:sz w:val="12"/>
                <w:szCs w:val="12"/>
                <w:highlight w:val="yellow"/>
                <w:lang w:val="es-ES" w:eastAsia="en-US"/>
              </w:rPr>
            </w:pPr>
            <w:r>
              <w:rPr>
                <w:rFonts w:cs="Arial"/>
                <w:sz w:val="12"/>
                <w:szCs w:val="12"/>
                <w:lang w:val="es-ES" w:eastAsia="en-US"/>
              </w:rPr>
              <w:t>16163782</w:t>
            </w:r>
          </w:p>
        </w:tc>
        <w:tc>
          <w:tcPr>
            <w:tcW w:w="850" w:type="dxa"/>
            <w:tcBorders>
              <w:top w:val="nil"/>
              <w:left w:val="nil"/>
              <w:bottom w:val="single" w:sz="4" w:space="0" w:color="auto"/>
              <w:right w:val="single" w:sz="4" w:space="0" w:color="auto"/>
            </w:tcBorders>
            <w:noWrap/>
            <w:vAlign w:val="center"/>
            <w:hideMark/>
          </w:tcPr>
          <w:p w14:paraId="441125F7"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TIIE+ 0.79%</w:t>
            </w:r>
          </w:p>
        </w:tc>
        <w:tc>
          <w:tcPr>
            <w:tcW w:w="709" w:type="dxa"/>
            <w:tcBorders>
              <w:top w:val="nil"/>
              <w:left w:val="nil"/>
              <w:bottom w:val="single" w:sz="4" w:space="0" w:color="auto"/>
              <w:right w:val="single" w:sz="4" w:space="0" w:color="auto"/>
            </w:tcBorders>
            <w:noWrap/>
            <w:vAlign w:val="center"/>
            <w:hideMark/>
          </w:tcPr>
          <w:p w14:paraId="60EA4B92"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10.65%</w:t>
            </w:r>
          </w:p>
        </w:tc>
        <w:tc>
          <w:tcPr>
            <w:tcW w:w="709" w:type="dxa"/>
            <w:tcBorders>
              <w:top w:val="nil"/>
              <w:left w:val="nil"/>
              <w:bottom w:val="single" w:sz="4" w:space="0" w:color="auto"/>
              <w:right w:val="single" w:sz="4" w:space="0" w:color="auto"/>
            </w:tcBorders>
            <w:noWrap/>
            <w:vAlign w:val="center"/>
            <w:hideMark/>
          </w:tcPr>
          <w:p w14:paraId="17620DE3"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nov-23</w:t>
            </w:r>
          </w:p>
        </w:tc>
        <w:tc>
          <w:tcPr>
            <w:tcW w:w="764" w:type="dxa"/>
            <w:tcBorders>
              <w:top w:val="nil"/>
              <w:left w:val="nil"/>
              <w:bottom w:val="single" w:sz="4" w:space="0" w:color="auto"/>
              <w:right w:val="single" w:sz="4" w:space="0" w:color="auto"/>
            </w:tcBorders>
            <w:noWrap/>
            <w:vAlign w:val="center"/>
            <w:hideMark/>
          </w:tcPr>
          <w:p w14:paraId="27BB7BE2"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abr-44</w:t>
            </w:r>
          </w:p>
        </w:tc>
        <w:tc>
          <w:tcPr>
            <w:tcW w:w="1140" w:type="dxa"/>
            <w:tcBorders>
              <w:top w:val="nil"/>
              <w:left w:val="nil"/>
              <w:bottom w:val="single" w:sz="4" w:space="0" w:color="auto"/>
              <w:right w:val="single" w:sz="4" w:space="0" w:color="auto"/>
            </w:tcBorders>
            <w:noWrap/>
            <w:vAlign w:val="center"/>
            <w:hideMark/>
          </w:tcPr>
          <w:p w14:paraId="5E8C4C57"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Participaciones</w:t>
            </w:r>
          </w:p>
        </w:tc>
        <w:tc>
          <w:tcPr>
            <w:tcW w:w="708" w:type="dxa"/>
            <w:tcBorders>
              <w:top w:val="nil"/>
              <w:left w:val="nil"/>
              <w:bottom w:val="single" w:sz="4" w:space="0" w:color="auto"/>
              <w:right w:val="single" w:sz="4" w:space="0" w:color="auto"/>
            </w:tcBorders>
            <w:noWrap/>
            <w:vAlign w:val="center"/>
            <w:hideMark/>
          </w:tcPr>
          <w:p w14:paraId="47598B22"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Simple</w:t>
            </w:r>
          </w:p>
        </w:tc>
        <w:tc>
          <w:tcPr>
            <w:tcW w:w="858" w:type="dxa"/>
            <w:tcBorders>
              <w:top w:val="nil"/>
              <w:left w:val="nil"/>
              <w:bottom w:val="single" w:sz="4" w:space="0" w:color="auto"/>
              <w:right w:val="single" w:sz="4" w:space="0" w:color="auto"/>
            </w:tcBorders>
            <w:noWrap/>
            <w:vAlign w:val="center"/>
            <w:hideMark/>
          </w:tcPr>
          <w:p w14:paraId="513B75E9"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Refinanciamiento</w:t>
            </w:r>
          </w:p>
        </w:tc>
      </w:tr>
      <w:tr w:rsidR="00BF5974" w14:paraId="319FE434" w14:textId="77777777" w:rsidTr="00BF5974">
        <w:trPr>
          <w:gridAfter w:val="1"/>
          <w:wAfter w:w="7" w:type="dxa"/>
          <w:trHeight w:val="20"/>
          <w:jc w:val="center"/>
        </w:trPr>
        <w:tc>
          <w:tcPr>
            <w:tcW w:w="709" w:type="dxa"/>
            <w:tcBorders>
              <w:top w:val="nil"/>
              <w:left w:val="single" w:sz="4" w:space="0" w:color="auto"/>
              <w:bottom w:val="single" w:sz="4" w:space="0" w:color="auto"/>
              <w:right w:val="single" w:sz="4" w:space="0" w:color="auto"/>
            </w:tcBorders>
            <w:noWrap/>
            <w:vAlign w:val="center"/>
            <w:hideMark/>
          </w:tcPr>
          <w:p w14:paraId="0BF4A876" w14:textId="77777777" w:rsidR="00BF5974" w:rsidRDefault="00BF5974">
            <w:pPr>
              <w:spacing w:line="256" w:lineRule="auto"/>
              <w:jc w:val="left"/>
              <w:rPr>
                <w:rFonts w:eastAsia="Times New Roman" w:cs="Arial"/>
                <w:b/>
                <w:bCs/>
                <w:sz w:val="12"/>
                <w:szCs w:val="12"/>
                <w:lang w:val="es-ES" w:eastAsia="en-US"/>
              </w:rPr>
            </w:pPr>
            <w:r>
              <w:rPr>
                <w:rFonts w:cs="Arial"/>
                <w:sz w:val="12"/>
                <w:szCs w:val="12"/>
                <w:lang w:val="es-ES" w:eastAsia="en-US"/>
              </w:rPr>
              <w:t>Banorte</w:t>
            </w:r>
          </w:p>
        </w:tc>
        <w:tc>
          <w:tcPr>
            <w:tcW w:w="1005" w:type="dxa"/>
            <w:tcBorders>
              <w:top w:val="nil"/>
              <w:left w:val="nil"/>
              <w:bottom w:val="single" w:sz="4" w:space="0" w:color="auto"/>
              <w:right w:val="single" w:sz="4" w:space="0" w:color="auto"/>
            </w:tcBorders>
            <w:noWrap/>
            <w:vAlign w:val="center"/>
            <w:hideMark/>
          </w:tcPr>
          <w:p w14:paraId="43EF7655" w14:textId="77777777" w:rsidR="00BF5974" w:rsidRDefault="00BF5974">
            <w:pPr>
              <w:spacing w:line="256" w:lineRule="auto"/>
              <w:jc w:val="right"/>
              <w:rPr>
                <w:rFonts w:eastAsia="Times New Roman" w:cs="Arial"/>
                <w:sz w:val="12"/>
                <w:szCs w:val="12"/>
                <w:lang w:val="es-ES" w:eastAsia="en-US"/>
              </w:rPr>
            </w:pPr>
            <w:r>
              <w:rPr>
                <w:rFonts w:cs="Arial"/>
                <w:sz w:val="12"/>
                <w:szCs w:val="12"/>
                <w:lang w:val="es-ES" w:eastAsia="en-US"/>
              </w:rPr>
              <w:t xml:space="preserve">750,000,000 </w:t>
            </w:r>
          </w:p>
        </w:tc>
        <w:tc>
          <w:tcPr>
            <w:tcW w:w="980" w:type="dxa"/>
            <w:tcBorders>
              <w:top w:val="nil"/>
              <w:left w:val="nil"/>
              <w:bottom w:val="single" w:sz="4" w:space="0" w:color="auto"/>
              <w:right w:val="single" w:sz="4" w:space="0" w:color="auto"/>
            </w:tcBorders>
            <w:noWrap/>
            <w:vAlign w:val="center"/>
            <w:hideMark/>
          </w:tcPr>
          <w:p w14:paraId="549B6EF3" w14:textId="77777777" w:rsidR="00BF5974" w:rsidRDefault="00BF5974">
            <w:pPr>
              <w:spacing w:line="256" w:lineRule="auto"/>
              <w:jc w:val="right"/>
              <w:rPr>
                <w:rFonts w:eastAsia="Times New Roman" w:cs="Arial"/>
                <w:sz w:val="12"/>
                <w:szCs w:val="12"/>
                <w:lang w:val="es-ES" w:eastAsia="en-US"/>
              </w:rPr>
            </w:pPr>
            <w:r>
              <w:rPr>
                <w:rFonts w:cs="Arial"/>
                <w:sz w:val="12"/>
                <w:szCs w:val="12"/>
                <w:lang w:val="es-ES" w:eastAsia="en-US"/>
              </w:rPr>
              <w:t xml:space="preserve">721,121,669 </w:t>
            </w:r>
          </w:p>
        </w:tc>
        <w:tc>
          <w:tcPr>
            <w:tcW w:w="992" w:type="dxa"/>
            <w:tcBorders>
              <w:top w:val="nil"/>
              <w:left w:val="nil"/>
              <w:bottom w:val="single" w:sz="4" w:space="0" w:color="auto"/>
              <w:right w:val="single" w:sz="4" w:space="0" w:color="auto"/>
            </w:tcBorders>
            <w:noWrap/>
            <w:vAlign w:val="center"/>
            <w:hideMark/>
          </w:tcPr>
          <w:p w14:paraId="69FC3279" w14:textId="77777777" w:rsidR="00BF5974" w:rsidRDefault="00BF5974">
            <w:pPr>
              <w:spacing w:line="256" w:lineRule="auto"/>
              <w:jc w:val="right"/>
              <w:rPr>
                <w:rFonts w:eastAsia="Times New Roman" w:cs="Arial"/>
                <w:sz w:val="12"/>
                <w:szCs w:val="12"/>
                <w:lang w:val="es-ES" w:eastAsia="en-US"/>
              </w:rPr>
            </w:pPr>
            <w:r>
              <w:rPr>
                <w:rFonts w:cs="Arial"/>
                <w:sz w:val="12"/>
                <w:szCs w:val="12"/>
                <w:lang w:val="es-ES" w:eastAsia="en-US"/>
              </w:rPr>
              <w:t xml:space="preserve">718,820,930 </w:t>
            </w:r>
          </w:p>
        </w:tc>
        <w:tc>
          <w:tcPr>
            <w:tcW w:w="709" w:type="dxa"/>
            <w:tcBorders>
              <w:top w:val="nil"/>
              <w:left w:val="nil"/>
              <w:bottom w:val="single" w:sz="4" w:space="0" w:color="auto"/>
              <w:right w:val="single" w:sz="4" w:space="0" w:color="auto"/>
            </w:tcBorders>
            <w:noWrap/>
            <w:vAlign w:val="center"/>
            <w:hideMark/>
          </w:tcPr>
          <w:p w14:paraId="0B292FC4" w14:textId="77777777" w:rsidR="00BF5974" w:rsidRDefault="00BF5974">
            <w:pPr>
              <w:spacing w:line="256" w:lineRule="auto"/>
              <w:jc w:val="center"/>
              <w:rPr>
                <w:rFonts w:eastAsia="Times New Roman" w:cs="Arial"/>
                <w:sz w:val="12"/>
                <w:szCs w:val="12"/>
                <w:highlight w:val="yellow"/>
                <w:lang w:val="es-ES" w:eastAsia="en-US"/>
              </w:rPr>
            </w:pPr>
            <w:r>
              <w:rPr>
                <w:rFonts w:cs="Arial"/>
                <w:sz w:val="12"/>
                <w:szCs w:val="12"/>
                <w:lang w:val="es-ES" w:eastAsia="en-US"/>
              </w:rPr>
              <w:t>89180391</w:t>
            </w:r>
          </w:p>
        </w:tc>
        <w:tc>
          <w:tcPr>
            <w:tcW w:w="850" w:type="dxa"/>
            <w:tcBorders>
              <w:top w:val="nil"/>
              <w:left w:val="nil"/>
              <w:bottom w:val="single" w:sz="4" w:space="0" w:color="auto"/>
              <w:right w:val="single" w:sz="4" w:space="0" w:color="auto"/>
            </w:tcBorders>
            <w:noWrap/>
            <w:vAlign w:val="center"/>
            <w:hideMark/>
          </w:tcPr>
          <w:p w14:paraId="461A2395"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TIIE+ 0.57%</w:t>
            </w:r>
          </w:p>
        </w:tc>
        <w:tc>
          <w:tcPr>
            <w:tcW w:w="709" w:type="dxa"/>
            <w:tcBorders>
              <w:top w:val="nil"/>
              <w:left w:val="nil"/>
              <w:bottom w:val="single" w:sz="4" w:space="0" w:color="auto"/>
              <w:right w:val="single" w:sz="4" w:space="0" w:color="auto"/>
            </w:tcBorders>
            <w:noWrap/>
            <w:vAlign w:val="center"/>
            <w:hideMark/>
          </w:tcPr>
          <w:p w14:paraId="73D3D980"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10.44%</w:t>
            </w:r>
          </w:p>
        </w:tc>
        <w:tc>
          <w:tcPr>
            <w:tcW w:w="709" w:type="dxa"/>
            <w:tcBorders>
              <w:top w:val="nil"/>
              <w:left w:val="nil"/>
              <w:bottom w:val="single" w:sz="4" w:space="0" w:color="auto"/>
              <w:right w:val="single" w:sz="4" w:space="0" w:color="auto"/>
            </w:tcBorders>
            <w:noWrap/>
            <w:vAlign w:val="center"/>
            <w:hideMark/>
          </w:tcPr>
          <w:p w14:paraId="214C038E"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nov-23</w:t>
            </w:r>
          </w:p>
        </w:tc>
        <w:tc>
          <w:tcPr>
            <w:tcW w:w="764" w:type="dxa"/>
            <w:tcBorders>
              <w:top w:val="nil"/>
              <w:left w:val="nil"/>
              <w:bottom w:val="single" w:sz="4" w:space="0" w:color="auto"/>
              <w:right w:val="single" w:sz="4" w:space="0" w:color="auto"/>
            </w:tcBorders>
            <w:noWrap/>
            <w:vAlign w:val="center"/>
            <w:hideMark/>
          </w:tcPr>
          <w:p w14:paraId="7C312265"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abr-44</w:t>
            </w:r>
          </w:p>
        </w:tc>
        <w:tc>
          <w:tcPr>
            <w:tcW w:w="1140" w:type="dxa"/>
            <w:tcBorders>
              <w:top w:val="nil"/>
              <w:left w:val="nil"/>
              <w:bottom w:val="single" w:sz="4" w:space="0" w:color="auto"/>
              <w:right w:val="single" w:sz="4" w:space="0" w:color="auto"/>
            </w:tcBorders>
            <w:noWrap/>
            <w:vAlign w:val="center"/>
            <w:hideMark/>
          </w:tcPr>
          <w:p w14:paraId="0401654C"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Participaciones</w:t>
            </w:r>
          </w:p>
        </w:tc>
        <w:tc>
          <w:tcPr>
            <w:tcW w:w="708" w:type="dxa"/>
            <w:tcBorders>
              <w:top w:val="nil"/>
              <w:left w:val="nil"/>
              <w:bottom w:val="single" w:sz="4" w:space="0" w:color="auto"/>
              <w:right w:val="single" w:sz="4" w:space="0" w:color="auto"/>
            </w:tcBorders>
            <w:noWrap/>
            <w:vAlign w:val="center"/>
            <w:hideMark/>
          </w:tcPr>
          <w:p w14:paraId="4497B79A"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Simple</w:t>
            </w:r>
          </w:p>
        </w:tc>
        <w:tc>
          <w:tcPr>
            <w:tcW w:w="858" w:type="dxa"/>
            <w:tcBorders>
              <w:top w:val="nil"/>
              <w:left w:val="nil"/>
              <w:bottom w:val="single" w:sz="4" w:space="0" w:color="auto"/>
              <w:right w:val="single" w:sz="4" w:space="0" w:color="auto"/>
            </w:tcBorders>
            <w:noWrap/>
            <w:vAlign w:val="center"/>
            <w:hideMark/>
          </w:tcPr>
          <w:p w14:paraId="0B6B621F"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Refinanciamiento</w:t>
            </w:r>
          </w:p>
        </w:tc>
      </w:tr>
      <w:tr w:rsidR="00BF5974" w14:paraId="79DE64FD" w14:textId="77777777" w:rsidTr="00BF5974">
        <w:trPr>
          <w:gridAfter w:val="1"/>
          <w:wAfter w:w="7" w:type="dxa"/>
          <w:trHeight w:val="20"/>
          <w:jc w:val="center"/>
        </w:trPr>
        <w:tc>
          <w:tcPr>
            <w:tcW w:w="709" w:type="dxa"/>
            <w:tcBorders>
              <w:top w:val="nil"/>
              <w:left w:val="single" w:sz="4" w:space="0" w:color="auto"/>
              <w:bottom w:val="single" w:sz="4" w:space="0" w:color="auto"/>
              <w:right w:val="single" w:sz="4" w:space="0" w:color="auto"/>
            </w:tcBorders>
            <w:noWrap/>
            <w:vAlign w:val="center"/>
            <w:hideMark/>
          </w:tcPr>
          <w:p w14:paraId="5E02676B" w14:textId="77777777" w:rsidR="00BF5974" w:rsidRDefault="00BF5974">
            <w:pPr>
              <w:spacing w:line="256" w:lineRule="auto"/>
              <w:jc w:val="left"/>
              <w:rPr>
                <w:rFonts w:eastAsia="Times New Roman" w:cs="Arial"/>
                <w:b/>
                <w:bCs/>
                <w:sz w:val="12"/>
                <w:szCs w:val="12"/>
                <w:lang w:val="es-ES" w:eastAsia="en-US"/>
              </w:rPr>
            </w:pPr>
            <w:r>
              <w:rPr>
                <w:rFonts w:cs="Arial"/>
                <w:sz w:val="12"/>
                <w:szCs w:val="12"/>
                <w:lang w:val="es-ES" w:eastAsia="en-US"/>
              </w:rPr>
              <w:t>BBVA</w:t>
            </w:r>
          </w:p>
        </w:tc>
        <w:tc>
          <w:tcPr>
            <w:tcW w:w="1005" w:type="dxa"/>
            <w:tcBorders>
              <w:top w:val="nil"/>
              <w:left w:val="nil"/>
              <w:bottom w:val="single" w:sz="4" w:space="0" w:color="auto"/>
              <w:right w:val="single" w:sz="4" w:space="0" w:color="auto"/>
            </w:tcBorders>
            <w:noWrap/>
            <w:vAlign w:val="center"/>
            <w:hideMark/>
          </w:tcPr>
          <w:p w14:paraId="1D466D7B" w14:textId="77777777" w:rsidR="00BF5974" w:rsidRDefault="00BF5974">
            <w:pPr>
              <w:spacing w:line="256" w:lineRule="auto"/>
              <w:jc w:val="right"/>
              <w:rPr>
                <w:rFonts w:eastAsia="Times New Roman" w:cs="Arial"/>
                <w:sz w:val="12"/>
                <w:szCs w:val="12"/>
                <w:lang w:val="es-ES" w:eastAsia="en-US"/>
              </w:rPr>
            </w:pPr>
            <w:r>
              <w:rPr>
                <w:rFonts w:cs="Arial"/>
                <w:sz w:val="12"/>
                <w:szCs w:val="12"/>
                <w:lang w:val="es-ES" w:eastAsia="en-US"/>
              </w:rPr>
              <w:t xml:space="preserve">390,352,695 </w:t>
            </w:r>
          </w:p>
        </w:tc>
        <w:tc>
          <w:tcPr>
            <w:tcW w:w="980" w:type="dxa"/>
            <w:tcBorders>
              <w:top w:val="nil"/>
              <w:left w:val="nil"/>
              <w:bottom w:val="single" w:sz="4" w:space="0" w:color="auto"/>
              <w:right w:val="single" w:sz="4" w:space="0" w:color="auto"/>
            </w:tcBorders>
            <w:noWrap/>
            <w:vAlign w:val="center"/>
            <w:hideMark/>
          </w:tcPr>
          <w:p w14:paraId="31E2D9F5" w14:textId="77777777" w:rsidR="00BF5974" w:rsidRDefault="00BF5974">
            <w:pPr>
              <w:spacing w:line="256" w:lineRule="auto"/>
              <w:jc w:val="right"/>
              <w:rPr>
                <w:rFonts w:eastAsia="Times New Roman" w:cs="Arial"/>
                <w:sz w:val="12"/>
                <w:szCs w:val="12"/>
                <w:lang w:val="es-ES" w:eastAsia="en-US"/>
              </w:rPr>
            </w:pPr>
            <w:r>
              <w:rPr>
                <w:rFonts w:cs="Arial"/>
                <w:sz w:val="12"/>
                <w:szCs w:val="12"/>
                <w:lang w:val="es-ES" w:eastAsia="en-US"/>
              </w:rPr>
              <w:t xml:space="preserve">376,095,018 </w:t>
            </w:r>
          </w:p>
        </w:tc>
        <w:tc>
          <w:tcPr>
            <w:tcW w:w="992" w:type="dxa"/>
            <w:tcBorders>
              <w:top w:val="nil"/>
              <w:left w:val="nil"/>
              <w:bottom w:val="single" w:sz="4" w:space="0" w:color="auto"/>
              <w:right w:val="single" w:sz="4" w:space="0" w:color="auto"/>
            </w:tcBorders>
            <w:noWrap/>
            <w:vAlign w:val="center"/>
            <w:hideMark/>
          </w:tcPr>
          <w:p w14:paraId="66D05069" w14:textId="77777777" w:rsidR="00BF5974" w:rsidRDefault="00BF5974">
            <w:pPr>
              <w:spacing w:line="256" w:lineRule="auto"/>
              <w:jc w:val="right"/>
              <w:rPr>
                <w:rFonts w:eastAsia="Times New Roman" w:cs="Arial"/>
                <w:sz w:val="12"/>
                <w:szCs w:val="12"/>
                <w:lang w:val="es-ES" w:eastAsia="en-US"/>
              </w:rPr>
            </w:pPr>
            <w:r>
              <w:rPr>
                <w:rFonts w:cs="Arial"/>
                <w:sz w:val="12"/>
                <w:szCs w:val="12"/>
                <w:lang w:val="es-ES" w:eastAsia="en-US"/>
              </w:rPr>
              <w:t xml:space="preserve">374,895,087 </w:t>
            </w:r>
          </w:p>
        </w:tc>
        <w:tc>
          <w:tcPr>
            <w:tcW w:w="709" w:type="dxa"/>
            <w:tcBorders>
              <w:top w:val="nil"/>
              <w:left w:val="nil"/>
              <w:bottom w:val="single" w:sz="4" w:space="0" w:color="auto"/>
              <w:right w:val="single" w:sz="4" w:space="0" w:color="auto"/>
            </w:tcBorders>
            <w:noWrap/>
            <w:vAlign w:val="center"/>
            <w:hideMark/>
          </w:tcPr>
          <w:p w14:paraId="60A9C620" w14:textId="77777777" w:rsidR="00BF5974" w:rsidRDefault="00BF5974">
            <w:pPr>
              <w:spacing w:line="256" w:lineRule="auto"/>
              <w:jc w:val="center"/>
              <w:rPr>
                <w:rFonts w:eastAsia="Times New Roman" w:cs="Arial"/>
                <w:sz w:val="12"/>
                <w:szCs w:val="12"/>
                <w:highlight w:val="yellow"/>
                <w:lang w:val="es-ES" w:eastAsia="en-US"/>
              </w:rPr>
            </w:pPr>
            <w:r>
              <w:rPr>
                <w:rFonts w:cs="Arial"/>
                <w:sz w:val="12"/>
                <w:szCs w:val="12"/>
                <w:lang w:val="es-ES" w:eastAsia="en-US"/>
              </w:rPr>
              <w:t>9668594671</w:t>
            </w:r>
          </w:p>
        </w:tc>
        <w:tc>
          <w:tcPr>
            <w:tcW w:w="850" w:type="dxa"/>
            <w:tcBorders>
              <w:top w:val="nil"/>
              <w:left w:val="nil"/>
              <w:bottom w:val="single" w:sz="4" w:space="0" w:color="auto"/>
              <w:right w:val="single" w:sz="4" w:space="0" w:color="auto"/>
            </w:tcBorders>
            <w:noWrap/>
            <w:vAlign w:val="center"/>
            <w:hideMark/>
          </w:tcPr>
          <w:p w14:paraId="6C22AEBC"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TIIE+ 0.78%</w:t>
            </w:r>
          </w:p>
        </w:tc>
        <w:tc>
          <w:tcPr>
            <w:tcW w:w="709" w:type="dxa"/>
            <w:tcBorders>
              <w:top w:val="nil"/>
              <w:left w:val="nil"/>
              <w:bottom w:val="single" w:sz="4" w:space="0" w:color="auto"/>
              <w:right w:val="single" w:sz="4" w:space="0" w:color="auto"/>
            </w:tcBorders>
            <w:noWrap/>
            <w:vAlign w:val="center"/>
            <w:hideMark/>
          </w:tcPr>
          <w:p w14:paraId="09965ED5"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10.66%</w:t>
            </w:r>
          </w:p>
        </w:tc>
        <w:tc>
          <w:tcPr>
            <w:tcW w:w="709" w:type="dxa"/>
            <w:tcBorders>
              <w:top w:val="nil"/>
              <w:left w:val="nil"/>
              <w:bottom w:val="single" w:sz="4" w:space="0" w:color="auto"/>
              <w:right w:val="single" w:sz="4" w:space="0" w:color="auto"/>
            </w:tcBorders>
            <w:noWrap/>
            <w:vAlign w:val="center"/>
            <w:hideMark/>
          </w:tcPr>
          <w:p w14:paraId="68C0C0A8"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nov-23</w:t>
            </w:r>
          </w:p>
        </w:tc>
        <w:tc>
          <w:tcPr>
            <w:tcW w:w="764" w:type="dxa"/>
            <w:tcBorders>
              <w:top w:val="nil"/>
              <w:left w:val="nil"/>
              <w:bottom w:val="single" w:sz="4" w:space="0" w:color="auto"/>
              <w:right w:val="single" w:sz="4" w:space="0" w:color="auto"/>
            </w:tcBorders>
            <w:noWrap/>
            <w:vAlign w:val="center"/>
            <w:hideMark/>
          </w:tcPr>
          <w:p w14:paraId="45ABDE79"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abr-44</w:t>
            </w:r>
          </w:p>
        </w:tc>
        <w:tc>
          <w:tcPr>
            <w:tcW w:w="1140" w:type="dxa"/>
            <w:tcBorders>
              <w:top w:val="nil"/>
              <w:left w:val="nil"/>
              <w:bottom w:val="single" w:sz="4" w:space="0" w:color="auto"/>
              <w:right w:val="single" w:sz="4" w:space="0" w:color="auto"/>
            </w:tcBorders>
            <w:noWrap/>
            <w:vAlign w:val="center"/>
            <w:hideMark/>
          </w:tcPr>
          <w:p w14:paraId="6D82A1F2"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Participaciones</w:t>
            </w:r>
          </w:p>
        </w:tc>
        <w:tc>
          <w:tcPr>
            <w:tcW w:w="708" w:type="dxa"/>
            <w:tcBorders>
              <w:top w:val="nil"/>
              <w:left w:val="nil"/>
              <w:bottom w:val="single" w:sz="4" w:space="0" w:color="auto"/>
              <w:right w:val="single" w:sz="4" w:space="0" w:color="auto"/>
            </w:tcBorders>
            <w:noWrap/>
            <w:vAlign w:val="center"/>
            <w:hideMark/>
          </w:tcPr>
          <w:p w14:paraId="478BA086"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Simple</w:t>
            </w:r>
          </w:p>
        </w:tc>
        <w:tc>
          <w:tcPr>
            <w:tcW w:w="858" w:type="dxa"/>
            <w:tcBorders>
              <w:top w:val="nil"/>
              <w:left w:val="nil"/>
              <w:bottom w:val="single" w:sz="4" w:space="0" w:color="auto"/>
              <w:right w:val="single" w:sz="4" w:space="0" w:color="auto"/>
            </w:tcBorders>
            <w:noWrap/>
            <w:vAlign w:val="center"/>
            <w:hideMark/>
          </w:tcPr>
          <w:p w14:paraId="529A05D4"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Refinanciamiento</w:t>
            </w:r>
          </w:p>
        </w:tc>
      </w:tr>
      <w:tr w:rsidR="00BF5974" w14:paraId="22BC5F3A" w14:textId="77777777" w:rsidTr="00BF5974">
        <w:trPr>
          <w:gridAfter w:val="1"/>
          <w:wAfter w:w="7" w:type="dxa"/>
          <w:trHeight w:val="20"/>
          <w:jc w:val="center"/>
        </w:trPr>
        <w:tc>
          <w:tcPr>
            <w:tcW w:w="709" w:type="dxa"/>
            <w:tcBorders>
              <w:top w:val="nil"/>
              <w:left w:val="single" w:sz="4" w:space="0" w:color="auto"/>
              <w:bottom w:val="single" w:sz="4" w:space="0" w:color="auto"/>
              <w:right w:val="single" w:sz="4" w:space="0" w:color="auto"/>
            </w:tcBorders>
            <w:noWrap/>
            <w:vAlign w:val="center"/>
            <w:hideMark/>
          </w:tcPr>
          <w:p w14:paraId="63D528FB" w14:textId="77777777" w:rsidR="00BF5974" w:rsidRDefault="00BF5974">
            <w:pPr>
              <w:spacing w:line="256" w:lineRule="auto"/>
              <w:jc w:val="left"/>
              <w:rPr>
                <w:rFonts w:eastAsia="Times New Roman" w:cs="Arial"/>
                <w:b/>
                <w:bCs/>
                <w:sz w:val="12"/>
                <w:szCs w:val="12"/>
                <w:lang w:val="es-ES" w:eastAsia="en-US"/>
              </w:rPr>
            </w:pPr>
            <w:r>
              <w:rPr>
                <w:rFonts w:cs="Arial"/>
                <w:sz w:val="12"/>
                <w:szCs w:val="12"/>
                <w:lang w:val="es-ES" w:eastAsia="en-US"/>
              </w:rPr>
              <w:t>Santander</w:t>
            </w:r>
          </w:p>
        </w:tc>
        <w:tc>
          <w:tcPr>
            <w:tcW w:w="1005" w:type="dxa"/>
            <w:tcBorders>
              <w:top w:val="nil"/>
              <w:left w:val="nil"/>
              <w:bottom w:val="single" w:sz="4" w:space="0" w:color="auto"/>
              <w:right w:val="single" w:sz="4" w:space="0" w:color="auto"/>
            </w:tcBorders>
            <w:noWrap/>
            <w:vAlign w:val="center"/>
            <w:hideMark/>
          </w:tcPr>
          <w:p w14:paraId="039214C1" w14:textId="77777777" w:rsidR="00BF5974" w:rsidRDefault="00BF5974">
            <w:pPr>
              <w:spacing w:line="256" w:lineRule="auto"/>
              <w:jc w:val="right"/>
              <w:rPr>
                <w:rFonts w:eastAsia="Times New Roman" w:cs="Arial"/>
                <w:sz w:val="12"/>
                <w:szCs w:val="12"/>
                <w:lang w:val="es-ES" w:eastAsia="en-US"/>
              </w:rPr>
            </w:pPr>
            <w:r>
              <w:rPr>
                <w:rFonts w:cs="Arial"/>
                <w:sz w:val="12"/>
                <w:szCs w:val="12"/>
                <w:lang w:val="es-ES" w:eastAsia="en-US"/>
              </w:rPr>
              <w:t xml:space="preserve">750,000,000 </w:t>
            </w:r>
          </w:p>
        </w:tc>
        <w:tc>
          <w:tcPr>
            <w:tcW w:w="980" w:type="dxa"/>
            <w:tcBorders>
              <w:top w:val="nil"/>
              <w:left w:val="nil"/>
              <w:bottom w:val="single" w:sz="4" w:space="0" w:color="auto"/>
              <w:right w:val="single" w:sz="4" w:space="0" w:color="auto"/>
            </w:tcBorders>
            <w:noWrap/>
            <w:vAlign w:val="center"/>
            <w:hideMark/>
          </w:tcPr>
          <w:p w14:paraId="1632F55A" w14:textId="77777777" w:rsidR="00BF5974" w:rsidRDefault="00BF5974">
            <w:pPr>
              <w:spacing w:line="256" w:lineRule="auto"/>
              <w:jc w:val="right"/>
              <w:rPr>
                <w:rFonts w:eastAsia="Times New Roman" w:cs="Arial"/>
                <w:sz w:val="12"/>
                <w:szCs w:val="12"/>
                <w:lang w:val="es-ES" w:eastAsia="en-US"/>
              </w:rPr>
            </w:pPr>
            <w:r>
              <w:rPr>
                <w:rFonts w:cs="Arial"/>
                <w:sz w:val="12"/>
                <w:szCs w:val="12"/>
                <w:lang w:val="es-ES" w:eastAsia="en-US"/>
              </w:rPr>
              <w:t xml:space="preserve">738,145,875 </w:t>
            </w:r>
          </w:p>
        </w:tc>
        <w:tc>
          <w:tcPr>
            <w:tcW w:w="992" w:type="dxa"/>
            <w:tcBorders>
              <w:top w:val="nil"/>
              <w:left w:val="nil"/>
              <w:bottom w:val="single" w:sz="4" w:space="0" w:color="auto"/>
              <w:right w:val="single" w:sz="4" w:space="0" w:color="auto"/>
            </w:tcBorders>
            <w:noWrap/>
            <w:vAlign w:val="center"/>
            <w:hideMark/>
          </w:tcPr>
          <w:p w14:paraId="3BFB2AE1" w14:textId="77777777" w:rsidR="00BF5974" w:rsidRDefault="00BF5974">
            <w:pPr>
              <w:spacing w:line="256" w:lineRule="auto"/>
              <w:jc w:val="right"/>
              <w:rPr>
                <w:rFonts w:eastAsia="Times New Roman" w:cs="Arial"/>
                <w:sz w:val="12"/>
                <w:szCs w:val="12"/>
                <w:lang w:val="es-ES" w:eastAsia="en-US"/>
              </w:rPr>
            </w:pPr>
            <w:r>
              <w:rPr>
                <w:rFonts w:cs="Arial"/>
                <w:sz w:val="12"/>
                <w:szCs w:val="12"/>
                <w:lang w:val="es-ES" w:eastAsia="en-US"/>
              </w:rPr>
              <w:t xml:space="preserve">735,790,821 </w:t>
            </w:r>
          </w:p>
        </w:tc>
        <w:tc>
          <w:tcPr>
            <w:tcW w:w="709" w:type="dxa"/>
            <w:tcBorders>
              <w:top w:val="nil"/>
              <w:left w:val="nil"/>
              <w:bottom w:val="single" w:sz="4" w:space="0" w:color="auto"/>
              <w:right w:val="single" w:sz="4" w:space="0" w:color="auto"/>
            </w:tcBorders>
            <w:noWrap/>
            <w:vAlign w:val="center"/>
            <w:hideMark/>
          </w:tcPr>
          <w:p w14:paraId="2DA8C185"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5015288868</w:t>
            </w:r>
          </w:p>
        </w:tc>
        <w:tc>
          <w:tcPr>
            <w:tcW w:w="850" w:type="dxa"/>
            <w:tcBorders>
              <w:top w:val="nil"/>
              <w:left w:val="nil"/>
              <w:bottom w:val="single" w:sz="4" w:space="0" w:color="auto"/>
              <w:right w:val="single" w:sz="4" w:space="0" w:color="auto"/>
            </w:tcBorders>
            <w:noWrap/>
            <w:vAlign w:val="center"/>
            <w:hideMark/>
          </w:tcPr>
          <w:p w14:paraId="3E14E59B"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TIIE+ 0.65%</w:t>
            </w:r>
          </w:p>
        </w:tc>
        <w:tc>
          <w:tcPr>
            <w:tcW w:w="709" w:type="dxa"/>
            <w:tcBorders>
              <w:top w:val="nil"/>
              <w:left w:val="nil"/>
              <w:bottom w:val="single" w:sz="4" w:space="0" w:color="auto"/>
              <w:right w:val="single" w:sz="4" w:space="0" w:color="auto"/>
            </w:tcBorders>
            <w:noWrap/>
            <w:vAlign w:val="center"/>
            <w:hideMark/>
          </w:tcPr>
          <w:p w14:paraId="42B9406D"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10.52%</w:t>
            </w:r>
          </w:p>
        </w:tc>
        <w:tc>
          <w:tcPr>
            <w:tcW w:w="709" w:type="dxa"/>
            <w:tcBorders>
              <w:top w:val="nil"/>
              <w:left w:val="nil"/>
              <w:bottom w:val="single" w:sz="4" w:space="0" w:color="auto"/>
              <w:right w:val="single" w:sz="4" w:space="0" w:color="auto"/>
            </w:tcBorders>
            <w:noWrap/>
            <w:vAlign w:val="center"/>
            <w:hideMark/>
          </w:tcPr>
          <w:p w14:paraId="57E97C9F"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nov-23</w:t>
            </w:r>
          </w:p>
        </w:tc>
        <w:tc>
          <w:tcPr>
            <w:tcW w:w="764" w:type="dxa"/>
            <w:tcBorders>
              <w:top w:val="nil"/>
              <w:left w:val="nil"/>
              <w:bottom w:val="single" w:sz="4" w:space="0" w:color="auto"/>
              <w:right w:val="single" w:sz="4" w:space="0" w:color="auto"/>
            </w:tcBorders>
            <w:noWrap/>
            <w:vAlign w:val="center"/>
            <w:hideMark/>
          </w:tcPr>
          <w:p w14:paraId="335ED699"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abr-44</w:t>
            </w:r>
          </w:p>
        </w:tc>
        <w:tc>
          <w:tcPr>
            <w:tcW w:w="1140" w:type="dxa"/>
            <w:tcBorders>
              <w:top w:val="nil"/>
              <w:left w:val="nil"/>
              <w:bottom w:val="single" w:sz="4" w:space="0" w:color="auto"/>
              <w:right w:val="single" w:sz="4" w:space="0" w:color="auto"/>
            </w:tcBorders>
            <w:noWrap/>
            <w:vAlign w:val="center"/>
            <w:hideMark/>
          </w:tcPr>
          <w:p w14:paraId="585B8891"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Participaciones</w:t>
            </w:r>
          </w:p>
        </w:tc>
        <w:tc>
          <w:tcPr>
            <w:tcW w:w="708" w:type="dxa"/>
            <w:tcBorders>
              <w:top w:val="nil"/>
              <w:left w:val="nil"/>
              <w:bottom w:val="single" w:sz="4" w:space="0" w:color="auto"/>
              <w:right w:val="single" w:sz="4" w:space="0" w:color="auto"/>
            </w:tcBorders>
            <w:noWrap/>
            <w:vAlign w:val="center"/>
            <w:hideMark/>
          </w:tcPr>
          <w:p w14:paraId="4A930C79"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Simple</w:t>
            </w:r>
          </w:p>
        </w:tc>
        <w:tc>
          <w:tcPr>
            <w:tcW w:w="858" w:type="dxa"/>
            <w:tcBorders>
              <w:top w:val="nil"/>
              <w:left w:val="nil"/>
              <w:bottom w:val="single" w:sz="4" w:space="0" w:color="auto"/>
              <w:right w:val="single" w:sz="4" w:space="0" w:color="auto"/>
            </w:tcBorders>
            <w:noWrap/>
            <w:vAlign w:val="center"/>
            <w:hideMark/>
          </w:tcPr>
          <w:p w14:paraId="06526A15"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Refinanciamiento</w:t>
            </w:r>
          </w:p>
        </w:tc>
      </w:tr>
      <w:tr w:rsidR="00BF5974" w14:paraId="64BA2660" w14:textId="77777777" w:rsidTr="00BF5974">
        <w:trPr>
          <w:trHeight w:val="29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F9E055E" w14:textId="77777777" w:rsidR="00BF5974" w:rsidRDefault="00BF5974">
            <w:pPr>
              <w:spacing w:line="256" w:lineRule="auto"/>
              <w:jc w:val="left"/>
              <w:rPr>
                <w:rFonts w:eastAsia="Times New Roman" w:cs="Arial"/>
                <w:b/>
                <w:bCs/>
                <w:sz w:val="12"/>
                <w:szCs w:val="12"/>
                <w:lang w:val="es-ES" w:eastAsia="en-US"/>
              </w:rPr>
            </w:pPr>
            <w:r>
              <w:rPr>
                <w:rFonts w:eastAsia="Times New Roman" w:cs="Arial"/>
                <w:b/>
                <w:bCs/>
                <w:sz w:val="12"/>
                <w:szCs w:val="12"/>
                <w:lang w:val="es-ES" w:eastAsia="en-US"/>
              </w:rPr>
              <w:t>Total</w:t>
            </w:r>
          </w:p>
        </w:tc>
        <w:tc>
          <w:tcPr>
            <w:tcW w:w="1005" w:type="dxa"/>
            <w:tcBorders>
              <w:top w:val="single" w:sz="4" w:space="0" w:color="auto"/>
              <w:left w:val="nil"/>
              <w:bottom w:val="single" w:sz="4" w:space="0" w:color="auto"/>
              <w:right w:val="single" w:sz="4" w:space="0" w:color="auto"/>
            </w:tcBorders>
            <w:vAlign w:val="center"/>
            <w:hideMark/>
          </w:tcPr>
          <w:p w14:paraId="5C40C40F" w14:textId="77777777" w:rsidR="00BF5974" w:rsidRDefault="00BF5974">
            <w:pPr>
              <w:spacing w:line="256" w:lineRule="auto"/>
              <w:jc w:val="right"/>
              <w:rPr>
                <w:rFonts w:eastAsia="Times New Roman" w:cs="Arial"/>
                <w:b/>
                <w:bCs/>
                <w:sz w:val="12"/>
                <w:szCs w:val="12"/>
                <w:lang w:val="es-ES" w:eastAsia="en-US"/>
              </w:rPr>
            </w:pPr>
            <w:r>
              <w:rPr>
                <w:rFonts w:cs="Arial"/>
                <w:b/>
                <w:bCs/>
                <w:sz w:val="12"/>
                <w:szCs w:val="12"/>
                <w:lang w:val="es-ES" w:eastAsia="en-US"/>
              </w:rPr>
              <w:t xml:space="preserve">3,867,365,195 </w:t>
            </w:r>
          </w:p>
        </w:tc>
        <w:tc>
          <w:tcPr>
            <w:tcW w:w="980" w:type="dxa"/>
            <w:tcBorders>
              <w:top w:val="single" w:sz="4" w:space="0" w:color="auto"/>
              <w:left w:val="nil"/>
              <w:bottom w:val="single" w:sz="4" w:space="0" w:color="auto"/>
              <w:right w:val="single" w:sz="4" w:space="0" w:color="auto"/>
            </w:tcBorders>
            <w:vAlign w:val="center"/>
            <w:hideMark/>
          </w:tcPr>
          <w:p w14:paraId="3BAE5648" w14:textId="77777777" w:rsidR="00BF5974" w:rsidRDefault="00BF5974">
            <w:pPr>
              <w:spacing w:line="256" w:lineRule="auto"/>
              <w:jc w:val="right"/>
              <w:rPr>
                <w:rFonts w:eastAsia="Times New Roman" w:cs="Arial"/>
                <w:b/>
                <w:bCs/>
                <w:sz w:val="12"/>
                <w:szCs w:val="12"/>
                <w:lang w:val="es-ES" w:eastAsia="en-US"/>
              </w:rPr>
            </w:pPr>
            <w:r>
              <w:rPr>
                <w:rFonts w:cs="Arial"/>
                <w:b/>
                <w:bCs/>
                <w:sz w:val="12"/>
                <w:szCs w:val="12"/>
                <w:lang w:val="es-ES" w:eastAsia="en-US"/>
              </w:rPr>
              <w:t xml:space="preserve">3,766,169,554 </w:t>
            </w:r>
          </w:p>
        </w:tc>
        <w:tc>
          <w:tcPr>
            <w:tcW w:w="992" w:type="dxa"/>
            <w:tcBorders>
              <w:top w:val="single" w:sz="4" w:space="0" w:color="auto"/>
              <w:left w:val="nil"/>
              <w:bottom w:val="single" w:sz="4" w:space="0" w:color="auto"/>
              <w:right w:val="single" w:sz="4" w:space="0" w:color="auto"/>
            </w:tcBorders>
            <w:vAlign w:val="center"/>
            <w:hideMark/>
          </w:tcPr>
          <w:p w14:paraId="2A30D20A" w14:textId="77777777" w:rsidR="00BF5974" w:rsidRDefault="00BF5974">
            <w:pPr>
              <w:spacing w:line="256" w:lineRule="auto"/>
              <w:jc w:val="right"/>
              <w:rPr>
                <w:rFonts w:eastAsia="Times New Roman" w:cs="Arial"/>
                <w:b/>
                <w:bCs/>
                <w:sz w:val="12"/>
                <w:szCs w:val="12"/>
                <w:lang w:val="es-ES" w:eastAsia="en-US"/>
              </w:rPr>
            </w:pPr>
            <w:r>
              <w:rPr>
                <w:rFonts w:cs="Arial"/>
                <w:b/>
                <w:bCs/>
                <w:sz w:val="12"/>
                <w:szCs w:val="12"/>
                <w:lang w:val="es-ES" w:eastAsia="en-US"/>
              </w:rPr>
              <w:t xml:space="preserve">3,492,601,723 </w:t>
            </w:r>
          </w:p>
        </w:tc>
        <w:tc>
          <w:tcPr>
            <w:tcW w:w="6454" w:type="dxa"/>
            <w:gridSpan w:val="9"/>
            <w:tcBorders>
              <w:top w:val="single" w:sz="4" w:space="0" w:color="auto"/>
              <w:left w:val="nil"/>
              <w:bottom w:val="single" w:sz="4" w:space="0" w:color="auto"/>
              <w:right w:val="single" w:sz="4" w:space="0" w:color="auto"/>
            </w:tcBorders>
            <w:vAlign w:val="center"/>
            <w:hideMark/>
          </w:tcPr>
          <w:p w14:paraId="2DF680DB"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 </w:t>
            </w:r>
          </w:p>
        </w:tc>
      </w:tr>
    </w:tbl>
    <w:p w14:paraId="545F2264" w14:textId="43A7D544" w:rsidR="00BF5974" w:rsidRDefault="00BF5974" w:rsidP="00BF5974">
      <w:pPr>
        <w:rPr>
          <w:rFonts w:eastAsia="Times New Roman" w:cs="Arial"/>
          <w:lang w:val="es-ES" w:eastAsia="es-ES"/>
        </w:rPr>
      </w:pPr>
    </w:p>
    <w:p w14:paraId="18AD5FEE" w14:textId="77777777" w:rsidR="00657B7A" w:rsidRDefault="00657B7A" w:rsidP="00BF5974">
      <w:pPr>
        <w:rPr>
          <w:rFonts w:eastAsia="Times New Roman" w:cs="Arial"/>
          <w:lang w:val="es-ES" w:eastAsia="es-ES"/>
        </w:rPr>
      </w:pPr>
    </w:p>
    <w:p w14:paraId="60B73749" w14:textId="77777777" w:rsidR="00BF5974" w:rsidRDefault="00BF5974" w:rsidP="00BF5974">
      <w:pPr>
        <w:ind w:left="567" w:hanging="567"/>
        <w:rPr>
          <w:rFonts w:eastAsia="Times New Roman" w:cs="Arial"/>
          <w:lang w:val="es-ES" w:eastAsia="es-ES"/>
        </w:rPr>
      </w:pPr>
      <w:r>
        <w:rPr>
          <w:rFonts w:eastAsia="Times New Roman" w:cs="Arial"/>
          <w:lang w:val="es-ES" w:eastAsia="es-ES"/>
        </w:rPr>
        <w:t xml:space="preserve">II. </w:t>
      </w:r>
      <w:r>
        <w:rPr>
          <w:rFonts w:eastAsia="Times New Roman" w:cs="Arial"/>
          <w:lang w:val="es-ES" w:eastAsia="es-ES"/>
        </w:rPr>
        <w:tab/>
        <w:t>Para el Ejercicio Fiscal 2025, la previsión de recursos para el pago del servicio de la Deuda Pública Directa es la siguiente:</w:t>
      </w:r>
    </w:p>
    <w:p w14:paraId="6FD0C701" w14:textId="77777777" w:rsidR="00BF5974" w:rsidRDefault="00BF5974" w:rsidP="00BF5974">
      <w:pPr>
        <w:keepNext/>
        <w:keepLines/>
        <w:outlineLvl w:val="2"/>
        <w:rPr>
          <w:rFonts w:eastAsia="Times New Roman" w:cs="Arial"/>
          <w:b/>
          <w:szCs w:val="24"/>
          <w:lang w:val="es-ES" w:eastAsia="en-US"/>
        </w:rPr>
      </w:pPr>
    </w:p>
    <w:tbl>
      <w:tblPr>
        <w:tblW w:w="8081" w:type="dxa"/>
        <w:jc w:val="center"/>
        <w:tblCellMar>
          <w:left w:w="70" w:type="dxa"/>
          <w:right w:w="70" w:type="dxa"/>
        </w:tblCellMar>
        <w:tblLook w:val="04A0" w:firstRow="1" w:lastRow="0" w:firstColumn="1" w:lastColumn="0" w:noHBand="0" w:noVBand="1"/>
      </w:tblPr>
      <w:tblGrid>
        <w:gridCol w:w="2517"/>
        <w:gridCol w:w="1475"/>
        <w:gridCol w:w="1407"/>
        <w:gridCol w:w="1406"/>
        <w:gridCol w:w="1276"/>
      </w:tblGrid>
      <w:tr w:rsidR="00BF5974" w14:paraId="482587B4" w14:textId="77777777" w:rsidTr="00BF5974">
        <w:trPr>
          <w:trHeight w:val="20"/>
          <w:tblHeader/>
          <w:jc w:val="center"/>
        </w:trPr>
        <w:tc>
          <w:tcPr>
            <w:tcW w:w="8081" w:type="dxa"/>
            <w:gridSpan w:val="5"/>
            <w:tcBorders>
              <w:top w:val="nil"/>
              <w:left w:val="nil"/>
              <w:bottom w:val="single" w:sz="4" w:space="0" w:color="auto"/>
              <w:right w:val="nil"/>
            </w:tcBorders>
            <w:noWrap/>
            <w:vAlign w:val="center"/>
            <w:hideMark/>
          </w:tcPr>
          <w:p w14:paraId="376F6940" w14:textId="77777777" w:rsidR="00BF5974" w:rsidRDefault="00BF5974">
            <w:pPr>
              <w:spacing w:line="256" w:lineRule="auto"/>
              <w:jc w:val="center"/>
              <w:rPr>
                <w:rFonts w:eastAsia="Times New Roman" w:cs="Arial"/>
                <w:b/>
                <w:sz w:val="20"/>
                <w:szCs w:val="20"/>
                <w:lang w:val="es-ES" w:eastAsia="en-US"/>
              </w:rPr>
            </w:pPr>
            <w:r>
              <w:rPr>
                <w:rFonts w:eastAsia="Times New Roman" w:cs="Arial"/>
                <w:b/>
                <w:sz w:val="20"/>
                <w:szCs w:val="20"/>
                <w:lang w:val="es-ES" w:eastAsia="en-US"/>
              </w:rPr>
              <w:t>Tabla 38. Presupuesto Deuda Pública Directa</w:t>
            </w:r>
          </w:p>
        </w:tc>
      </w:tr>
      <w:tr w:rsidR="00BF5974" w14:paraId="3FD722B5" w14:textId="77777777" w:rsidTr="00BF5974">
        <w:trPr>
          <w:trHeight w:val="20"/>
          <w:jc w:val="center"/>
        </w:trPr>
        <w:tc>
          <w:tcPr>
            <w:tcW w:w="2517" w:type="dxa"/>
            <w:tcBorders>
              <w:top w:val="single" w:sz="4" w:space="0" w:color="auto"/>
              <w:left w:val="single" w:sz="4" w:space="0" w:color="auto"/>
              <w:bottom w:val="single" w:sz="4" w:space="0" w:color="auto"/>
              <w:right w:val="single" w:sz="4" w:space="0" w:color="auto"/>
            </w:tcBorders>
            <w:noWrap/>
            <w:vAlign w:val="center"/>
            <w:hideMark/>
          </w:tcPr>
          <w:p w14:paraId="62D3DADB" w14:textId="77777777" w:rsidR="00BF5974" w:rsidRDefault="00BF5974">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Institución Bancaria</w:t>
            </w:r>
          </w:p>
        </w:tc>
        <w:tc>
          <w:tcPr>
            <w:tcW w:w="1475" w:type="dxa"/>
            <w:tcBorders>
              <w:top w:val="single" w:sz="4" w:space="0" w:color="auto"/>
              <w:left w:val="nil"/>
              <w:bottom w:val="single" w:sz="4" w:space="0" w:color="auto"/>
              <w:right w:val="single" w:sz="4" w:space="0" w:color="auto"/>
            </w:tcBorders>
            <w:noWrap/>
            <w:vAlign w:val="center"/>
            <w:hideMark/>
          </w:tcPr>
          <w:p w14:paraId="747FF4EC" w14:textId="77777777" w:rsidR="00BF5974" w:rsidRDefault="00BF5974">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Número de Crédito</w:t>
            </w:r>
          </w:p>
        </w:tc>
        <w:tc>
          <w:tcPr>
            <w:tcW w:w="1407" w:type="dxa"/>
            <w:tcBorders>
              <w:top w:val="single" w:sz="4" w:space="0" w:color="auto"/>
              <w:left w:val="nil"/>
              <w:bottom w:val="single" w:sz="4" w:space="0" w:color="auto"/>
              <w:right w:val="single" w:sz="4" w:space="0" w:color="auto"/>
            </w:tcBorders>
            <w:noWrap/>
            <w:vAlign w:val="center"/>
            <w:hideMark/>
          </w:tcPr>
          <w:p w14:paraId="6BE3FB1E" w14:textId="77777777" w:rsidR="00BF5974" w:rsidRDefault="00BF5974">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Amortización de Capital</w:t>
            </w:r>
          </w:p>
        </w:tc>
        <w:tc>
          <w:tcPr>
            <w:tcW w:w="1406" w:type="dxa"/>
            <w:tcBorders>
              <w:top w:val="single" w:sz="4" w:space="0" w:color="auto"/>
              <w:left w:val="nil"/>
              <w:bottom w:val="single" w:sz="4" w:space="0" w:color="auto"/>
              <w:right w:val="single" w:sz="4" w:space="0" w:color="auto"/>
            </w:tcBorders>
            <w:noWrap/>
            <w:vAlign w:val="center"/>
            <w:hideMark/>
          </w:tcPr>
          <w:p w14:paraId="242591A1" w14:textId="77777777" w:rsidR="00BF5974" w:rsidRDefault="00BF5974">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Pago de Intereses</w:t>
            </w:r>
          </w:p>
        </w:tc>
        <w:tc>
          <w:tcPr>
            <w:tcW w:w="1276" w:type="dxa"/>
            <w:tcBorders>
              <w:top w:val="single" w:sz="4" w:space="0" w:color="auto"/>
              <w:left w:val="nil"/>
              <w:bottom w:val="single" w:sz="4" w:space="0" w:color="auto"/>
              <w:right w:val="single" w:sz="4" w:space="0" w:color="auto"/>
            </w:tcBorders>
            <w:noWrap/>
            <w:vAlign w:val="center"/>
            <w:hideMark/>
          </w:tcPr>
          <w:p w14:paraId="50509E56" w14:textId="77777777" w:rsidR="00BF5974" w:rsidRDefault="00BF5974">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Subtotal</w:t>
            </w:r>
          </w:p>
        </w:tc>
      </w:tr>
      <w:tr w:rsidR="00BF5974" w14:paraId="42DD8444" w14:textId="77777777" w:rsidTr="00BF5974">
        <w:trPr>
          <w:trHeight w:val="20"/>
          <w:jc w:val="center"/>
        </w:trPr>
        <w:tc>
          <w:tcPr>
            <w:tcW w:w="2517" w:type="dxa"/>
            <w:tcBorders>
              <w:top w:val="nil"/>
              <w:left w:val="single" w:sz="4" w:space="0" w:color="auto"/>
              <w:bottom w:val="single" w:sz="4" w:space="0" w:color="auto"/>
              <w:right w:val="single" w:sz="4" w:space="0" w:color="auto"/>
            </w:tcBorders>
            <w:noWrap/>
            <w:hideMark/>
          </w:tcPr>
          <w:p w14:paraId="3B5B4EF3" w14:textId="77777777" w:rsidR="00BF5974" w:rsidRDefault="00BF5974">
            <w:pPr>
              <w:spacing w:line="256" w:lineRule="auto"/>
              <w:jc w:val="left"/>
              <w:rPr>
                <w:rFonts w:eastAsia="Times New Roman" w:cs="Arial"/>
                <w:sz w:val="18"/>
                <w:szCs w:val="18"/>
                <w:lang w:val="es-ES" w:eastAsia="en-US"/>
              </w:rPr>
            </w:pPr>
            <w:r>
              <w:rPr>
                <w:rFonts w:cs="Arial"/>
                <w:sz w:val="18"/>
                <w:szCs w:val="18"/>
                <w:lang w:val="es-ES" w:eastAsia="en-US"/>
              </w:rPr>
              <w:t xml:space="preserve">Banobras </w:t>
            </w:r>
          </w:p>
        </w:tc>
        <w:tc>
          <w:tcPr>
            <w:tcW w:w="1475" w:type="dxa"/>
            <w:tcBorders>
              <w:top w:val="nil"/>
              <w:left w:val="nil"/>
              <w:bottom w:val="single" w:sz="4" w:space="0" w:color="auto"/>
              <w:right w:val="single" w:sz="4" w:space="0" w:color="auto"/>
            </w:tcBorders>
            <w:noWrap/>
            <w:hideMark/>
          </w:tcPr>
          <w:p w14:paraId="38F087E9" w14:textId="77777777" w:rsidR="00BF5974" w:rsidRDefault="00BF5974">
            <w:pPr>
              <w:spacing w:line="256" w:lineRule="auto"/>
              <w:jc w:val="center"/>
              <w:rPr>
                <w:rFonts w:eastAsia="Times New Roman" w:cs="Arial"/>
                <w:sz w:val="18"/>
                <w:szCs w:val="18"/>
                <w:lang w:val="es-ES" w:eastAsia="en-US"/>
              </w:rPr>
            </w:pPr>
            <w:r>
              <w:rPr>
                <w:rFonts w:cs="Arial"/>
                <w:sz w:val="18"/>
                <w:szCs w:val="18"/>
                <w:lang w:val="es-ES" w:eastAsia="en-US"/>
              </w:rPr>
              <w:t>7225-7226</w:t>
            </w:r>
          </w:p>
        </w:tc>
        <w:tc>
          <w:tcPr>
            <w:tcW w:w="1407" w:type="dxa"/>
            <w:tcBorders>
              <w:top w:val="nil"/>
              <w:left w:val="nil"/>
              <w:bottom w:val="single" w:sz="4" w:space="0" w:color="auto"/>
              <w:right w:val="single" w:sz="4" w:space="0" w:color="auto"/>
            </w:tcBorders>
            <w:noWrap/>
            <w:vAlign w:val="center"/>
            <w:hideMark/>
          </w:tcPr>
          <w:p w14:paraId="7E9AC1FE"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25,108,313</w:t>
            </w:r>
          </w:p>
        </w:tc>
        <w:tc>
          <w:tcPr>
            <w:tcW w:w="1406" w:type="dxa"/>
            <w:tcBorders>
              <w:top w:val="nil"/>
              <w:left w:val="nil"/>
              <w:bottom w:val="single" w:sz="4" w:space="0" w:color="auto"/>
              <w:right w:val="single" w:sz="4" w:space="0" w:color="auto"/>
            </w:tcBorders>
            <w:noWrap/>
            <w:vAlign w:val="center"/>
            <w:hideMark/>
          </w:tcPr>
          <w:p w14:paraId="12113100"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32,291,452</w:t>
            </w:r>
          </w:p>
        </w:tc>
        <w:tc>
          <w:tcPr>
            <w:tcW w:w="1276" w:type="dxa"/>
            <w:tcBorders>
              <w:top w:val="nil"/>
              <w:left w:val="nil"/>
              <w:bottom w:val="single" w:sz="4" w:space="0" w:color="auto"/>
              <w:right w:val="single" w:sz="4" w:space="0" w:color="auto"/>
            </w:tcBorders>
            <w:noWrap/>
            <w:vAlign w:val="center"/>
            <w:hideMark/>
          </w:tcPr>
          <w:p w14:paraId="38918D11"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57,399,765</w:t>
            </w:r>
          </w:p>
        </w:tc>
      </w:tr>
      <w:tr w:rsidR="00BF5974" w14:paraId="6DD4983C" w14:textId="77777777" w:rsidTr="00BF5974">
        <w:trPr>
          <w:trHeight w:val="20"/>
          <w:jc w:val="center"/>
        </w:trPr>
        <w:tc>
          <w:tcPr>
            <w:tcW w:w="2517" w:type="dxa"/>
            <w:tcBorders>
              <w:top w:val="nil"/>
              <w:left w:val="single" w:sz="4" w:space="0" w:color="auto"/>
              <w:bottom w:val="single" w:sz="4" w:space="0" w:color="auto"/>
              <w:right w:val="single" w:sz="4" w:space="0" w:color="auto"/>
            </w:tcBorders>
            <w:noWrap/>
            <w:hideMark/>
          </w:tcPr>
          <w:p w14:paraId="4727FC4B" w14:textId="77777777" w:rsidR="00BF5974" w:rsidRDefault="00BF5974">
            <w:pPr>
              <w:spacing w:line="256" w:lineRule="auto"/>
              <w:jc w:val="left"/>
              <w:rPr>
                <w:rFonts w:eastAsia="Times New Roman" w:cs="Arial"/>
                <w:sz w:val="18"/>
                <w:szCs w:val="18"/>
                <w:lang w:val="es-ES" w:eastAsia="en-US"/>
              </w:rPr>
            </w:pPr>
            <w:r>
              <w:rPr>
                <w:rFonts w:cs="Arial"/>
                <w:sz w:val="18"/>
                <w:szCs w:val="18"/>
                <w:lang w:val="es-ES" w:eastAsia="en-US"/>
              </w:rPr>
              <w:t xml:space="preserve">Banobras </w:t>
            </w:r>
          </w:p>
        </w:tc>
        <w:tc>
          <w:tcPr>
            <w:tcW w:w="1475" w:type="dxa"/>
            <w:tcBorders>
              <w:top w:val="nil"/>
              <w:left w:val="nil"/>
              <w:bottom w:val="single" w:sz="4" w:space="0" w:color="auto"/>
              <w:right w:val="single" w:sz="4" w:space="0" w:color="auto"/>
            </w:tcBorders>
            <w:noWrap/>
            <w:hideMark/>
          </w:tcPr>
          <w:p w14:paraId="6406B00C" w14:textId="77777777" w:rsidR="00BF5974" w:rsidRDefault="00BF5974">
            <w:pPr>
              <w:spacing w:line="256" w:lineRule="auto"/>
              <w:jc w:val="center"/>
              <w:rPr>
                <w:rFonts w:eastAsia="Times New Roman" w:cs="Arial"/>
                <w:sz w:val="18"/>
                <w:szCs w:val="18"/>
                <w:lang w:val="es-ES" w:eastAsia="en-US"/>
              </w:rPr>
            </w:pPr>
            <w:r>
              <w:rPr>
                <w:rFonts w:cs="Arial"/>
                <w:sz w:val="18"/>
                <w:szCs w:val="18"/>
                <w:lang w:val="es-ES" w:eastAsia="en-US"/>
              </w:rPr>
              <w:t>13451</w:t>
            </w:r>
          </w:p>
        </w:tc>
        <w:tc>
          <w:tcPr>
            <w:tcW w:w="1407" w:type="dxa"/>
            <w:tcBorders>
              <w:top w:val="nil"/>
              <w:left w:val="nil"/>
              <w:bottom w:val="single" w:sz="4" w:space="0" w:color="auto"/>
              <w:right w:val="single" w:sz="4" w:space="0" w:color="auto"/>
            </w:tcBorders>
            <w:noWrap/>
            <w:vAlign w:val="center"/>
            <w:hideMark/>
          </w:tcPr>
          <w:p w14:paraId="6F9C9E4A"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10,660,264</w:t>
            </w:r>
          </w:p>
        </w:tc>
        <w:tc>
          <w:tcPr>
            <w:tcW w:w="1406" w:type="dxa"/>
            <w:tcBorders>
              <w:top w:val="nil"/>
              <w:left w:val="nil"/>
              <w:bottom w:val="single" w:sz="4" w:space="0" w:color="auto"/>
              <w:right w:val="single" w:sz="4" w:space="0" w:color="auto"/>
            </w:tcBorders>
            <w:noWrap/>
            <w:vAlign w:val="center"/>
            <w:hideMark/>
          </w:tcPr>
          <w:p w14:paraId="6671663B"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44,614,625</w:t>
            </w:r>
          </w:p>
        </w:tc>
        <w:tc>
          <w:tcPr>
            <w:tcW w:w="1276" w:type="dxa"/>
            <w:tcBorders>
              <w:top w:val="nil"/>
              <w:left w:val="nil"/>
              <w:bottom w:val="single" w:sz="4" w:space="0" w:color="auto"/>
              <w:right w:val="single" w:sz="4" w:space="0" w:color="auto"/>
            </w:tcBorders>
            <w:noWrap/>
            <w:vAlign w:val="center"/>
            <w:hideMark/>
          </w:tcPr>
          <w:p w14:paraId="276BCE43"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55,274,889</w:t>
            </w:r>
          </w:p>
        </w:tc>
      </w:tr>
      <w:tr w:rsidR="00BF5974" w14:paraId="59B04802" w14:textId="77777777" w:rsidTr="00BF5974">
        <w:trPr>
          <w:trHeight w:val="20"/>
          <w:jc w:val="center"/>
        </w:trPr>
        <w:tc>
          <w:tcPr>
            <w:tcW w:w="2517" w:type="dxa"/>
            <w:tcBorders>
              <w:top w:val="nil"/>
              <w:left w:val="single" w:sz="4" w:space="0" w:color="auto"/>
              <w:bottom w:val="single" w:sz="4" w:space="0" w:color="auto"/>
              <w:right w:val="single" w:sz="4" w:space="0" w:color="auto"/>
            </w:tcBorders>
            <w:noWrap/>
            <w:hideMark/>
          </w:tcPr>
          <w:p w14:paraId="0FE122F8" w14:textId="77777777" w:rsidR="00BF5974" w:rsidRDefault="00BF5974">
            <w:pPr>
              <w:spacing w:line="256" w:lineRule="auto"/>
              <w:jc w:val="left"/>
              <w:rPr>
                <w:rFonts w:eastAsia="Times New Roman" w:cs="Arial"/>
                <w:sz w:val="18"/>
                <w:szCs w:val="18"/>
                <w:lang w:val="es-ES" w:eastAsia="en-US"/>
              </w:rPr>
            </w:pPr>
            <w:r>
              <w:rPr>
                <w:rFonts w:cs="Arial"/>
                <w:sz w:val="18"/>
                <w:szCs w:val="18"/>
                <w:lang w:val="es-ES" w:eastAsia="en-US"/>
              </w:rPr>
              <w:t xml:space="preserve">Banobras </w:t>
            </w:r>
          </w:p>
        </w:tc>
        <w:tc>
          <w:tcPr>
            <w:tcW w:w="1475" w:type="dxa"/>
            <w:tcBorders>
              <w:top w:val="nil"/>
              <w:left w:val="nil"/>
              <w:bottom w:val="single" w:sz="4" w:space="0" w:color="auto"/>
              <w:right w:val="single" w:sz="4" w:space="0" w:color="auto"/>
            </w:tcBorders>
            <w:noWrap/>
            <w:hideMark/>
          </w:tcPr>
          <w:p w14:paraId="4B075098" w14:textId="77777777" w:rsidR="00BF5974" w:rsidRDefault="00BF5974">
            <w:pPr>
              <w:spacing w:line="256" w:lineRule="auto"/>
              <w:jc w:val="center"/>
              <w:rPr>
                <w:rFonts w:eastAsia="Times New Roman" w:cs="Arial"/>
                <w:sz w:val="18"/>
                <w:szCs w:val="18"/>
                <w:lang w:val="es-ES" w:eastAsia="en-US"/>
              </w:rPr>
            </w:pPr>
            <w:r>
              <w:rPr>
                <w:rFonts w:cs="Arial"/>
                <w:sz w:val="18"/>
                <w:szCs w:val="18"/>
                <w:lang w:val="es-ES" w:eastAsia="en-US"/>
              </w:rPr>
              <w:t>15211</w:t>
            </w:r>
          </w:p>
        </w:tc>
        <w:tc>
          <w:tcPr>
            <w:tcW w:w="1407" w:type="dxa"/>
            <w:tcBorders>
              <w:top w:val="nil"/>
              <w:left w:val="nil"/>
              <w:bottom w:val="single" w:sz="4" w:space="0" w:color="auto"/>
              <w:right w:val="single" w:sz="4" w:space="0" w:color="auto"/>
            </w:tcBorders>
            <w:noWrap/>
            <w:vAlign w:val="center"/>
            <w:hideMark/>
          </w:tcPr>
          <w:p w14:paraId="72ABC283"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12,430,690</w:t>
            </w:r>
          </w:p>
        </w:tc>
        <w:tc>
          <w:tcPr>
            <w:tcW w:w="1406" w:type="dxa"/>
            <w:tcBorders>
              <w:top w:val="nil"/>
              <w:left w:val="nil"/>
              <w:bottom w:val="single" w:sz="4" w:space="0" w:color="auto"/>
              <w:right w:val="single" w:sz="4" w:space="0" w:color="auto"/>
            </w:tcBorders>
            <w:noWrap/>
            <w:vAlign w:val="center"/>
            <w:hideMark/>
          </w:tcPr>
          <w:p w14:paraId="42521FFD"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4,053,790</w:t>
            </w:r>
          </w:p>
        </w:tc>
        <w:tc>
          <w:tcPr>
            <w:tcW w:w="1276" w:type="dxa"/>
            <w:tcBorders>
              <w:top w:val="nil"/>
              <w:left w:val="nil"/>
              <w:bottom w:val="single" w:sz="4" w:space="0" w:color="auto"/>
              <w:right w:val="single" w:sz="4" w:space="0" w:color="auto"/>
            </w:tcBorders>
            <w:noWrap/>
            <w:vAlign w:val="center"/>
            <w:hideMark/>
          </w:tcPr>
          <w:p w14:paraId="63A20540"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16,484,480</w:t>
            </w:r>
          </w:p>
        </w:tc>
      </w:tr>
      <w:tr w:rsidR="00BF5974" w14:paraId="7042ADE7" w14:textId="77777777" w:rsidTr="00BF5974">
        <w:trPr>
          <w:trHeight w:val="20"/>
          <w:jc w:val="center"/>
        </w:trPr>
        <w:tc>
          <w:tcPr>
            <w:tcW w:w="3992" w:type="dxa"/>
            <w:gridSpan w:val="2"/>
            <w:tcBorders>
              <w:top w:val="single" w:sz="4" w:space="0" w:color="auto"/>
              <w:left w:val="single" w:sz="4" w:space="0" w:color="auto"/>
              <w:bottom w:val="single" w:sz="4" w:space="0" w:color="auto"/>
              <w:right w:val="single" w:sz="4" w:space="0" w:color="000000"/>
            </w:tcBorders>
            <w:noWrap/>
            <w:vAlign w:val="center"/>
            <w:hideMark/>
          </w:tcPr>
          <w:p w14:paraId="5AC753CF" w14:textId="77777777" w:rsidR="00BF5974" w:rsidRDefault="00BF5974">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Subtotal Banca de Desarrollo</w:t>
            </w:r>
          </w:p>
        </w:tc>
        <w:tc>
          <w:tcPr>
            <w:tcW w:w="1407" w:type="dxa"/>
            <w:tcBorders>
              <w:top w:val="nil"/>
              <w:left w:val="nil"/>
              <w:bottom w:val="single" w:sz="4" w:space="0" w:color="auto"/>
              <w:right w:val="single" w:sz="4" w:space="0" w:color="auto"/>
            </w:tcBorders>
            <w:noWrap/>
            <w:vAlign w:val="center"/>
            <w:hideMark/>
          </w:tcPr>
          <w:p w14:paraId="2BE7194C" w14:textId="77777777" w:rsidR="00BF5974" w:rsidRDefault="00BF5974">
            <w:pPr>
              <w:spacing w:line="256" w:lineRule="auto"/>
              <w:jc w:val="right"/>
              <w:rPr>
                <w:rFonts w:eastAsia="Times New Roman" w:cs="Arial"/>
                <w:b/>
                <w:bCs/>
                <w:sz w:val="18"/>
                <w:szCs w:val="18"/>
                <w:lang w:val="es-ES" w:eastAsia="en-US"/>
              </w:rPr>
            </w:pPr>
            <w:r>
              <w:rPr>
                <w:rFonts w:cs="Arial"/>
                <w:b/>
                <w:bCs/>
                <w:color w:val="000000"/>
                <w:sz w:val="18"/>
                <w:szCs w:val="18"/>
                <w:lang w:val="es-ES" w:eastAsia="en-US"/>
              </w:rPr>
              <w:t>48,199,267</w:t>
            </w:r>
          </w:p>
        </w:tc>
        <w:tc>
          <w:tcPr>
            <w:tcW w:w="1406" w:type="dxa"/>
            <w:tcBorders>
              <w:top w:val="nil"/>
              <w:left w:val="nil"/>
              <w:bottom w:val="single" w:sz="4" w:space="0" w:color="auto"/>
              <w:right w:val="single" w:sz="4" w:space="0" w:color="auto"/>
            </w:tcBorders>
            <w:noWrap/>
            <w:vAlign w:val="center"/>
            <w:hideMark/>
          </w:tcPr>
          <w:p w14:paraId="5BC23E11" w14:textId="77777777" w:rsidR="00BF5974" w:rsidRDefault="00BF5974">
            <w:pPr>
              <w:spacing w:line="256" w:lineRule="auto"/>
              <w:jc w:val="right"/>
              <w:rPr>
                <w:rFonts w:eastAsia="Times New Roman" w:cs="Arial"/>
                <w:b/>
                <w:bCs/>
                <w:sz w:val="18"/>
                <w:szCs w:val="18"/>
                <w:lang w:val="es-ES" w:eastAsia="en-US"/>
              </w:rPr>
            </w:pPr>
            <w:r>
              <w:rPr>
                <w:rFonts w:cs="Arial"/>
                <w:b/>
                <w:bCs/>
                <w:color w:val="000000"/>
                <w:sz w:val="18"/>
                <w:szCs w:val="18"/>
                <w:lang w:val="es-ES" w:eastAsia="en-US"/>
              </w:rPr>
              <w:t>80,959,867</w:t>
            </w:r>
          </w:p>
        </w:tc>
        <w:tc>
          <w:tcPr>
            <w:tcW w:w="1276" w:type="dxa"/>
            <w:tcBorders>
              <w:top w:val="nil"/>
              <w:left w:val="nil"/>
              <w:bottom w:val="single" w:sz="4" w:space="0" w:color="auto"/>
              <w:right w:val="single" w:sz="4" w:space="0" w:color="auto"/>
            </w:tcBorders>
            <w:noWrap/>
            <w:vAlign w:val="center"/>
            <w:hideMark/>
          </w:tcPr>
          <w:p w14:paraId="45D3FAA0" w14:textId="77777777" w:rsidR="00BF5974" w:rsidRDefault="00BF5974">
            <w:pPr>
              <w:spacing w:line="256" w:lineRule="auto"/>
              <w:jc w:val="right"/>
              <w:rPr>
                <w:rFonts w:eastAsia="Times New Roman" w:cs="Arial"/>
                <w:b/>
                <w:bCs/>
                <w:sz w:val="18"/>
                <w:szCs w:val="18"/>
                <w:lang w:val="es-ES" w:eastAsia="en-US"/>
              </w:rPr>
            </w:pPr>
            <w:r>
              <w:rPr>
                <w:rFonts w:cs="Arial"/>
                <w:b/>
                <w:bCs/>
                <w:color w:val="000000"/>
                <w:sz w:val="18"/>
                <w:szCs w:val="18"/>
                <w:lang w:val="es-ES" w:eastAsia="en-US"/>
              </w:rPr>
              <w:t>129,159,134</w:t>
            </w:r>
          </w:p>
        </w:tc>
      </w:tr>
      <w:tr w:rsidR="00BF5974" w14:paraId="29A55186" w14:textId="77777777" w:rsidTr="00BF5974">
        <w:trPr>
          <w:trHeight w:val="20"/>
          <w:jc w:val="center"/>
        </w:trPr>
        <w:tc>
          <w:tcPr>
            <w:tcW w:w="2517" w:type="dxa"/>
            <w:tcBorders>
              <w:top w:val="nil"/>
              <w:left w:val="single" w:sz="4" w:space="0" w:color="auto"/>
              <w:bottom w:val="single" w:sz="4" w:space="0" w:color="auto"/>
              <w:right w:val="single" w:sz="4" w:space="0" w:color="auto"/>
            </w:tcBorders>
            <w:noWrap/>
            <w:hideMark/>
          </w:tcPr>
          <w:p w14:paraId="491678B2" w14:textId="77777777" w:rsidR="00BF5974" w:rsidRDefault="00BF5974">
            <w:pPr>
              <w:spacing w:line="256" w:lineRule="auto"/>
              <w:jc w:val="left"/>
              <w:rPr>
                <w:rFonts w:eastAsia="Times New Roman" w:cs="Arial"/>
                <w:sz w:val="18"/>
                <w:szCs w:val="18"/>
                <w:lang w:val="es-ES" w:eastAsia="en-US"/>
              </w:rPr>
            </w:pPr>
            <w:r>
              <w:rPr>
                <w:rFonts w:cs="Arial"/>
                <w:sz w:val="18"/>
                <w:szCs w:val="18"/>
                <w:lang w:val="es-ES" w:eastAsia="en-US"/>
              </w:rPr>
              <w:t xml:space="preserve">Banco del </w:t>
            </w:r>
            <w:proofErr w:type="spellStart"/>
            <w:r>
              <w:rPr>
                <w:rFonts w:cs="Arial"/>
                <w:sz w:val="18"/>
                <w:szCs w:val="18"/>
                <w:lang w:val="es-ES" w:eastAsia="en-US"/>
              </w:rPr>
              <w:t>Bajio</w:t>
            </w:r>
            <w:proofErr w:type="spellEnd"/>
          </w:p>
        </w:tc>
        <w:tc>
          <w:tcPr>
            <w:tcW w:w="1475" w:type="dxa"/>
            <w:tcBorders>
              <w:top w:val="nil"/>
              <w:left w:val="nil"/>
              <w:bottom w:val="single" w:sz="4" w:space="0" w:color="auto"/>
              <w:right w:val="single" w:sz="4" w:space="0" w:color="auto"/>
            </w:tcBorders>
            <w:noWrap/>
            <w:hideMark/>
          </w:tcPr>
          <w:p w14:paraId="7E210F37" w14:textId="77777777" w:rsidR="00BF5974" w:rsidRDefault="00BF5974">
            <w:pPr>
              <w:spacing w:line="256" w:lineRule="auto"/>
              <w:jc w:val="center"/>
              <w:rPr>
                <w:rFonts w:eastAsia="Times New Roman" w:cs="Arial"/>
                <w:sz w:val="18"/>
                <w:szCs w:val="18"/>
                <w:lang w:val="es-ES" w:eastAsia="en-US"/>
              </w:rPr>
            </w:pPr>
            <w:r>
              <w:rPr>
                <w:rFonts w:cs="Arial"/>
                <w:sz w:val="18"/>
                <w:szCs w:val="18"/>
                <w:lang w:val="es-ES" w:eastAsia="en-US"/>
              </w:rPr>
              <w:t>16163782</w:t>
            </w:r>
          </w:p>
        </w:tc>
        <w:tc>
          <w:tcPr>
            <w:tcW w:w="1407" w:type="dxa"/>
            <w:tcBorders>
              <w:top w:val="nil"/>
              <w:left w:val="nil"/>
              <w:bottom w:val="single" w:sz="4" w:space="0" w:color="auto"/>
              <w:right w:val="single" w:sz="4" w:space="0" w:color="auto"/>
            </w:tcBorders>
            <w:noWrap/>
            <w:vAlign w:val="center"/>
            <w:hideMark/>
          </w:tcPr>
          <w:p w14:paraId="5551A6EB"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8,467,690</w:t>
            </w:r>
          </w:p>
        </w:tc>
        <w:tc>
          <w:tcPr>
            <w:tcW w:w="1406" w:type="dxa"/>
            <w:tcBorders>
              <w:top w:val="nil"/>
              <w:left w:val="nil"/>
              <w:bottom w:val="single" w:sz="4" w:space="0" w:color="auto"/>
              <w:right w:val="single" w:sz="4" w:space="0" w:color="auto"/>
            </w:tcBorders>
            <w:noWrap/>
            <w:vAlign w:val="center"/>
            <w:hideMark/>
          </w:tcPr>
          <w:p w14:paraId="387D5B9D"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119,563,565</w:t>
            </w:r>
          </w:p>
        </w:tc>
        <w:tc>
          <w:tcPr>
            <w:tcW w:w="1276" w:type="dxa"/>
            <w:tcBorders>
              <w:top w:val="nil"/>
              <w:left w:val="nil"/>
              <w:bottom w:val="single" w:sz="4" w:space="0" w:color="auto"/>
              <w:right w:val="single" w:sz="4" w:space="0" w:color="auto"/>
            </w:tcBorders>
            <w:noWrap/>
            <w:vAlign w:val="center"/>
            <w:hideMark/>
          </w:tcPr>
          <w:p w14:paraId="3C30727F"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128,031,255</w:t>
            </w:r>
          </w:p>
        </w:tc>
      </w:tr>
      <w:tr w:rsidR="00BF5974" w14:paraId="4F941F17" w14:textId="77777777" w:rsidTr="00BF5974">
        <w:trPr>
          <w:trHeight w:val="20"/>
          <w:jc w:val="center"/>
        </w:trPr>
        <w:tc>
          <w:tcPr>
            <w:tcW w:w="2517" w:type="dxa"/>
            <w:tcBorders>
              <w:top w:val="nil"/>
              <w:left w:val="single" w:sz="4" w:space="0" w:color="auto"/>
              <w:bottom w:val="single" w:sz="4" w:space="0" w:color="auto"/>
              <w:right w:val="single" w:sz="4" w:space="0" w:color="auto"/>
            </w:tcBorders>
            <w:noWrap/>
            <w:hideMark/>
          </w:tcPr>
          <w:p w14:paraId="46353DEC" w14:textId="77777777" w:rsidR="00BF5974" w:rsidRDefault="00BF5974">
            <w:pPr>
              <w:spacing w:line="256" w:lineRule="auto"/>
              <w:jc w:val="left"/>
              <w:rPr>
                <w:rFonts w:eastAsia="Times New Roman" w:cs="Arial"/>
                <w:sz w:val="18"/>
                <w:szCs w:val="18"/>
                <w:lang w:val="es-ES" w:eastAsia="en-US"/>
              </w:rPr>
            </w:pPr>
            <w:r>
              <w:rPr>
                <w:rFonts w:cs="Arial"/>
                <w:sz w:val="18"/>
                <w:szCs w:val="18"/>
                <w:lang w:val="es-ES" w:eastAsia="en-US"/>
              </w:rPr>
              <w:t xml:space="preserve">Banorte </w:t>
            </w:r>
          </w:p>
        </w:tc>
        <w:tc>
          <w:tcPr>
            <w:tcW w:w="1475" w:type="dxa"/>
            <w:tcBorders>
              <w:top w:val="nil"/>
              <w:left w:val="nil"/>
              <w:bottom w:val="single" w:sz="4" w:space="0" w:color="auto"/>
              <w:right w:val="single" w:sz="4" w:space="0" w:color="auto"/>
            </w:tcBorders>
            <w:noWrap/>
            <w:hideMark/>
          </w:tcPr>
          <w:p w14:paraId="03956213" w14:textId="77777777" w:rsidR="00BF5974" w:rsidRDefault="00BF5974">
            <w:pPr>
              <w:spacing w:line="256" w:lineRule="auto"/>
              <w:jc w:val="center"/>
              <w:rPr>
                <w:rFonts w:eastAsia="Times New Roman" w:cs="Arial"/>
                <w:sz w:val="18"/>
                <w:szCs w:val="18"/>
                <w:lang w:val="es-ES" w:eastAsia="en-US"/>
              </w:rPr>
            </w:pPr>
            <w:r>
              <w:rPr>
                <w:rFonts w:cs="Arial"/>
                <w:sz w:val="18"/>
                <w:szCs w:val="18"/>
                <w:lang w:val="es-ES" w:eastAsia="en-US"/>
              </w:rPr>
              <w:t>89180391</w:t>
            </w:r>
          </w:p>
        </w:tc>
        <w:tc>
          <w:tcPr>
            <w:tcW w:w="1407" w:type="dxa"/>
            <w:tcBorders>
              <w:top w:val="nil"/>
              <w:left w:val="nil"/>
              <w:bottom w:val="single" w:sz="4" w:space="0" w:color="auto"/>
              <w:right w:val="single" w:sz="4" w:space="0" w:color="auto"/>
            </w:tcBorders>
            <w:noWrap/>
            <w:vAlign w:val="center"/>
            <w:hideMark/>
          </w:tcPr>
          <w:p w14:paraId="14E0367E"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6,328,635</w:t>
            </w:r>
          </w:p>
        </w:tc>
        <w:tc>
          <w:tcPr>
            <w:tcW w:w="1406" w:type="dxa"/>
            <w:tcBorders>
              <w:top w:val="nil"/>
              <w:left w:val="nil"/>
              <w:bottom w:val="single" w:sz="4" w:space="0" w:color="auto"/>
              <w:right w:val="single" w:sz="4" w:space="0" w:color="auto"/>
            </w:tcBorders>
            <w:noWrap/>
            <w:vAlign w:val="center"/>
            <w:hideMark/>
          </w:tcPr>
          <w:p w14:paraId="78972D1A"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87,760,893</w:t>
            </w:r>
          </w:p>
        </w:tc>
        <w:tc>
          <w:tcPr>
            <w:tcW w:w="1276" w:type="dxa"/>
            <w:tcBorders>
              <w:top w:val="nil"/>
              <w:left w:val="nil"/>
              <w:bottom w:val="single" w:sz="4" w:space="0" w:color="auto"/>
              <w:right w:val="single" w:sz="4" w:space="0" w:color="auto"/>
            </w:tcBorders>
            <w:noWrap/>
            <w:vAlign w:val="center"/>
            <w:hideMark/>
          </w:tcPr>
          <w:p w14:paraId="5AAA3A86"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94,089,528</w:t>
            </w:r>
          </w:p>
        </w:tc>
      </w:tr>
      <w:tr w:rsidR="00BF5974" w14:paraId="03F3AD9A" w14:textId="77777777" w:rsidTr="00BF5974">
        <w:trPr>
          <w:trHeight w:val="20"/>
          <w:jc w:val="center"/>
        </w:trPr>
        <w:tc>
          <w:tcPr>
            <w:tcW w:w="2517" w:type="dxa"/>
            <w:tcBorders>
              <w:top w:val="nil"/>
              <w:left w:val="single" w:sz="4" w:space="0" w:color="auto"/>
              <w:bottom w:val="single" w:sz="4" w:space="0" w:color="auto"/>
              <w:right w:val="single" w:sz="4" w:space="0" w:color="auto"/>
            </w:tcBorders>
            <w:noWrap/>
            <w:hideMark/>
          </w:tcPr>
          <w:p w14:paraId="00798B3A" w14:textId="77777777" w:rsidR="00BF5974" w:rsidRDefault="00BF5974">
            <w:pPr>
              <w:spacing w:line="256" w:lineRule="auto"/>
              <w:jc w:val="left"/>
              <w:rPr>
                <w:rFonts w:eastAsia="Times New Roman" w:cs="Arial"/>
                <w:sz w:val="18"/>
                <w:szCs w:val="18"/>
                <w:lang w:val="es-ES" w:eastAsia="en-US"/>
              </w:rPr>
            </w:pPr>
            <w:r>
              <w:rPr>
                <w:rFonts w:cs="Arial"/>
                <w:sz w:val="18"/>
                <w:szCs w:val="18"/>
                <w:lang w:val="es-ES" w:eastAsia="en-US"/>
              </w:rPr>
              <w:t xml:space="preserve">Santander </w:t>
            </w:r>
          </w:p>
        </w:tc>
        <w:tc>
          <w:tcPr>
            <w:tcW w:w="1475" w:type="dxa"/>
            <w:tcBorders>
              <w:top w:val="nil"/>
              <w:left w:val="nil"/>
              <w:bottom w:val="single" w:sz="4" w:space="0" w:color="auto"/>
              <w:right w:val="single" w:sz="4" w:space="0" w:color="auto"/>
            </w:tcBorders>
            <w:noWrap/>
            <w:hideMark/>
          </w:tcPr>
          <w:p w14:paraId="51DEE9B0" w14:textId="77777777" w:rsidR="00BF5974" w:rsidRDefault="00BF5974">
            <w:pPr>
              <w:spacing w:line="256" w:lineRule="auto"/>
              <w:jc w:val="center"/>
              <w:rPr>
                <w:rFonts w:eastAsia="Times New Roman" w:cs="Arial"/>
                <w:sz w:val="18"/>
                <w:szCs w:val="18"/>
                <w:lang w:val="es-ES" w:eastAsia="en-US"/>
              </w:rPr>
            </w:pPr>
            <w:r>
              <w:rPr>
                <w:rFonts w:cs="Arial"/>
                <w:sz w:val="18"/>
                <w:szCs w:val="18"/>
                <w:lang w:val="es-ES" w:eastAsia="en-US"/>
              </w:rPr>
              <w:t>5015288868</w:t>
            </w:r>
          </w:p>
        </w:tc>
        <w:tc>
          <w:tcPr>
            <w:tcW w:w="1407" w:type="dxa"/>
            <w:tcBorders>
              <w:top w:val="nil"/>
              <w:left w:val="nil"/>
              <w:bottom w:val="single" w:sz="4" w:space="0" w:color="auto"/>
              <w:right w:val="single" w:sz="4" w:space="0" w:color="auto"/>
            </w:tcBorders>
            <w:noWrap/>
            <w:vAlign w:val="center"/>
            <w:hideMark/>
          </w:tcPr>
          <w:p w14:paraId="6FB7F8ED"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6,478,041</w:t>
            </w:r>
          </w:p>
        </w:tc>
        <w:tc>
          <w:tcPr>
            <w:tcW w:w="1406" w:type="dxa"/>
            <w:tcBorders>
              <w:top w:val="nil"/>
              <w:left w:val="nil"/>
              <w:bottom w:val="single" w:sz="4" w:space="0" w:color="auto"/>
              <w:right w:val="single" w:sz="4" w:space="0" w:color="auto"/>
            </w:tcBorders>
            <w:noWrap/>
            <w:vAlign w:val="center"/>
            <w:hideMark/>
          </w:tcPr>
          <w:p w14:paraId="7FD5884A"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90,428,036</w:t>
            </w:r>
          </w:p>
        </w:tc>
        <w:tc>
          <w:tcPr>
            <w:tcW w:w="1276" w:type="dxa"/>
            <w:tcBorders>
              <w:top w:val="nil"/>
              <w:left w:val="nil"/>
              <w:bottom w:val="single" w:sz="4" w:space="0" w:color="auto"/>
              <w:right w:val="single" w:sz="4" w:space="0" w:color="auto"/>
            </w:tcBorders>
            <w:noWrap/>
            <w:vAlign w:val="center"/>
            <w:hideMark/>
          </w:tcPr>
          <w:p w14:paraId="3DDA8A2D"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96,906,077</w:t>
            </w:r>
          </w:p>
        </w:tc>
      </w:tr>
      <w:tr w:rsidR="00BF5974" w14:paraId="4B391D22" w14:textId="77777777" w:rsidTr="00BF5974">
        <w:trPr>
          <w:trHeight w:val="20"/>
          <w:jc w:val="center"/>
        </w:trPr>
        <w:tc>
          <w:tcPr>
            <w:tcW w:w="2517" w:type="dxa"/>
            <w:tcBorders>
              <w:top w:val="nil"/>
              <w:left w:val="single" w:sz="4" w:space="0" w:color="auto"/>
              <w:bottom w:val="single" w:sz="4" w:space="0" w:color="auto"/>
              <w:right w:val="single" w:sz="4" w:space="0" w:color="auto"/>
            </w:tcBorders>
            <w:noWrap/>
            <w:hideMark/>
          </w:tcPr>
          <w:p w14:paraId="3657AAD6" w14:textId="77777777" w:rsidR="00BF5974" w:rsidRDefault="00BF5974">
            <w:pPr>
              <w:spacing w:line="256" w:lineRule="auto"/>
              <w:jc w:val="left"/>
              <w:rPr>
                <w:rFonts w:eastAsia="Times New Roman" w:cs="Arial"/>
                <w:sz w:val="18"/>
                <w:szCs w:val="18"/>
                <w:lang w:val="es-ES" w:eastAsia="en-US"/>
              </w:rPr>
            </w:pPr>
            <w:r>
              <w:rPr>
                <w:rFonts w:cs="Arial"/>
                <w:sz w:val="18"/>
                <w:szCs w:val="18"/>
                <w:lang w:val="es-ES" w:eastAsia="en-US"/>
              </w:rPr>
              <w:t xml:space="preserve">BBVA </w:t>
            </w:r>
          </w:p>
        </w:tc>
        <w:tc>
          <w:tcPr>
            <w:tcW w:w="1475" w:type="dxa"/>
            <w:tcBorders>
              <w:top w:val="nil"/>
              <w:left w:val="nil"/>
              <w:bottom w:val="single" w:sz="4" w:space="0" w:color="auto"/>
              <w:right w:val="single" w:sz="4" w:space="0" w:color="auto"/>
            </w:tcBorders>
            <w:noWrap/>
            <w:hideMark/>
          </w:tcPr>
          <w:p w14:paraId="5C41AEEE" w14:textId="77777777" w:rsidR="00BF5974" w:rsidRDefault="00BF5974">
            <w:pPr>
              <w:spacing w:line="256" w:lineRule="auto"/>
              <w:jc w:val="center"/>
              <w:rPr>
                <w:rFonts w:eastAsia="Times New Roman" w:cs="Arial"/>
                <w:sz w:val="18"/>
                <w:szCs w:val="18"/>
                <w:lang w:val="es-ES" w:eastAsia="en-US"/>
              </w:rPr>
            </w:pPr>
            <w:r>
              <w:rPr>
                <w:rFonts w:cs="Arial"/>
                <w:sz w:val="18"/>
                <w:szCs w:val="18"/>
                <w:lang w:val="es-ES" w:eastAsia="en-US"/>
              </w:rPr>
              <w:t>9668594671</w:t>
            </w:r>
          </w:p>
        </w:tc>
        <w:tc>
          <w:tcPr>
            <w:tcW w:w="1407" w:type="dxa"/>
            <w:tcBorders>
              <w:top w:val="nil"/>
              <w:left w:val="nil"/>
              <w:bottom w:val="single" w:sz="4" w:space="0" w:color="auto"/>
              <w:right w:val="single" w:sz="4" w:space="0" w:color="auto"/>
            </w:tcBorders>
            <w:noWrap/>
            <w:vAlign w:val="center"/>
            <w:hideMark/>
          </w:tcPr>
          <w:p w14:paraId="5EE0BC79"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3,300,647</w:t>
            </w:r>
          </w:p>
        </w:tc>
        <w:tc>
          <w:tcPr>
            <w:tcW w:w="1406" w:type="dxa"/>
            <w:tcBorders>
              <w:top w:val="nil"/>
              <w:left w:val="nil"/>
              <w:bottom w:val="single" w:sz="4" w:space="0" w:color="auto"/>
              <w:right w:val="single" w:sz="4" w:space="0" w:color="auto"/>
            </w:tcBorders>
            <w:noWrap/>
            <w:vAlign w:val="center"/>
            <w:hideMark/>
          </w:tcPr>
          <w:p w14:paraId="6EAB49E4"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46,567,146</w:t>
            </w:r>
          </w:p>
        </w:tc>
        <w:tc>
          <w:tcPr>
            <w:tcW w:w="1276" w:type="dxa"/>
            <w:tcBorders>
              <w:top w:val="nil"/>
              <w:left w:val="nil"/>
              <w:bottom w:val="single" w:sz="4" w:space="0" w:color="auto"/>
              <w:right w:val="single" w:sz="4" w:space="0" w:color="auto"/>
            </w:tcBorders>
            <w:noWrap/>
            <w:vAlign w:val="center"/>
            <w:hideMark/>
          </w:tcPr>
          <w:p w14:paraId="3C3EAB29"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49,867,793</w:t>
            </w:r>
          </w:p>
        </w:tc>
      </w:tr>
      <w:tr w:rsidR="00BF5974" w14:paraId="21A874CD" w14:textId="77777777" w:rsidTr="00BF5974">
        <w:trPr>
          <w:trHeight w:val="20"/>
          <w:jc w:val="center"/>
        </w:trPr>
        <w:tc>
          <w:tcPr>
            <w:tcW w:w="3992" w:type="dxa"/>
            <w:gridSpan w:val="2"/>
            <w:tcBorders>
              <w:top w:val="single" w:sz="4" w:space="0" w:color="auto"/>
              <w:left w:val="single" w:sz="4" w:space="0" w:color="auto"/>
              <w:bottom w:val="single" w:sz="4" w:space="0" w:color="auto"/>
              <w:right w:val="single" w:sz="4" w:space="0" w:color="000000"/>
            </w:tcBorders>
            <w:noWrap/>
            <w:vAlign w:val="center"/>
            <w:hideMark/>
          </w:tcPr>
          <w:p w14:paraId="691F8800" w14:textId="77777777" w:rsidR="00BF5974" w:rsidRDefault="00BF5974">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Subtotal Banca Comercial</w:t>
            </w:r>
          </w:p>
        </w:tc>
        <w:tc>
          <w:tcPr>
            <w:tcW w:w="1407" w:type="dxa"/>
            <w:tcBorders>
              <w:top w:val="nil"/>
              <w:left w:val="nil"/>
              <w:bottom w:val="single" w:sz="4" w:space="0" w:color="auto"/>
              <w:right w:val="single" w:sz="4" w:space="0" w:color="auto"/>
            </w:tcBorders>
            <w:noWrap/>
            <w:vAlign w:val="center"/>
            <w:hideMark/>
          </w:tcPr>
          <w:p w14:paraId="79B1625B" w14:textId="77777777" w:rsidR="00BF5974" w:rsidRDefault="00BF5974">
            <w:pPr>
              <w:spacing w:line="256" w:lineRule="auto"/>
              <w:jc w:val="right"/>
              <w:rPr>
                <w:rFonts w:eastAsia="Times New Roman" w:cs="Arial"/>
                <w:b/>
                <w:bCs/>
                <w:sz w:val="18"/>
                <w:szCs w:val="18"/>
                <w:lang w:val="es-ES" w:eastAsia="en-US"/>
              </w:rPr>
            </w:pPr>
            <w:r>
              <w:rPr>
                <w:rFonts w:cs="Arial"/>
                <w:b/>
                <w:bCs/>
                <w:color w:val="000000"/>
                <w:sz w:val="18"/>
                <w:szCs w:val="18"/>
                <w:lang w:val="es-ES" w:eastAsia="en-US"/>
              </w:rPr>
              <w:t>24,575,013</w:t>
            </w:r>
          </w:p>
        </w:tc>
        <w:tc>
          <w:tcPr>
            <w:tcW w:w="1406" w:type="dxa"/>
            <w:tcBorders>
              <w:top w:val="nil"/>
              <w:left w:val="nil"/>
              <w:bottom w:val="single" w:sz="4" w:space="0" w:color="auto"/>
              <w:right w:val="single" w:sz="4" w:space="0" w:color="auto"/>
            </w:tcBorders>
            <w:noWrap/>
            <w:vAlign w:val="center"/>
            <w:hideMark/>
          </w:tcPr>
          <w:p w14:paraId="25172EA7" w14:textId="77777777" w:rsidR="00BF5974" w:rsidRDefault="00BF5974">
            <w:pPr>
              <w:spacing w:line="256" w:lineRule="auto"/>
              <w:jc w:val="right"/>
              <w:rPr>
                <w:rFonts w:eastAsia="Times New Roman" w:cs="Arial"/>
                <w:b/>
                <w:bCs/>
                <w:sz w:val="18"/>
                <w:szCs w:val="18"/>
                <w:lang w:val="es-ES" w:eastAsia="en-US"/>
              </w:rPr>
            </w:pPr>
            <w:r>
              <w:rPr>
                <w:rFonts w:cs="Arial"/>
                <w:b/>
                <w:bCs/>
                <w:color w:val="000000"/>
                <w:sz w:val="18"/>
                <w:szCs w:val="18"/>
                <w:lang w:val="es-ES" w:eastAsia="en-US"/>
              </w:rPr>
              <w:t>344,319,640</w:t>
            </w:r>
          </w:p>
        </w:tc>
        <w:tc>
          <w:tcPr>
            <w:tcW w:w="1276" w:type="dxa"/>
            <w:tcBorders>
              <w:top w:val="nil"/>
              <w:left w:val="nil"/>
              <w:bottom w:val="single" w:sz="4" w:space="0" w:color="auto"/>
              <w:right w:val="single" w:sz="4" w:space="0" w:color="auto"/>
            </w:tcBorders>
            <w:noWrap/>
            <w:vAlign w:val="center"/>
            <w:hideMark/>
          </w:tcPr>
          <w:p w14:paraId="05657E3C" w14:textId="77777777" w:rsidR="00BF5974" w:rsidRDefault="00BF5974">
            <w:pPr>
              <w:spacing w:line="256" w:lineRule="auto"/>
              <w:jc w:val="right"/>
              <w:rPr>
                <w:rFonts w:eastAsia="Times New Roman" w:cs="Arial"/>
                <w:b/>
                <w:bCs/>
                <w:sz w:val="18"/>
                <w:szCs w:val="18"/>
                <w:lang w:val="es-ES" w:eastAsia="en-US"/>
              </w:rPr>
            </w:pPr>
            <w:r>
              <w:rPr>
                <w:rFonts w:cs="Arial"/>
                <w:b/>
                <w:bCs/>
                <w:color w:val="000000"/>
                <w:sz w:val="18"/>
                <w:szCs w:val="18"/>
                <w:lang w:val="es-ES" w:eastAsia="en-US"/>
              </w:rPr>
              <w:t>368,894,653</w:t>
            </w:r>
          </w:p>
        </w:tc>
      </w:tr>
      <w:tr w:rsidR="00BF5974" w14:paraId="37E0C8FC" w14:textId="77777777" w:rsidTr="00BF5974">
        <w:trPr>
          <w:trHeight w:val="20"/>
          <w:jc w:val="center"/>
        </w:trPr>
        <w:tc>
          <w:tcPr>
            <w:tcW w:w="2517" w:type="dxa"/>
            <w:tcBorders>
              <w:top w:val="nil"/>
              <w:left w:val="single" w:sz="4" w:space="0" w:color="auto"/>
              <w:bottom w:val="single" w:sz="4" w:space="0" w:color="auto"/>
              <w:right w:val="single" w:sz="4" w:space="0" w:color="auto"/>
            </w:tcBorders>
            <w:noWrap/>
            <w:vAlign w:val="center"/>
            <w:hideMark/>
          </w:tcPr>
          <w:p w14:paraId="5695AE5E" w14:textId="77777777" w:rsidR="00BF5974" w:rsidRDefault="00BF5974">
            <w:pPr>
              <w:spacing w:line="256" w:lineRule="auto"/>
              <w:jc w:val="left"/>
              <w:rPr>
                <w:rFonts w:cs="Arial"/>
                <w:sz w:val="18"/>
                <w:szCs w:val="18"/>
                <w:lang w:val="es-ES" w:eastAsia="en-US"/>
              </w:rPr>
            </w:pPr>
            <w:r>
              <w:rPr>
                <w:rFonts w:cs="Arial"/>
                <w:sz w:val="18"/>
                <w:szCs w:val="18"/>
                <w:lang w:val="es-ES" w:eastAsia="en-US"/>
              </w:rPr>
              <w:t>Financiamiento Corto Plazo</w:t>
            </w:r>
          </w:p>
        </w:tc>
        <w:tc>
          <w:tcPr>
            <w:tcW w:w="1475" w:type="dxa"/>
            <w:tcBorders>
              <w:top w:val="nil"/>
              <w:left w:val="nil"/>
              <w:bottom w:val="single" w:sz="4" w:space="0" w:color="auto"/>
              <w:right w:val="single" w:sz="4" w:space="0" w:color="auto"/>
            </w:tcBorders>
            <w:noWrap/>
            <w:vAlign w:val="center"/>
            <w:hideMark/>
          </w:tcPr>
          <w:p w14:paraId="474F3A71" w14:textId="77777777" w:rsidR="00BF5974" w:rsidRDefault="00BF5974">
            <w:pPr>
              <w:spacing w:line="256" w:lineRule="auto"/>
              <w:jc w:val="center"/>
              <w:rPr>
                <w:rFonts w:cs="Arial"/>
                <w:sz w:val="18"/>
                <w:szCs w:val="18"/>
                <w:lang w:val="es-ES" w:eastAsia="en-US"/>
              </w:rPr>
            </w:pPr>
            <w:r>
              <w:rPr>
                <w:rFonts w:cs="Arial"/>
                <w:sz w:val="18"/>
                <w:szCs w:val="18"/>
                <w:lang w:val="es-ES" w:eastAsia="en-US"/>
              </w:rPr>
              <w:t>S/D</w:t>
            </w:r>
          </w:p>
        </w:tc>
        <w:tc>
          <w:tcPr>
            <w:tcW w:w="1407" w:type="dxa"/>
            <w:tcBorders>
              <w:top w:val="nil"/>
              <w:left w:val="nil"/>
              <w:bottom w:val="single" w:sz="4" w:space="0" w:color="auto"/>
              <w:right w:val="single" w:sz="4" w:space="0" w:color="auto"/>
            </w:tcBorders>
            <w:noWrap/>
            <w:vAlign w:val="center"/>
            <w:hideMark/>
          </w:tcPr>
          <w:p w14:paraId="4581E947"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250,000,000</w:t>
            </w:r>
          </w:p>
        </w:tc>
        <w:tc>
          <w:tcPr>
            <w:tcW w:w="1406" w:type="dxa"/>
            <w:tcBorders>
              <w:top w:val="nil"/>
              <w:left w:val="nil"/>
              <w:bottom w:val="single" w:sz="4" w:space="0" w:color="auto"/>
              <w:right w:val="single" w:sz="4" w:space="0" w:color="auto"/>
            </w:tcBorders>
            <w:noWrap/>
            <w:vAlign w:val="center"/>
            <w:hideMark/>
          </w:tcPr>
          <w:p w14:paraId="23DF15AC"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15,356,628</w:t>
            </w:r>
          </w:p>
        </w:tc>
        <w:tc>
          <w:tcPr>
            <w:tcW w:w="1276" w:type="dxa"/>
            <w:tcBorders>
              <w:top w:val="nil"/>
              <w:left w:val="nil"/>
              <w:bottom w:val="single" w:sz="4" w:space="0" w:color="auto"/>
              <w:right w:val="single" w:sz="4" w:space="0" w:color="auto"/>
            </w:tcBorders>
            <w:noWrap/>
            <w:vAlign w:val="center"/>
            <w:hideMark/>
          </w:tcPr>
          <w:p w14:paraId="404F28E6"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265,356,628</w:t>
            </w:r>
          </w:p>
        </w:tc>
      </w:tr>
      <w:tr w:rsidR="00BF5974" w14:paraId="30562700" w14:textId="77777777" w:rsidTr="00BF5974">
        <w:trPr>
          <w:trHeight w:val="20"/>
          <w:jc w:val="center"/>
        </w:trPr>
        <w:tc>
          <w:tcPr>
            <w:tcW w:w="3992" w:type="dxa"/>
            <w:gridSpan w:val="2"/>
            <w:tcBorders>
              <w:top w:val="single" w:sz="4" w:space="0" w:color="auto"/>
              <w:left w:val="single" w:sz="4" w:space="0" w:color="auto"/>
              <w:bottom w:val="single" w:sz="4" w:space="0" w:color="auto"/>
              <w:right w:val="single" w:sz="4" w:space="0" w:color="auto"/>
            </w:tcBorders>
            <w:noWrap/>
            <w:vAlign w:val="center"/>
            <w:hideMark/>
          </w:tcPr>
          <w:p w14:paraId="458B45B0" w14:textId="77777777" w:rsidR="00BF5974" w:rsidRDefault="00BF5974">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Total</w:t>
            </w:r>
          </w:p>
        </w:tc>
        <w:tc>
          <w:tcPr>
            <w:tcW w:w="1407" w:type="dxa"/>
            <w:tcBorders>
              <w:top w:val="nil"/>
              <w:left w:val="nil"/>
              <w:bottom w:val="single" w:sz="4" w:space="0" w:color="auto"/>
              <w:right w:val="single" w:sz="4" w:space="0" w:color="auto"/>
            </w:tcBorders>
            <w:noWrap/>
            <w:vAlign w:val="center"/>
            <w:hideMark/>
          </w:tcPr>
          <w:p w14:paraId="0AFD381F" w14:textId="77777777" w:rsidR="00BF5974" w:rsidRDefault="00BF5974">
            <w:pPr>
              <w:spacing w:line="256" w:lineRule="auto"/>
              <w:jc w:val="right"/>
              <w:rPr>
                <w:rFonts w:eastAsia="Times New Roman" w:cs="Arial"/>
                <w:b/>
                <w:bCs/>
                <w:sz w:val="18"/>
                <w:szCs w:val="18"/>
                <w:lang w:val="es-ES" w:eastAsia="en-US"/>
              </w:rPr>
            </w:pPr>
            <w:r>
              <w:rPr>
                <w:rFonts w:cs="Arial"/>
                <w:b/>
                <w:bCs/>
                <w:color w:val="000000"/>
                <w:sz w:val="18"/>
                <w:szCs w:val="18"/>
                <w:lang w:val="es-ES" w:eastAsia="en-US"/>
              </w:rPr>
              <w:t>322,774,280</w:t>
            </w:r>
          </w:p>
        </w:tc>
        <w:tc>
          <w:tcPr>
            <w:tcW w:w="1406" w:type="dxa"/>
            <w:tcBorders>
              <w:top w:val="nil"/>
              <w:left w:val="nil"/>
              <w:bottom w:val="single" w:sz="4" w:space="0" w:color="auto"/>
              <w:right w:val="single" w:sz="4" w:space="0" w:color="auto"/>
            </w:tcBorders>
            <w:noWrap/>
            <w:vAlign w:val="center"/>
            <w:hideMark/>
          </w:tcPr>
          <w:p w14:paraId="2F5EC62B" w14:textId="77777777" w:rsidR="00BF5974" w:rsidRDefault="00BF5974">
            <w:pPr>
              <w:spacing w:line="256" w:lineRule="auto"/>
              <w:jc w:val="right"/>
              <w:rPr>
                <w:rFonts w:eastAsia="Times New Roman" w:cs="Arial"/>
                <w:b/>
                <w:bCs/>
                <w:sz w:val="18"/>
                <w:szCs w:val="18"/>
                <w:lang w:val="es-ES" w:eastAsia="en-US"/>
              </w:rPr>
            </w:pPr>
            <w:r>
              <w:rPr>
                <w:rFonts w:cs="Arial"/>
                <w:b/>
                <w:bCs/>
                <w:color w:val="000000"/>
                <w:sz w:val="18"/>
                <w:szCs w:val="18"/>
                <w:lang w:val="es-ES" w:eastAsia="en-US"/>
              </w:rPr>
              <w:t>440,636,135</w:t>
            </w:r>
          </w:p>
        </w:tc>
        <w:tc>
          <w:tcPr>
            <w:tcW w:w="1276" w:type="dxa"/>
            <w:tcBorders>
              <w:top w:val="nil"/>
              <w:left w:val="nil"/>
              <w:bottom w:val="single" w:sz="4" w:space="0" w:color="auto"/>
              <w:right w:val="single" w:sz="4" w:space="0" w:color="auto"/>
            </w:tcBorders>
            <w:noWrap/>
            <w:vAlign w:val="center"/>
            <w:hideMark/>
          </w:tcPr>
          <w:p w14:paraId="61E52F58" w14:textId="77777777" w:rsidR="00BF5974" w:rsidRDefault="00BF5974">
            <w:pPr>
              <w:spacing w:line="256" w:lineRule="auto"/>
              <w:jc w:val="right"/>
              <w:rPr>
                <w:rFonts w:eastAsia="Times New Roman" w:cs="Arial"/>
                <w:b/>
                <w:bCs/>
                <w:sz w:val="18"/>
                <w:szCs w:val="18"/>
                <w:lang w:val="es-ES" w:eastAsia="en-US"/>
              </w:rPr>
            </w:pPr>
            <w:r>
              <w:rPr>
                <w:rFonts w:cs="Arial"/>
                <w:b/>
                <w:bCs/>
                <w:color w:val="000000"/>
                <w:sz w:val="18"/>
                <w:szCs w:val="18"/>
                <w:lang w:val="es-ES" w:eastAsia="en-US"/>
              </w:rPr>
              <w:t>763,410,415</w:t>
            </w:r>
          </w:p>
        </w:tc>
      </w:tr>
    </w:tbl>
    <w:p w14:paraId="7422F148" w14:textId="77777777" w:rsidR="00BF5974" w:rsidRDefault="00BF5974" w:rsidP="00BF5974">
      <w:pPr>
        <w:keepNext/>
        <w:keepLines/>
        <w:outlineLvl w:val="2"/>
        <w:rPr>
          <w:rFonts w:eastAsia="Times New Roman" w:cs="Arial"/>
          <w:b/>
          <w:szCs w:val="24"/>
          <w:lang w:val="es-ES" w:eastAsia="en-US"/>
        </w:rPr>
      </w:pP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
        <w:gridCol w:w="851"/>
        <w:gridCol w:w="709"/>
        <w:gridCol w:w="993"/>
        <w:gridCol w:w="852"/>
        <w:gridCol w:w="1276"/>
        <w:gridCol w:w="852"/>
        <w:gridCol w:w="851"/>
        <w:gridCol w:w="852"/>
        <w:gridCol w:w="709"/>
        <w:gridCol w:w="111"/>
      </w:tblGrid>
      <w:tr w:rsidR="00BF5974" w14:paraId="2B0E66D3" w14:textId="77777777" w:rsidTr="00BF5974">
        <w:trPr>
          <w:gridAfter w:val="1"/>
          <w:wAfter w:w="111" w:type="dxa"/>
          <w:trHeight w:val="20"/>
          <w:tblHeader/>
          <w:jc w:val="center"/>
        </w:trPr>
        <w:tc>
          <w:tcPr>
            <w:tcW w:w="9498" w:type="dxa"/>
            <w:gridSpan w:val="11"/>
            <w:tcBorders>
              <w:top w:val="nil"/>
              <w:left w:val="nil"/>
              <w:bottom w:val="nil"/>
              <w:right w:val="nil"/>
            </w:tcBorders>
            <w:vAlign w:val="center"/>
            <w:hideMark/>
          </w:tcPr>
          <w:p w14:paraId="7B8F3F87" w14:textId="77777777" w:rsidR="00BF5974" w:rsidRDefault="00BF5974">
            <w:pPr>
              <w:spacing w:line="256" w:lineRule="auto"/>
              <w:jc w:val="center"/>
              <w:rPr>
                <w:rFonts w:eastAsia="Times New Roman" w:cs="Arial"/>
                <w:b/>
                <w:sz w:val="20"/>
                <w:lang w:val="es-ES" w:eastAsia="en-US"/>
              </w:rPr>
            </w:pPr>
            <w:r>
              <w:rPr>
                <w:rFonts w:eastAsia="Times New Roman" w:cs="Arial"/>
                <w:b/>
                <w:sz w:val="20"/>
                <w:lang w:val="es-ES" w:eastAsia="en-US"/>
              </w:rPr>
              <w:t>Tabla 39. Composición de la Deuda Pública (Directa) de Largo Plazo</w:t>
            </w:r>
          </w:p>
          <w:p w14:paraId="41851F4B" w14:textId="77777777" w:rsidR="00BF5974" w:rsidRDefault="00BF5974">
            <w:pPr>
              <w:spacing w:line="256" w:lineRule="auto"/>
              <w:jc w:val="center"/>
              <w:rPr>
                <w:rFonts w:cs="Arial"/>
                <w:b/>
                <w:sz w:val="20"/>
                <w:lang w:val="es-ES" w:eastAsia="en-US"/>
              </w:rPr>
            </w:pPr>
            <w:r>
              <w:rPr>
                <w:rFonts w:eastAsia="Times New Roman" w:cs="Arial"/>
                <w:b/>
                <w:sz w:val="20"/>
                <w:lang w:val="es-ES" w:eastAsia="en-US"/>
              </w:rPr>
              <w:t>(Criterio IMCO)</w:t>
            </w:r>
          </w:p>
        </w:tc>
      </w:tr>
      <w:tr w:rsidR="00BF5974" w14:paraId="0FD4AC50" w14:textId="77777777" w:rsidTr="00BF5974">
        <w:trPr>
          <w:trHeight w:val="20"/>
          <w:jc w:val="center"/>
        </w:trPr>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8B79AD"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Número de Crédito</w:t>
            </w:r>
          </w:p>
        </w:tc>
        <w:tc>
          <w:tcPr>
            <w:tcW w:w="709"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14:paraId="1BC7D790" w14:textId="77777777" w:rsidR="00BF5974" w:rsidRDefault="00BF5974">
            <w:pPr>
              <w:spacing w:line="256" w:lineRule="auto"/>
              <w:jc w:val="center"/>
              <w:rPr>
                <w:rFonts w:eastAsia="Times New Roman" w:cs="Arial"/>
                <w:b/>
                <w:bCs/>
                <w:sz w:val="10"/>
                <w:szCs w:val="12"/>
                <w:lang w:val="es-ES" w:eastAsia="en-US"/>
              </w:rPr>
            </w:pPr>
            <w:r>
              <w:rPr>
                <w:rFonts w:eastAsia="Times New Roman" w:cs="Arial"/>
                <w:b/>
                <w:bCs/>
                <w:sz w:val="10"/>
                <w:szCs w:val="12"/>
                <w:lang w:val="es-ES" w:eastAsia="en-US"/>
              </w:rPr>
              <w:t>Fecha de Suscripción</w:t>
            </w:r>
          </w:p>
        </w:tc>
        <w:tc>
          <w:tcPr>
            <w:tcW w:w="850"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14:paraId="5CA57080"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Tipo de Instrumento</w:t>
            </w:r>
          </w:p>
        </w:tc>
        <w:tc>
          <w:tcPr>
            <w:tcW w:w="709"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14:paraId="51D9B963" w14:textId="77777777" w:rsidR="00BF5974" w:rsidRDefault="00BF5974">
            <w:pPr>
              <w:spacing w:line="256" w:lineRule="auto"/>
              <w:jc w:val="center"/>
              <w:rPr>
                <w:rFonts w:eastAsia="Times New Roman" w:cs="Arial"/>
                <w:b/>
                <w:bCs/>
                <w:sz w:val="10"/>
                <w:szCs w:val="12"/>
                <w:lang w:val="es-ES" w:eastAsia="en-US"/>
              </w:rPr>
            </w:pPr>
            <w:r>
              <w:rPr>
                <w:rFonts w:eastAsia="Times New Roman" w:cs="Arial"/>
                <w:b/>
                <w:bCs/>
                <w:sz w:val="10"/>
                <w:szCs w:val="12"/>
                <w:lang w:val="es-ES" w:eastAsia="en-US"/>
              </w:rPr>
              <w:t>Institución Bancaria</w:t>
            </w:r>
          </w:p>
        </w:tc>
        <w:tc>
          <w:tcPr>
            <w:tcW w:w="992"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14:paraId="28A9F178"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Fuente de Garantía de Pago</w:t>
            </w:r>
          </w:p>
        </w:tc>
        <w:tc>
          <w:tcPr>
            <w:tcW w:w="851"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14:paraId="1AA14EA8" w14:textId="77777777" w:rsidR="00BF5974" w:rsidRDefault="00BF5974">
            <w:pPr>
              <w:spacing w:line="256" w:lineRule="auto"/>
              <w:jc w:val="center"/>
              <w:rPr>
                <w:rFonts w:eastAsia="Times New Roman" w:cs="Arial"/>
                <w:b/>
                <w:bCs/>
                <w:sz w:val="10"/>
                <w:szCs w:val="12"/>
                <w:lang w:val="es-ES" w:eastAsia="en-US"/>
              </w:rPr>
            </w:pPr>
            <w:r>
              <w:rPr>
                <w:rFonts w:eastAsia="Times New Roman" w:cs="Arial"/>
                <w:b/>
                <w:bCs/>
                <w:sz w:val="10"/>
                <w:szCs w:val="12"/>
                <w:lang w:val="es-ES" w:eastAsia="en-US"/>
              </w:rPr>
              <w:t>Fecha de Vencimiento</w:t>
            </w:r>
          </w:p>
        </w:tc>
        <w:tc>
          <w:tcPr>
            <w:tcW w:w="1275"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14:paraId="39533024"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Destino</w:t>
            </w:r>
          </w:p>
        </w:tc>
        <w:tc>
          <w:tcPr>
            <w:tcW w:w="851"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14:paraId="476A95E4"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Tasa de Interés Contratada</w:t>
            </w:r>
          </w:p>
        </w:tc>
        <w:tc>
          <w:tcPr>
            <w:tcW w:w="850"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14:paraId="5F052A3C" w14:textId="77777777" w:rsidR="00BF5974" w:rsidRDefault="00BF5974">
            <w:pPr>
              <w:spacing w:line="256" w:lineRule="auto"/>
              <w:jc w:val="center"/>
              <w:rPr>
                <w:rFonts w:eastAsia="Times New Roman" w:cs="Arial"/>
                <w:b/>
                <w:bCs/>
                <w:sz w:val="10"/>
                <w:szCs w:val="12"/>
                <w:lang w:val="es-ES" w:eastAsia="en-US"/>
              </w:rPr>
            </w:pPr>
            <w:r>
              <w:rPr>
                <w:rFonts w:eastAsia="Times New Roman" w:cs="Arial"/>
                <w:b/>
                <w:bCs/>
                <w:sz w:val="10"/>
                <w:szCs w:val="12"/>
                <w:lang w:val="es-ES" w:eastAsia="en-US"/>
              </w:rPr>
              <w:t>Amortización</w:t>
            </w:r>
          </w:p>
        </w:tc>
        <w:tc>
          <w:tcPr>
            <w:tcW w:w="851"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14:paraId="64323AE7"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Interés</w:t>
            </w:r>
          </w:p>
        </w:tc>
        <w:tc>
          <w:tcPr>
            <w:tcW w:w="820" w:type="dxa"/>
            <w:gridSpan w:val="2"/>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14:paraId="760A9A77"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Total</w:t>
            </w:r>
          </w:p>
        </w:tc>
      </w:tr>
      <w:tr w:rsidR="00BF5974" w14:paraId="615E1901" w14:textId="77777777" w:rsidTr="00BF5974">
        <w:trPr>
          <w:trHeight w:val="20"/>
          <w:jc w:val="center"/>
        </w:trPr>
        <w:tc>
          <w:tcPr>
            <w:tcW w:w="851"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CE32DE2" w14:textId="77777777" w:rsidR="00BF5974" w:rsidRDefault="00BF5974">
            <w:pPr>
              <w:spacing w:line="256" w:lineRule="auto"/>
              <w:jc w:val="center"/>
              <w:rPr>
                <w:rFonts w:eastAsia="Times New Roman" w:cs="Arial"/>
                <w:sz w:val="12"/>
                <w:szCs w:val="12"/>
                <w:highlight w:val="yellow"/>
                <w:lang w:val="es-ES" w:eastAsia="en-US"/>
              </w:rPr>
            </w:pPr>
            <w:r>
              <w:rPr>
                <w:rFonts w:cs="Arial"/>
                <w:sz w:val="12"/>
                <w:szCs w:val="12"/>
                <w:lang w:val="es-ES" w:eastAsia="en-US"/>
              </w:rPr>
              <w:t>7225-7226</w:t>
            </w:r>
          </w:p>
        </w:tc>
        <w:tc>
          <w:tcPr>
            <w:tcW w:w="709"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6264397A"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jun-08</w:t>
            </w:r>
          </w:p>
        </w:tc>
        <w:tc>
          <w:tcPr>
            <w:tcW w:w="85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39FDD942"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Simple</w:t>
            </w:r>
          </w:p>
        </w:tc>
        <w:tc>
          <w:tcPr>
            <w:tcW w:w="709"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5A848DF2"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Banobras</w:t>
            </w:r>
          </w:p>
        </w:tc>
        <w:tc>
          <w:tcPr>
            <w:tcW w:w="992"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2A465601"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Participaciones</w:t>
            </w:r>
          </w:p>
        </w:tc>
        <w:tc>
          <w:tcPr>
            <w:tcW w:w="851"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675E3D14"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mar-33</w:t>
            </w:r>
          </w:p>
        </w:tc>
        <w:tc>
          <w:tcPr>
            <w:tcW w:w="1275"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255A0481" w14:textId="77777777" w:rsidR="00BF5974" w:rsidRDefault="00BF5974">
            <w:pPr>
              <w:spacing w:line="256" w:lineRule="auto"/>
              <w:jc w:val="center"/>
              <w:rPr>
                <w:rFonts w:eastAsia="Times New Roman" w:cs="Arial"/>
                <w:sz w:val="12"/>
                <w:szCs w:val="12"/>
                <w:lang w:val="es-ES" w:eastAsia="en-US"/>
              </w:rPr>
            </w:pPr>
            <w:proofErr w:type="spellStart"/>
            <w:r>
              <w:rPr>
                <w:rFonts w:cs="Arial"/>
                <w:sz w:val="12"/>
                <w:szCs w:val="12"/>
                <w:lang w:val="es-ES" w:eastAsia="en-US"/>
              </w:rPr>
              <w:t>Refin</w:t>
            </w:r>
            <w:proofErr w:type="spellEnd"/>
            <w:r>
              <w:rPr>
                <w:rFonts w:cs="Arial"/>
                <w:sz w:val="12"/>
                <w:szCs w:val="12"/>
                <w:lang w:val="es-ES" w:eastAsia="en-US"/>
              </w:rPr>
              <w:t xml:space="preserve"> e </w:t>
            </w:r>
            <w:proofErr w:type="spellStart"/>
            <w:r>
              <w:rPr>
                <w:rFonts w:cs="Arial"/>
                <w:sz w:val="12"/>
                <w:szCs w:val="12"/>
                <w:lang w:val="es-ES" w:eastAsia="en-US"/>
              </w:rPr>
              <w:t>Inv.Pub</w:t>
            </w:r>
            <w:proofErr w:type="spellEnd"/>
            <w:r>
              <w:rPr>
                <w:rFonts w:cs="Arial"/>
                <w:sz w:val="12"/>
                <w:szCs w:val="12"/>
                <w:lang w:val="es-ES" w:eastAsia="en-US"/>
              </w:rPr>
              <w:t xml:space="preserve"> </w:t>
            </w:r>
            <w:proofErr w:type="spellStart"/>
            <w:r>
              <w:rPr>
                <w:rFonts w:cs="Arial"/>
                <w:sz w:val="12"/>
                <w:szCs w:val="12"/>
                <w:lang w:val="es-ES" w:eastAsia="en-US"/>
              </w:rPr>
              <w:t>Prod</w:t>
            </w:r>
            <w:proofErr w:type="spellEnd"/>
            <w:r>
              <w:rPr>
                <w:rFonts w:cs="Arial"/>
                <w:sz w:val="12"/>
                <w:szCs w:val="12"/>
                <w:lang w:val="es-ES" w:eastAsia="en-US"/>
              </w:rPr>
              <w:t>.</w:t>
            </w:r>
          </w:p>
        </w:tc>
        <w:tc>
          <w:tcPr>
            <w:tcW w:w="851"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096B9358"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TIIE+ 0.27%</w:t>
            </w:r>
          </w:p>
        </w:tc>
        <w:tc>
          <w:tcPr>
            <w:tcW w:w="85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F005F92" w14:textId="77777777" w:rsidR="00BF5974" w:rsidRDefault="00BF5974">
            <w:pPr>
              <w:spacing w:line="256" w:lineRule="auto"/>
              <w:jc w:val="right"/>
              <w:rPr>
                <w:rFonts w:eastAsia="Times New Roman" w:cs="Arial"/>
                <w:sz w:val="12"/>
                <w:szCs w:val="12"/>
                <w:lang w:val="es-ES" w:eastAsia="en-US"/>
              </w:rPr>
            </w:pPr>
            <w:r>
              <w:rPr>
                <w:rFonts w:cs="Arial"/>
                <w:color w:val="000000"/>
                <w:sz w:val="12"/>
                <w:szCs w:val="12"/>
                <w:lang w:val="es-ES" w:eastAsia="en-US"/>
              </w:rPr>
              <w:t>25,108,313</w:t>
            </w:r>
          </w:p>
        </w:tc>
        <w:tc>
          <w:tcPr>
            <w:tcW w:w="851"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4C5F649E" w14:textId="77777777" w:rsidR="00BF5974" w:rsidRDefault="00BF5974">
            <w:pPr>
              <w:spacing w:line="256" w:lineRule="auto"/>
              <w:jc w:val="right"/>
              <w:rPr>
                <w:rFonts w:eastAsia="Times New Roman" w:cs="Arial"/>
                <w:sz w:val="12"/>
                <w:szCs w:val="12"/>
                <w:lang w:val="es-ES" w:eastAsia="en-US"/>
              </w:rPr>
            </w:pPr>
            <w:r>
              <w:rPr>
                <w:rFonts w:cs="Arial"/>
                <w:color w:val="000000"/>
                <w:sz w:val="12"/>
                <w:szCs w:val="12"/>
                <w:lang w:val="es-ES" w:eastAsia="en-US"/>
              </w:rPr>
              <w:t>32,291,452</w:t>
            </w:r>
          </w:p>
        </w:tc>
        <w:tc>
          <w:tcPr>
            <w:tcW w:w="820" w:type="dxa"/>
            <w:gridSpan w:val="2"/>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02A3CF8D" w14:textId="77777777" w:rsidR="00BF5974" w:rsidRDefault="00BF5974">
            <w:pPr>
              <w:spacing w:line="256" w:lineRule="auto"/>
              <w:jc w:val="right"/>
              <w:rPr>
                <w:rFonts w:eastAsia="Times New Roman" w:cs="Arial"/>
                <w:sz w:val="12"/>
                <w:szCs w:val="12"/>
                <w:lang w:val="es-ES" w:eastAsia="en-US"/>
              </w:rPr>
            </w:pPr>
            <w:r>
              <w:rPr>
                <w:rFonts w:cs="Arial"/>
                <w:color w:val="000000"/>
                <w:sz w:val="12"/>
                <w:szCs w:val="12"/>
                <w:lang w:val="es-ES" w:eastAsia="en-US"/>
              </w:rPr>
              <w:t>57,399,765</w:t>
            </w:r>
          </w:p>
        </w:tc>
      </w:tr>
      <w:tr w:rsidR="00BF5974" w14:paraId="7126F8F4" w14:textId="77777777" w:rsidTr="00BF5974">
        <w:trPr>
          <w:trHeight w:val="20"/>
          <w:jc w:val="center"/>
        </w:trPr>
        <w:tc>
          <w:tcPr>
            <w:tcW w:w="851"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1F231D3" w14:textId="77777777" w:rsidR="00BF5974" w:rsidRDefault="00BF5974">
            <w:pPr>
              <w:spacing w:line="256" w:lineRule="auto"/>
              <w:jc w:val="center"/>
              <w:rPr>
                <w:rFonts w:eastAsia="Times New Roman" w:cs="Arial"/>
                <w:sz w:val="12"/>
                <w:szCs w:val="12"/>
                <w:highlight w:val="yellow"/>
                <w:lang w:val="es-ES" w:eastAsia="en-US"/>
              </w:rPr>
            </w:pPr>
            <w:r>
              <w:rPr>
                <w:rFonts w:cs="Arial"/>
                <w:sz w:val="12"/>
                <w:szCs w:val="12"/>
                <w:lang w:val="es-ES" w:eastAsia="en-US"/>
              </w:rPr>
              <w:t>13451</w:t>
            </w:r>
          </w:p>
        </w:tc>
        <w:tc>
          <w:tcPr>
            <w:tcW w:w="709"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36E6329"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nov-18</w:t>
            </w:r>
          </w:p>
        </w:tc>
        <w:tc>
          <w:tcPr>
            <w:tcW w:w="85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6CDF114E"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Simple</w:t>
            </w:r>
          </w:p>
        </w:tc>
        <w:tc>
          <w:tcPr>
            <w:tcW w:w="709"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44A7CF74"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Banobras</w:t>
            </w:r>
          </w:p>
        </w:tc>
        <w:tc>
          <w:tcPr>
            <w:tcW w:w="992"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4CE6131"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Participaciones</w:t>
            </w:r>
          </w:p>
        </w:tc>
        <w:tc>
          <w:tcPr>
            <w:tcW w:w="851"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2C737CA7"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dic-38</w:t>
            </w:r>
          </w:p>
        </w:tc>
        <w:tc>
          <w:tcPr>
            <w:tcW w:w="1275"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6581E337"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 xml:space="preserve">Inv. Pub. </w:t>
            </w:r>
            <w:proofErr w:type="spellStart"/>
            <w:r>
              <w:rPr>
                <w:rFonts w:cs="Arial"/>
                <w:sz w:val="12"/>
                <w:szCs w:val="12"/>
                <w:lang w:val="es-ES" w:eastAsia="en-US"/>
              </w:rPr>
              <w:t>Poductiva</w:t>
            </w:r>
            <w:proofErr w:type="spellEnd"/>
          </w:p>
        </w:tc>
        <w:tc>
          <w:tcPr>
            <w:tcW w:w="851"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42F698EF"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TIIE+0.50%</w:t>
            </w:r>
          </w:p>
        </w:tc>
        <w:tc>
          <w:tcPr>
            <w:tcW w:w="85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0955EE81" w14:textId="77777777" w:rsidR="00BF5974" w:rsidRDefault="00BF5974">
            <w:pPr>
              <w:spacing w:line="256" w:lineRule="auto"/>
              <w:jc w:val="right"/>
              <w:rPr>
                <w:rFonts w:cs="Arial"/>
                <w:sz w:val="12"/>
                <w:szCs w:val="12"/>
                <w:lang w:val="es-ES" w:eastAsia="en-US"/>
              </w:rPr>
            </w:pPr>
            <w:r>
              <w:rPr>
                <w:rFonts w:cs="Arial"/>
                <w:color w:val="000000"/>
                <w:sz w:val="12"/>
                <w:szCs w:val="12"/>
                <w:lang w:val="es-ES" w:eastAsia="en-US"/>
              </w:rPr>
              <w:t>10,660,264</w:t>
            </w:r>
          </w:p>
        </w:tc>
        <w:tc>
          <w:tcPr>
            <w:tcW w:w="851"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40AB90FF" w14:textId="77777777" w:rsidR="00BF5974" w:rsidRDefault="00BF5974">
            <w:pPr>
              <w:spacing w:line="256" w:lineRule="auto"/>
              <w:jc w:val="right"/>
              <w:rPr>
                <w:rFonts w:cs="Arial"/>
                <w:sz w:val="12"/>
                <w:szCs w:val="12"/>
                <w:lang w:val="es-ES" w:eastAsia="en-US"/>
              </w:rPr>
            </w:pPr>
            <w:r>
              <w:rPr>
                <w:rFonts w:cs="Arial"/>
                <w:color w:val="000000"/>
                <w:sz w:val="12"/>
                <w:szCs w:val="12"/>
                <w:lang w:val="es-ES" w:eastAsia="en-US"/>
              </w:rPr>
              <w:t>44,614,625</w:t>
            </w:r>
          </w:p>
        </w:tc>
        <w:tc>
          <w:tcPr>
            <w:tcW w:w="820" w:type="dxa"/>
            <w:gridSpan w:val="2"/>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10E66114" w14:textId="77777777" w:rsidR="00BF5974" w:rsidRDefault="00BF5974">
            <w:pPr>
              <w:spacing w:line="256" w:lineRule="auto"/>
              <w:jc w:val="right"/>
              <w:rPr>
                <w:rFonts w:cs="Arial"/>
                <w:sz w:val="12"/>
                <w:szCs w:val="12"/>
                <w:lang w:val="es-ES" w:eastAsia="en-US"/>
              </w:rPr>
            </w:pPr>
            <w:r>
              <w:rPr>
                <w:rFonts w:cs="Arial"/>
                <w:color w:val="000000"/>
                <w:sz w:val="12"/>
                <w:szCs w:val="12"/>
                <w:lang w:val="es-ES" w:eastAsia="en-US"/>
              </w:rPr>
              <w:t>55,274,889</w:t>
            </w:r>
          </w:p>
        </w:tc>
      </w:tr>
      <w:tr w:rsidR="00BF5974" w14:paraId="3577F387" w14:textId="77777777" w:rsidTr="00BF5974">
        <w:trPr>
          <w:trHeight w:val="20"/>
          <w:jc w:val="center"/>
        </w:trPr>
        <w:tc>
          <w:tcPr>
            <w:tcW w:w="85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F29ADC9" w14:textId="77777777" w:rsidR="00BF5974" w:rsidRPr="00F07AB7" w:rsidRDefault="00BF5974">
            <w:pPr>
              <w:spacing w:line="256" w:lineRule="auto"/>
              <w:jc w:val="center"/>
              <w:rPr>
                <w:rFonts w:eastAsia="Times New Roman" w:cs="Arial"/>
                <w:sz w:val="12"/>
                <w:szCs w:val="12"/>
                <w:lang w:val="es-ES" w:eastAsia="en-US"/>
              </w:rPr>
            </w:pPr>
            <w:r w:rsidRPr="00F07AB7">
              <w:rPr>
                <w:rFonts w:cs="Arial"/>
                <w:sz w:val="12"/>
                <w:szCs w:val="12"/>
                <w:lang w:val="es-ES" w:eastAsia="en-US"/>
              </w:rPr>
              <w:t>15211</w:t>
            </w:r>
          </w:p>
        </w:tc>
        <w:tc>
          <w:tcPr>
            <w:tcW w:w="709"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7CFCEFAD" w14:textId="77777777" w:rsidR="00BF5974" w:rsidRPr="00F07AB7" w:rsidRDefault="00BF5974">
            <w:pPr>
              <w:spacing w:line="256" w:lineRule="auto"/>
              <w:jc w:val="center"/>
              <w:rPr>
                <w:rFonts w:eastAsia="Times New Roman" w:cs="Arial"/>
                <w:sz w:val="12"/>
                <w:szCs w:val="12"/>
                <w:lang w:val="es-ES" w:eastAsia="en-US"/>
              </w:rPr>
            </w:pPr>
            <w:r w:rsidRPr="00F07AB7">
              <w:rPr>
                <w:rFonts w:cs="Arial"/>
                <w:sz w:val="12"/>
                <w:szCs w:val="12"/>
                <w:lang w:val="es-ES" w:eastAsia="en-US"/>
              </w:rPr>
              <w:t>ago-23</w:t>
            </w:r>
          </w:p>
        </w:tc>
        <w:tc>
          <w:tcPr>
            <w:tcW w:w="850"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0E83C333" w14:textId="77777777" w:rsidR="00BF5974" w:rsidRPr="00F07AB7" w:rsidRDefault="00BF5974">
            <w:pPr>
              <w:spacing w:line="256" w:lineRule="auto"/>
              <w:jc w:val="center"/>
              <w:rPr>
                <w:rFonts w:eastAsia="Times New Roman" w:cs="Arial"/>
                <w:sz w:val="12"/>
                <w:szCs w:val="12"/>
                <w:lang w:val="es-ES" w:eastAsia="en-US"/>
              </w:rPr>
            </w:pPr>
            <w:r w:rsidRPr="00F07AB7">
              <w:rPr>
                <w:rFonts w:cs="Arial"/>
                <w:sz w:val="12"/>
                <w:szCs w:val="12"/>
                <w:lang w:val="es-ES" w:eastAsia="en-US"/>
              </w:rPr>
              <w:t>Simple</w:t>
            </w:r>
          </w:p>
        </w:tc>
        <w:tc>
          <w:tcPr>
            <w:tcW w:w="709"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6FE43F09" w14:textId="77777777" w:rsidR="00BF5974" w:rsidRPr="00F07AB7" w:rsidRDefault="00BF5974">
            <w:pPr>
              <w:spacing w:line="256" w:lineRule="auto"/>
              <w:jc w:val="center"/>
              <w:rPr>
                <w:rFonts w:eastAsia="Times New Roman" w:cs="Arial"/>
                <w:sz w:val="12"/>
                <w:szCs w:val="12"/>
                <w:lang w:val="es-ES" w:eastAsia="en-US"/>
              </w:rPr>
            </w:pPr>
            <w:r w:rsidRPr="00F07AB7">
              <w:rPr>
                <w:rFonts w:cs="Arial"/>
                <w:sz w:val="12"/>
                <w:szCs w:val="12"/>
                <w:lang w:val="es-ES" w:eastAsia="en-US"/>
              </w:rPr>
              <w:t>Banobras</w:t>
            </w:r>
          </w:p>
        </w:tc>
        <w:tc>
          <w:tcPr>
            <w:tcW w:w="992"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22532F5D" w14:textId="77777777" w:rsidR="00BF5974" w:rsidRPr="00F07AB7" w:rsidRDefault="00BF5974">
            <w:pPr>
              <w:spacing w:line="256" w:lineRule="auto"/>
              <w:jc w:val="center"/>
              <w:rPr>
                <w:rFonts w:eastAsia="Times New Roman" w:cs="Arial"/>
                <w:sz w:val="12"/>
                <w:szCs w:val="12"/>
                <w:lang w:val="es-ES" w:eastAsia="en-US"/>
              </w:rPr>
            </w:pPr>
            <w:r w:rsidRPr="00F07AB7">
              <w:rPr>
                <w:rFonts w:cs="Arial"/>
                <w:sz w:val="12"/>
                <w:szCs w:val="12"/>
                <w:lang w:val="es-ES" w:eastAsia="en-US"/>
              </w:rPr>
              <w:t>Aportaciones</w:t>
            </w:r>
          </w:p>
        </w:tc>
        <w:tc>
          <w:tcPr>
            <w:tcW w:w="851"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6C4CB642" w14:textId="77777777" w:rsidR="00BF5974" w:rsidRPr="00F07AB7" w:rsidRDefault="00BF5974">
            <w:pPr>
              <w:spacing w:line="256" w:lineRule="auto"/>
              <w:jc w:val="center"/>
              <w:rPr>
                <w:rFonts w:eastAsia="Times New Roman" w:cs="Arial"/>
                <w:sz w:val="12"/>
                <w:szCs w:val="12"/>
                <w:lang w:val="es-ES" w:eastAsia="en-US"/>
              </w:rPr>
            </w:pPr>
            <w:r w:rsidRPr="00F07AB7">
              <w:rPr>
                <w:rFonts w:cs="Arial"/>
                <w:sz w:val="12"/>
                <w:szCs w:val="12"/>
                <w:lang w:val="es-ES" w:eastAsia="en-US"/>
              </w:rPr>
              <w:t>oct-27</w:t>
            </w:r>
          </w:p>
        </w:tc>
        <w:tc>
          <w:tcPr>
            <w:tcW w:w="1275"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55F8FA03" w14:textId="77777777" w:rsidR="00BF5974" w:rsidRPr="00F07AB7" w:rsidRDefault="00BF5974">
            <w:pPr>
              <w:spacing w:line="256" w:lineRule="auto"/>
              <w:jc w:val="center"/>
              <w:rPr>
                <w:rFonts w:eastAsia="Times New Roman" w:cs="Arial"/>
                <w:sz w:val="12"/>
                <w:szCs w:val="12"/>
                <w:lang w:val="es-ES" w:eastAsia="en-US"/>
              </w:rPr>
            </w:pPr>
            <w:r w:rsidRPr="00F07AB7">
              <w:rPr>
                <w:rFonts w:cs="Arial"/>
                <w:sz w:val="12"/>
                <w:szCs w:val="12"/>
                <w:lang w:val="es-ES" w:eastAsia="en-US"/>
              </w:rPr>
              <w:t xml:space="preserve">Inv. Pub. </w:t>
            </w:r>
            <w:proofErr w:type="spellStart"/>
            <w:r w:rsidRPr="00F07AB7">
              <w:rPr>
                <w:rFonts w:cs="Arial"/>
                <w:sz w:val="12"/>
                <w:szCs w:val="12"/>
                <w:lang w:val="es-ES" w:eastAsia="en-US"/>
              </w:rPr>
              <w:t>Poductiva</w:t>
            </w:r>
            <w:proofErr w:type="spellEnd"/>
          </w:p>
        </w:tc>
        <w:tc>
          <w:tcPr>
            <w:tcW w:w="851"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4B9C1EA1" w14:textId="77777777" w:rsidR="00BF5974" w:rsidRPr="00F07AB7" w:rsidRDefault="00BF5974">
            <w:pPr>
              <w:spacing w:line="256" w:lineRule="auto"/>
              <w:jc w:val="center"/>
              <w:rPr>
                <w:rFonts w:eastAsia="Times New Roman" w:cs="Arial"/>
                <w:sz w:val="12"/>
                <w:szCs w:val="12"/>
                <w:lang w:val="es-ES" w:eastAsia="en-US"/>
              </w:rPr>
            </w:pPr>
            <w:r w:rsidRPr="00F07AB7">
              <w:rPr>
                <w:rFonts w:cs="Arial"/>
                <w:sz w:val="12"/>
                <w:szCs w:val="12"/>
                <w:lang w:val="es-ES" w:eastAsia="en-US"/>
              </w:rPr>
              <w:t>Fija 11.07%</w:t>
            </w:r>
          </w:p>
        </w:tc>
        <w:tc>
          <w:tcPr>
            <w:tcW w:w="850"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3F4FE2A7" w14:textId="77777777" w:rsidR="00BF5974" w:rsidRPr="00F07AB7" w:rsidRDefault="00BF5974">
            <w:pPr>
              <w:spacing w:line="256" w:lineRule="auto"/>
              <w:jc w:val="right"/>
              <w:rPr>
                <w:rFonts w:cs="Arial"/>
                <w:sz w:val="12"/>
                <w:szCs w:val="12"/>
                <w:lang w:val="es-ES" w:eastAsia="en-US"/>
              </w:rPr>
            </w:pPr>
            <w:r w:rsidRPr="00F07AB7">
              <w:rPr>
                <w:rFonts w:cs="Arial"/>
                <w:color w:val="000000"/>
                <w:sz w:val="12"/>
                <w:szCs w:val="12"/>
                <w:lang w:val="es-ES" w:eastAsia="en-US"/>
              </w:rPr>
              <w:t>12,430,690</w:t>
            </w:r>
          </w:p>
        </w:tc>
        <w:tc>
          <w:tcPr>
            <w:tcW w:w="851"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76B6E42D" w14:textId="77777777" w:rsidR="00BF5974" w:rsidRPr="00F07AB7" w:rsidRDefault="00BF5974">
            <w:pPr>
              <w:spacing w:line="256" w:lineRule="auto"/>
              <w:jc w:val="right"/>
              <w:rPr>
                <w:rFonts w:cs="Arial"/>
                <w:sz w:val="12"/>
                <w:szCs w:val="12"/>
                <w:lang w:val="es-ES" w:eastAsia="en-US"/>
              </w:rPr>
            </w:pPr>
            <w:r w:rsidRPr="00F07AB7">
              <w:rPr>
                <w:rFonts w:cs="Arial"/>
                <w:color w:val="000000"/>
                <w:sz w:val="12"/>
                <w:szCs w:val="12"/>
                <w:lang w:val="es-ES" w:eastAsia="en-US"/>
              </w:rPr>
              <w:t>4,053,790</w:t>
            </w:r>
          </w:p>
        </w:tc>
        <w:tc>
          <w:tcPr>
            <w:tcW w:w="820" w:type="dxa"/>
            <w:gridSpan w:val="2"/>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615C8570" w14:textId="77777777" w:rsidR="00BF5974" w:rsidRPr="00F07AB7" w:rsidRDefault="00BF5974">
            <w:pPr>
              <w:spacing w:line="256" w:lineRule="auto"/>
              <w:jc w:val="right"/>
              <w:rPr>
                <w:rFonts w:cs="Arial"/>
                <w:sz w:val="12"/>
                <w:szCs w:val="12"/>
                <w:lang w:val="es-ES" w:eastAsia="en-US"/>
              </w:rPr>
            </w:pPr>
            <w:r w:rsidRPr="00F07AB7">
              <w:rPr>
                <w:rFonts w:cs="Arial"/>
                <w:color w:val="000000"/>
                <w:sz w:val="12"/>
                <w:szCs w:val="12"/>
                <w:lang w:val="es-ES" w:eastAsia="en-US"/>
              </w:rPr>
              <w:t>16,484,480</w:t>
            </w:r>
          </w:p>
        </w:tc>
      </w:tr>
      <w:tr w:rsidR="00BF5974" w14:paraId="1D06E16F" w14:textId="77777777" w:rsidTr="00BF5974">
        <w:trPr>
          <w:trHeight w:val="20"/>
          <w:jc w:val="center"/>
        </w:trPr>
        <w:tc>
          <w:tcPr>
            <w:tcW w:w="85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5C653B7"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16163782</w:t>
            </w:r>
          </w:p>
        </w:tc>
        <w:tc>
          <w:tcPr>
            <w:tcW w:w="709"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34866CDF"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nov-23</w:t>
            </w:r>
          </w:p>
        </w:tc>
        <w:tc>
          <w:tcPr>
            <w:tcW w:w="850"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240B753D"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Simple</w:t>
            </w:r>
          </w:p>
        </w:tc>
        <w:tc>
          <w:tcPr>
            <w:tcW w:w="709"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669D70E9"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Banco del Bajío</w:t>
            </w:r>
          </w:p>
        </w:tc>
        <w:tc>
          <w:tcPr>
            <w:tcW w:w="992"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41018CFC"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Participaciones</w:t>
            </w:r>
          </w:p>
        </w:tc>
        <w:tc>
          <w:tcPr>
            <w:tcW w:w="851"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738A806D"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abr-44</w:t>
            </w:r>
          </w:p>
        </w:tc>
        <w:tc>
          <w:tcPr>
            <w:tcW w:w="1275"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236DD07B"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Refinanciamiento</w:t>
            </w:r>
          </w:p>
        </w:tc>
        <w:tc>
          <w:tcPr>
            <w:tcW w:w="851"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46E3D454"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TIIE+0.79%</w:t>
            </w:r>
          </w:p>
        </w:tc>
        <w:tc>
          <w:tcPr>
            <w:tcW w:w="850"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2D556598" w14:textId="77777777" w:rsidR="00BF5974" w:rsidRDefault="00BF5974">
            <w:pPr>
              <w:spacing w:line="256" w:lineRule="auto"/>
              <w:jc w:val="right"/>
              <w:rPr>
                <w:rFonts w:cs="Arial"/>
                <w:sz w:val="12"/>
                <w:szCs w:val="12"/>
                <w:lang w:val="es-ES" w:eastAsia="en-US"/>
              </w:rPr>
            </w:pPr>
            <w:r>
              <w:rPr>
                <w:rFonts w:cs="Arial"/>
                <w:color w:val="000000"/>
                <w:sz w:val="12"/>
                <w:szCs w:val="12"/>
                <w:lang w:val="es-ES" w:eastAsia="en-US"/>
              </w:rPr>
              <w:t>8,467,690</w:t>
            </w:r>
          </w:p>
        </w:tc>
        <w:tc>
          <w:tcPr>
            <w:tcW w:w="851"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40275235" w14:textId="77777777" w:rsidR="00BF5974" w:rsidRDefault="00BF5974">
            <w:pPr>
              <w:spacing w:line="256" w:lineRule="auto"/>
              <w:jc w:val="right"/>
              <w:rPr>
                <w:rFonts w:cs="Arial"/>
                <w:sz w:val="12"/>
                <w:szCs w:val="12"/>
                <w:lang w:val="es-ES" w:eastAsia="en-US"/>
              </w:rPr>
            </w:pPr>
            <w:r>
              <w:rPr>
                <w:rFonts w:cs="Arial"/>
                <w:color w:val="000000"/>
                <w:sz w:val="12"/>
                <w:szCs w:val="12"/>
                <w:lang w:val="es-ES" w:eastAsia="en-US"/>
              </w:rPr>
              <w:t>119,563,565</w:t>
            </w:r>
          </w:p>
        </w:tc>
        <w:tc>
          <w:tcPr>
            <w:tcW w:w="820" w:type="dxa"/>
            <w:gridSpan w:val="2"/>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3F899ADD" w14:textId="77777777" w:rsidR="00BF5974" w:rsidRDefault="00BF5974">
            <w:pPr>
              <w:spacing w:line="256" w:lineRule="auto"/>
              <w:jc w:val="right"/>
              <w:rPr>
                <w:rFonts w:cs="Arial"/>
                <w:sz w:val="12"/>
                <w:szCs w:val="12"/>
                <w:lang w:val="es-ES" w:eastAsia="en-US"/>
              </w:rPr>
            </w:pPr>
            <w:r>
              <w:rPr>
                <w:rFonts w:cs="Arial"/>
                <w:color w:val="000000"/>
                <w:sz w:val="12"/>
                <w:szCs w:val="12"/>
                <w:lang w:val="es-ES" w:eastAsia="en-US"/>
              </w:rPr>
              <w:t>128,031,255</w:t>
            </w:r>
          </w:p>
        </w:tc>
      </w:tr>
      <w:tr w:rsidR="00BF5974" w14:paraId="4ABD7477" w14:textId="77777777" w:rsidTr="00BF5974">
        <w:trPr>
          <w:trHeight w:val="20"/>
          <w:jc w:val="center"/>
        </w:trPr>
        <w:tc>
          <w:tcPr>
            <w:tcW w:w="85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C032E4D"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89180391</w:t>
            </w:r>
          </w:p>
        </w:tc>
        <w:tc>
          <w:tcPr>
            <w:tcW w:w="709"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111404AF"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nov-23</w:t>
            </w:r>
          </w:p>
        </w:tc>
        <w:tc>
          <w:tcPr>
            <w:tcW w:w="850"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480476B4"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Simple</w:t>
            </w:r>
          </w:p>
        </w:tc>
        <w:tc>
          <w:tcPr>
            <w:tcW w:w="709"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6E4ABC04"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Banorte</w:t>
            </w:r>
          </w:p>
        </w:tc>
        <w:tc>
          <w:tcPr>
            <w:tcW w:w="992"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441BE37C"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Participaciones</w:t>
            </w:r>
          </w:p>
        </w:tc>
        <w:tc>
          <w:tcPr>
            <w:tcW w:w="851"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7CF2D39A"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abr-44</w:t>
            </w:r>
          </w:p>
        </w:tc>
        <w:tc>
          <w:tcPr>
            <w:tcW w:w="1275"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0AACA6B2"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Refinanciamiento</w:t>
            </w:r>
          </w:p>
        </w:tc>
        <w:tc>
          <w:tcPr>
            <w:tcW w:w="851"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1C83B5EF"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TIIE+0.57%</w:t>
            </w:r>
          </w:p>
        </w:tc>
        <w:tc>
          <w:tcPr>
            <w:tcW w:w="850"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03E75F4E" w14:textId="77777777" w:rsidR="00BF5974" w:rsidRDefault="00BF5974">
            <w:pPr>
              <w:spacing w:line="256" w:lineRule="auto"/>
              <w:jc w:val="right"/>
              <w:rPr>
                <w:rFonts w:cs="Arial"/>
                <w:sz w:val="12"/>
                <w:szCs w:val="12"/>
                <w:lang w:val="es-ES" w:eastAsia="en-US"/>
              </w:rPr>
            </w:pPr>
            <w:r>
              <w:rPr>
                <w:rFonts w:cs="Arial"/>
                <w:color w:val="000000"/>
                <w:sz w:val="12"/>
                <w:szCs w:val="12"/>
                <w:lang w:val="es-ES" w:eastAsia="en-US"/>
              </w:rPr>
              <w:t>6,328,635</w:t>
            </w:r>
          </w:p>
        </w:tc>
        <w:tc>
          <w:tcPr>
            <w:tcW w:w="851"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5E3FDFC4" w14:textId="77777777" w:rsidR="00BF5974" w:rsidRDefault="00BF5974">
            <w:pPr>
              <w:spacing w:line="256" w:lineRule="auto"/>
              <w:jc w:val="right"/>
              <w:rPr>
                <w:rFonts w:cs="Arial"/>
                <w:sz w:val="12"/>
                <w:szCs w:val="12"/>
                <w:lang w:val="es-ES" w:eastAsia="en-US"/>
              </w:rPr>
            </w:pPr>
            <w:r>
              <w:rPr>
                <w:rFonts w:cs="Arial"/>
                <w:color w:val="000000"/>
                <w:sz w:val="12"/>
                <w:szCs w:val="12"/>
                <w:lang w:val="es-ES" w:eastAsia="en-US"/>
              </w:rPr>
              <w:t>87,760,893</w:t>
            </w:r>
          </w:p>
        </w:tc>
        <w:tc>
          <w:tcPr>
            <w:tcW w:w="820" w:type="dxa"/>
            <w:gridSpan w:val="2"/>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53785764" w14:textId="77777777" w:rsidR="00BF5974" w:rsidRDefault="00BF5974">
            <w:pPr>
              <w:spacing w:line="256" w:lineRule="auto"/>
              <w:jc w:val="right"/>
              <w:rPr>
                <w:rFonts w:cs="Arial"/>
                <w:sz w:val="12"/>
                <w:szCs w:val="12"/>
                <w:lang w:val="es-ES" w:eastAsia="en-US"/>
              </w:rPr>
            </w:pPr>
            <w:r>
              <w:rPr>
                <w:rFonts w:cs="Arial"/>
                <w:color w:val="000000"/>
                <w:sz w:val="12"/>
                <w:szCs w:val="12"/>
                <w:lang w:val="es-ES" w:eastAsia="en-US"/>
              </w:rPr>
              <w:t>94,089,528</w:t>
            </w:r>
          </w:p>
        </w:tc>
      </w:tr>
      <w:tr w:rsidR="00BF5974" w14:paraId="411CA902" w14:textId="77777777" w:rsidTr="00BF5974">
        <w:trPr>
          <w:trHeight w:val="20"/>
          <w:jc w:val="center"/>
        </w:trPr>
        <w:tc>
          <w:tcPr>
            <w:tcW w:w="85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129CA9A"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5015288868</w:t>
            </w:r>
          </w:p>
        </w:tc>
        <w:tc>
          <w:tcPr>
            <w:tcW w:w="709"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1B4E59D4"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nov-23</w:t>
            </w:r>
          </w:p>
        </w:tc>
        <w:tc>
          <w:tcPr>
            <w:tcW w:w="850"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27D8D25D"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Simple</w:t>
            </w:r>
          </w:p>
        </w:tc>
        <w:tc>
          <w:tcPr>
            <w:tcW w:w="709"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440B040A"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Santander</w:t>
            </w:r>
          </w:p>
        </w:tc>
        <w:tc>
          <w:tcPr>
            <w:tcW w:w="992"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75A6CDB2"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Participaciones</w:t>
            </w:r>
          </w:p>
        </w:tc>
        <w:tc>
          <w:tcPr>
            <w:tcW w:w="851"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1B2E0C3E"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abr-44</w:t>
            </w:r>
          </w:p>
        </w:tc>
        <w:tc>
          <w:tcPr>
            <w:tcW w:w="1275"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509873A0"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Refinanciamiento</w:t>
            </w:r>
          </w:p>
        </w:tc>
        <w:tc>
          <w:tcPr>
            <w:tcW w:w="851"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03989772"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TIIE+0.65%</w:t>
            </w:r>
          </w:p>
        </w:tc>
        <w:tc>
          <w:tcPr>
            <w:tcW w:w="850"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0FF6AD7C" w14:textId="77777777" w:rsidR="00BF5974" w:rsidRDefault="00BF5974">
            <w:pPr>
              <w:spacing w:line="256" w:lineRule="auto"/>
              <w:jc w:val="right"/>
              <w:rPr>
                <w:rFonts w:cs="Arial"/>
                <w:sz w:val="12"/>
                <w:szCs w:val="12"/>
                <w:lang w:val="es-ES" w:eastAsia="en-US"/>
              </w:rPr>
            </w:pPr>
            <w:r>
              <w:rPr>
                <w:rFonts w:cs="Arial"/>
                <w:color w:val="000000"/>
                <w:sz w:val="12"/>
                <w:szCs w:val="12"/>
                <w:lang w:val="es-ES" w:eastAsia="en-US"/>
              </w:rPr>
              <w:t>6,478,041</w:t>
            </w:r>
          </w:p>
        </w:tc>
        <w:tc>
          <w:tcPr>
            <w:tcW w:w="851"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056A22F3" w14:textId="77777777" w:rsidR="00BF5974" w:rsidRDefault="00BF5974">
            <w:pPr>
              <w:spacing w:line="256" w:lineRule="auto"/>
              <w:jc w:val="right"/>
              <w:rPr>
                <w:rFonts w:cs="Arial"/>
                <w:sz w:val="12"/>
                <w:szCs w:val="12"/>
                <w:lang w:val="es-ES" w:eastAsia="en-US"/>
              </w:rPr>
            </w:pPr>
            <w:r>
              <w:rPr>
                <w:rFonts w:cs="Arial"/>
                <w:color w:val="000000"/>
                <w:sz w:val="12"/>
                <w:szCs w:val="12"/>
                <w:lang w:val="es-ES" w:eastAsia="en-US"/>
              </w:rPr>
              <w:t>90,428,036</w:t>
            </w:r>
          </w:p>
        </w:tc>
        <w:tc>
          <w:tcPr>
            <w:tcW w:w="820" w:type="dxa"/>
            <w:gridSpan w:val="2"/>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53CB80E5" w14:textId="77777777" w:rsidR="00BF5974" w:rsidRDefault="00BF5974">
            <w:pPr>
              <w:spacing w:line="256" w:lineRule="auto"/>
              <w:jc w:val="right"/>
              <w:rPr>
                <w:rFonts w:cs="Arial"/>
                <w:sz w:val="12"/>
                <w:szCs w:val="12"/>
                <w:lang w:val="es-ES" w:eastAsia="en-US"/>
              </w:rPr>
            </w:pPr>
            <w:r>
              <w:rPr>
                <w:rFonts w:cs="Arial"/>
                <w:color w:val="000000"/>
                <w:sz w:val="12"/>
                <w:szCs w:val="12"/>
                <w:lang w:val="es-ES" w:eastAsia="en-US"/>
              </w:rPr>
              <w:t>96,906,077</w:t>
            </w:r>
          </w:p>
        </w:tc>
      </w:tr>
      <w:tr w:rsidR="00BF5974" w14:paraId="23980D2A" w14:textId="77777777" w:rsidTr="00BF5974">
        <w:trPr>
          <w:trHeight w:val="20"/>
          <w:jc w:val="center"/>
        </w:trPr>
        <w:tc>
          <w:tcPr>
            <w:tcW w:w="85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38C8713"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9668594671</w:t>
            </w:r>
          </w:p>
        </w:tc>
        <w:tc>
          <w:tcPr>
            <w:tcW w:w="709"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4126931C"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nov-23</w:t>
            </w:r>
          </w:p>
        </w:tc>
        <w:tc>
          <w:tcPr>
            <w:tcW w:w="850"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7FE65D47"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Simple</w:t>
            </w:r>
          </w:p>
        </w:tc>
        <w:tc>
          <w:tcPr>
            <w:tcW w:w="709"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43957144"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BBVA</w:t>
            </w:r>
          </w:p>
        </w:tc>
        <w:tc>
          <w:tcPr>
            <w:tcW w:w="992"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57271CF0"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Participaciones</w:t>
            </w:r>
          </w:p>
        </w:tc>
        <w:tc>
          <w:tcPr>
            <w:tcW w:w="851"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128DF7DC"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abr-44</w:t>
            </w:r>
          </w:p>
        </w:tc>
        <w:tc>
          <w:tcPr>
            <w:tcW w:w="1275"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6B6A7023"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Refinanciamiento</w:t>
            </w:r>
          </w:p>
        </w:tc>
        <w:tc>
          <w:tcPr>
            <w:tcW w:w="851"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6D5CD7E9" w14:textId="77777777" w:rsidR="00BF5974" w:rsidRDefault="00BF5974">
            <w:pPr>
              <w:spacing w:line="256" w:lineRule="auto"/>
              <w:jc w:val="center"/>
              <w:rPr>
                <w:rFonts w:eastAsia="Times New Roman" w:cs="Arial"/>
                <w:sz w:val="12"/>
                <w:szCs w:val="12"/>
                <w:lang w:val="es-ES" w:eastAsia="en-US"/>
              </w:rPr>
            </w:pPr>
            <w:r>
              <w:rPr>
                <w:rFonts w:cs="Arial"/>
                <w:sz w:val="12"/>
                <w:szCs w:val="12"/>
                <w:lang w:val="es-ES" w:eastAsia="en-US"/>
              </w:rPr>
              <w:t>TIIE+0.78%</w:t>
            </w:r>
          </w:p>
        </w:tc>
        <w:tc>
          <w:tcPr>
            <w:tcW w:w="850"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1DD406C0" w14:textId="77777777" w:rsidR="00BF5974" w:rsidRDefault="00BF5974">
            <w:pPr>
              <w:spacing w:line="256" w:lineRule="auto"/>
              <w:jc w:val="right"/>
              <w:rPr>
                <w:rFonts w:cs="Arial"/>
                <w:sz w:val="12"/>
                <w:szCs w:val="12"/>
                <w:lang w:val="es-ES" w:eastAsia="en-US"/>
              </w:rPr>
            </w:pPr>
            <w:r>
              <w:rPr>
                <w:rFonts w:cs="Arial"/>
                <w:color w:val="000000"/>
                <w:sz w:val="12"/>
                <w:szCs w:val="12"/>
                <w:lang w:val="es-ES" w:eastAsia="en-US"/>
              </w:rPr>
              <w:t>3,300,647</w:t>
            </w:r>
          </w:p>
        </w:tc>
        <w:tc>
          <w:tcPr>
            <w:tcW w:w="851"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6A13A606" w14:textId="77777777" w:rsidR="00BF5974" w:rsidRDefault="00BF5974">
            <w:pPr>
              <w:spacing w:line="256" w:lineRule="auto"/>
              <w:jc w:val="right"/>
              <w:rPr>
                <w:rFonts w:cs="Arial"/>
                <w:sz w:val="12"/>
                <w:szCs w:val="12"/>
                <w:lang w:val="es-ES" w:eastAsia="en-US"/>
              </w:rPr>
            </w:pPr>
            <w:r>
              <w:rPr>
                <w:rFonts w:cs="Arial"/>
                <w:color w:val="000000"/>
                <w:sz w:val="12"/>
                <w:szCs w:val="12"/>
                <w:lang w:val="es-ES" w:eastAsia="en-US"/>
              </w:rPr>
              <w:t>46,567,146</w:t>
            </w:r>
          </w:p>
        </w:tc>
        <w:tc>
          <w:tcPr>
            <w:tcW w:w="820" w:type="dxa"/>
            <w:gridSpan w:val="2"/>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0ED52FD1" w14:textId="77777777" w:rsidR="00BF5974" w:rsidRDefault="00BF5974">
            <w:pPr>
              <w:spacing w:line="256" w:lineRule="auto"/>
              <w:jc w:val="right"/>
              <w:rPr>
                <w:rFonts w:cs="Arial"/>
                <w:sz w:val="12"/>
                <w:szCs w:val="12"/>
                <w:lang w:val="es-ES" w:eastAsia="en-US"/>
              </w:rPr>
            </w:pPr>
            <w:r>
              <w:rPr>
                <w:rFonts w:cs="Arial"/>
                <w:color w:val="000000"/>
                <w:sz w:val="12"/>
                <w:szCs w:val="12"/>
                <w:lang w:val="es-ES" w:eastAsia="en-US"/>
              </w:rPr>
              <w:t>49,867,793</w:t>
            </w:r>
          </w:p>
        </w:tc>
      </w:tr>
    </w:tbl>
    <w:p w14:paraId="1B3DCC7E" w14:textId="77777777" w:rsidR="00BF5974" w:rsidRDefault="00BF5974" w:rsidP="00BF5974">
      <w:pPr>
        <w:jc w:val="left"/>
        <w:rPr>
          <w:rFonts w:eastAsia="Times New Roman" w:cs="Arial"/>
          <w:lang w:val="es-ES" w:eastAsia="es-ES"/>
        </w:rPr>
      </w:pPr>
    </w:p>
    <w:p w14:paraId="5D642F32" w14:textId="77777777" w:rsidR="00BF5974" w:rsidRDefault="00BF5974" w:rsidP="00BF5974">
      <w:pPr>
        <w:tabs>
          <w:tab w:val="left" w:pos="567"/>
        </w:tabs>
        <w:rPr>
          <w:rFonts w:eastAsia="Times New Roman" w:cs="Arial"/>
          <w:lang w:val="es-ES" w:eastAsia="es-ES"/>
        </w:rPr>
      </w:pPr>
      <w:r>
        <w:rPr>
          <w:rFonts w:eastAsia="Times New Roman" w:cs="Arial"/>
          <w:lang w:val="es-ES" w:eastAsia="es-ES"/>
        </w:rPr>
        <w:lastRenderedPageBreak/>
        <w:t>III.</w:t>
      </w:r>
      <w:r>
        <w:rPr>
          <w:rFonts w:eastAsia="Times New Roman" w:cs="Arial"/>
          <w:lang w:val="es-ES" w:eastAsia="es-ES"/>
        </w:rPr>
        <w:tab/>
        <w:t>El destino de los créditos de largo plazo es el siguiente:</w:t>
      </w:r>
    </w:p>
    <w:p w14:paraId="67737A70" w14:textId="77777777" w:rsidR="00BF5974" w:rsidRDefault="00BF5974" w:rsidP="00BF5974">
      <w:pPr>
        <w:tabs>
          <w:tab w:val="left" w:pos="567"/>
        </w:tabs>
        <w:rPr>
          <w:rFonts w:eastAsia="Times New Roman" w:cs="Arial"/>
          <w:lang w:val="es-ES" w:eastAsia="es-ES"/>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34"/>
        <w:gridCol w:w="1833"/>
        <w:gridCol w:w="1558"/>
        <w:gridCol w:w="1700"/>
      </w:tblGrid>
      <w:tr w:rsidR="00BF5974" w14:paraId="5CDB8322" w14:textId="77777777" w:rsidTr="00BF5974">
        <w:trPr>
          <w:trHeight w:val="227"/>
          <w:tblHeader/>
          <w:jc w:val="center"/>
        </w:trPr>
        <w:tc>
          <w:tcPr>
            <w:tcW w:w="8931" w:type="dxa"/>
            <w:gridSpan w:val="4"/>
            <w:tcBorders>
              <w:top w:val="nil"/>
              <w:left w:val="nil"/>
              <w:bottom w:val="single" w:sz="4" w:space="0" w:color="auto"/>
              <w:right w:val="nil"/>
            </w:tcBorders>
            <w:noWrap/>
            <w:vAlign w:val="center"/>
            <w:hideMark/>
          </w:tcPr>
          <w:p w14:paraId="542CFC65" w14:textId="77777777" w:rsidR="00BF5974" w:rsidRDefault="00BF5974">
            <w:pPr>
              <w:spacing w:line="256" w:lineRule="auto"/>
              <w:jc w:val="center"/>
              <w:rPr>
                <w:rFonts w:eastAsia="Times New Roman" w:cs="Arial"/>
                <w:b/>
                <w:bCs/>
                <w:sz w:val="18"/>
                <w:szCs w:val="18"/>
                <w:lang w:val="es-ES" w:eastAsia="es-ES"/>
              </w:rPr>
            </w:pPr>
            <w:bookmarkStart w:id="196" w:name="_Toc22983204"/>
            <w:bookmarkStart w:id="197" w:name="_Toc22021951"/>
            <w:bookmarkStart w:id="198" w:name="_Toc526757499"/>
            <w:bookmarkStart w:id="199" w:name="_Toc522869282"/>
            <w:r>
              <w:rPr>
                <w:rFonts w:eastAsia="Times New Roman" w:cs="Arial"/>
                <w:b/>
                <w:sz w:val="20"/>
                <w:lang w:val="es-ES" w:eastAsia="en-US"/>
              </w:rPr>
              <w:t>Tabla 40. Destino de los Créditos de Largo Plazo Vigentes</w:t>
            </w:r>
            <w:bookmarkEnd w:id="196"/>
            <w:bookmarkEnd w:id="197"/>
            <w:bookmarkEnd w:id="198"/>
            <w:bookmarkEnd w:id="199"/>
          </w:p>
        </w:tc>
      </w:tr>
      <w:tr w:rsidR="00BF5974" w14:paraId="72D0D389" w14:textId="77777777" w:rsidTr="00BF5974">
        <w:trPr>
          <w:trHeight w:val="227"/>
          <w:jc w:val="center"/>
        </w:trPr>
        <w:tc>
          <w:tcPr>
            <w:tcW w:w="3837" w:type="dxa"/>
            <w:tcBorders>
              <w:top w:val="single" w:sz="4" w:space="0" w:color="auto"/>
              <w:left w:val="single" w:sz="4" w:space="0" w:color="auto"/>
              <w:bottom w:val="single" w:sz="4" w:space="0" w:color="auto"/>
              <w:right w:val="single" w:sz="4" w:space="0" w:color="auto"/>
            </w:tcBorders>
            <w:noWrap/>
            <w:vAlign w:val="center"/>
            <w:hideMark/>
          </w:tcPr>
          <w:p w14:paraId="6C42A463" w14:textId="77777777" w:rsidR="00BF5974" w:rsidRDefault="00BF5974">
            <w:pPr>
              <w:spacing w:line="256" w:lineRule="auto"/>
              <w:jc w:val="center"/>
              <w:rPr>
                <w:rFonts w:eastAsia="Times New Roman" w:cs="Arial"/>
                <w:b/>
                <w:bCs/>
                <w:sz w:val="16"/>
                <w:szCs w:val="16"/>
                <w:lang w:val="es-ES" w:eastAsia="es-ES"/>
              </w:rPr>
            </w:pPr>
            <w:r>
              <w:rPr>
                <w:rFonts w:eastAsia="Times New Roman" w:cs="Arial"/>
                <w:b/>
                <w:bCs/>
                <w:sz w:val="16"/>
                <w:szCs w:val="16"/>
                <w:lang w:val="es-ES" w:eastAsia="es-ES"/>
              </w:rPr>
              <w:t>Decreto Aprobatorio</w:t>
            </w:r>
          </w:p>
        </w:tc>
        <w:tc>
          <w:tcPr>
            <w:tcW w:w="1834" w:type="dxa"/>
            <w:tcBorders>
              <w:top w:val="single" w:sz="4" w:space="0" w:color="auto"/>
              <w:left w:val="single" w:sz="4" w:space="0" w:color="auto"/>
              <w:bottom w:val="single" w:sz="4" w:space="0" w:color="auto"/>
              <w:right w:val="single" w:sz="4" w:space="0" w:color="auto"/>
            </w:tcBorders>
            <w:noWrap/>
            <w:vAlign w:val="center"/>
            <w:hideMark/>
          </w:tcPr>
          <w:p w14:paraId="53A95F87" w14:textId="77777777" w:rsidR="00BF5974" w:rsidRDefault="00BF5974">
            <w:pPr>
              <w:spacing w:line="256" w:lineRule="auto"/>
              <w:jc w:val="center"/>
              <w:rPr>
                <w:rFonts w:eastAsia="Times New Roman" w:cs="Arial"/>
                <w:b/>
                <w:bCs/>
                <w:sz w:val="16"/>
                <w:szCs w:val="16"/>
                <w:lang w:val="es-ES" w:eastAsia="es-ES"/>
              </w:rPr>
            </w:pPr>
            <w:r>
              <w:rPr>
                <w:rFonts w:eastAsia="Times New Roman" w:cs="Arial"/>
                <w:b/>
                <w:bCs/>
                <w:sz w:val="16"/>
                <w:szCs w:val="16"/>
                <w:lang w:val="es-ES" w:eastAsia="es-ES"/>
              </w:rPr>
              <w:t>Crédito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C297BC" w14:textId="77777777" w:rsidR="00BF5974" w:rsidRDefault="00BF5974">
            <w:pPr>
              <w:spacing w:line="256" w:lineRule="auto"/>
              <w:jc w:val="center"/>
              <w:rPr>
                <w:rFonts w:eastAsia="Times New Roman" w:cs="Arial"/>
                <w:b/>
                <w:bCs/>
                <w:sz w:val="16"/>
                <w:szCs w:val="16"/>
                <w:lang w:val="es-ES" w:eastAsia="es-ES"/>
              </w:rPr>
            </w:pPr>
            <w:r>
              <w:rPr>
                <w:rFonts w:eastAsia="Times New Roman" w:cs="Arial"/>
                <w:b/>
                <w:bCs/>
                <w:sz w:val="16"/>
                <w:szCs w:val="16"/>
                <w:lang w:val="es-ES" w:eastAsia="es-ES"/>
              </w:rPr>
              <w:t>Inscripción  RPU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B43CB07" w14:textId="77777777" w:rsidR="00BF5974" w:rsidRDefault="00BF5974">
            <w:pPr>
              <w:spacing w:line="256" w:lineRule="auto"/>
              <w:jc w:val="center"/>
              <w:rPr>
                <w:rFonts w:eastAsia="Times New Roman" w:cs="Arial"/>
                <w:b/>
                <w:bCs/>
                <w:sz w:val="16"/>
                <w:szCs w:val="16"/>
                <w:lang w:val="es-ES" w:eastAsia="es-ES"/>
              </w:rPr>
            </w:pPr>
            <w:r>
              <w:rPr>
                <w:rFonts w:eastAsia="Times New Roman" w:cs="Arial"/>
                <w:b/>
                <w:bCs/>
                <w:sz w:val="16"/>
                <w:szCs w:val="16"/>
                <w:lang w:val="es-ES" w:eastAsia="es-ES"/>
              </w:rPr>
              <w:t>Destino</w:t>
            </w:r>
          </w:p>
        </w:tc>
      </w:tr>
      <w:tr w:rsidR="00BF5974" w14:paraId="6C932EAB" w14:textId="77777777" w:rsidTr="00BF5974">
        <w:trPr>
          <w:trHeight w:val="227"/>
          <w:jc w:val="center"/>
        </w:trPr>
        <w:tc>
          <w:tcPr>
            <w:tcW w:w="3837" w:type="dxa"/>
            <w:tcBorders>
              <w:top w:val="single" w:sz="4" w:space="0" w:color="auto"/>
              <w:left w:val="single" w:sz="4" w:space="0" w:color="auto"/>
              <w:bottom w:val="single" w:sz="4" w:space="0" w:color="auto"/>
              <w:right w:val="single" w:sz="4" w:space="0" w:color="auto"/>
            </w:tcBorders>
            <w:noWrap/>
            <w:vAlign w:val="center"/>
            <w:hideMark/>
          </w:tcPr>
          <w:p w14:paraId="505022AF" w14:textId="77777777" w:rsidR="00BF5974" w:rsidRDefault="00BF5974">
            <w:pPr>
              <w:spacing w:line="256" w:lineRule="auto"/>
              <w:rPr>
                <w:rFonts w:eastAsia="Times New Roman" w:cs="Arial"/>
                <w:sz w:val="16"/>
                <w:szCs w:val="16"/>
                <w:lang w:val="es-ES" w:eastAsia="es-ES"/>
              </w:rPr>
            </w:pPr>
            <w:r>
              <w:rPr>
                <w:rFonts w:eastAsia="Times New Roman" w:cs="Arial"/>
                <w:sz w:val="16"/>
                <w:szCs w:val="16"/>
                <w:lang w:val="es-ES" w:eastAsia="es-ES"/>
              </w:rPr>
              <w:t>Decreto No. 229 de fecha 22 marzo 2008.</w:t>
            </w:r>
          </w:p>
        </w:tc>
        <w:tc>
          <w:tcPr>
            <w:tcW w:w="1834" w:type="dxa"/>
            <w:tcBorders>
              <w:top w:val="single" w:sz="4" w:space="0" w:color="auto"/>
              <w:left w:val="single" w:sz="4" w:space="0" w:color="auto"/>
              <w:bottom w:val="single" w:sz="4" w:space="0" w:color="auto"/>
              <w:right w:val="single" w:sz="4" w:space="0" w:color="auto"/>
            </w:tcBorders>
            <w:noWrap/>
            <w:vAlign w:val="center"/>
            <w:hideMark/>
          </w:tcPr>
          <w:p w14:paraId="2D4F6D6A" w14:textId="77777777" w:rsidR="00BF5974" w:rsidRDefault="00BF5974">
            <w:pPr>
              <w:spacing w:line="256" w:lineRule="auto"/>
              <w:jc w:val="center"/>
              <w:rPr>
                <w:rFonts w:eastAsia="Times New Roman" w:cs="Arial"/>
                <w:sz w:val="16"/>
                <w:szCs w:val="16"/>
                <w:lang w:val="es-ES" w:eastAsia="es-ES"/>
              </w:rPr>
            </w:pPr>
            <w:r>
              <w:rPr>
                <w:rFonts w:eastAsia="Times New Roman" w:cs="Arial"/>
                <w:sz w:val="16"/>
                <w:szCs w:val="16"/>
                <w:lang w:val="es-ES" w:eastAsia="es-ES"/>
              </w:rPr>
              <w:t>Crédito Banobras 7225 y 7226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254D2E" w14:textId="77777777" w:rsidR="00BF5974" w:rsidRDefault="00BF5974">
            <w:pPr>
              <w:spacing w:line="256" w:lineRule="auto"/>
              <w:jc w:val="center"/>
              <w:rPr>
                <w:rFonts w:eastAsia="Times New Roman" w:cs="Arial"/>
                <w:sz w:val="16"/>
                <w:szCs w:val="16"/>
                <w:lang w:val="es-ES" w:eastAsia="es-ES"/>
              </w:rPr>
            </w:pPr>
            <w:r>
              <w:rPr>
                <w:rFonts w:eastAsia="Times New Roman" w:cs="Arial"/>
                <w:sz w:val="16"/>
                <w:szCs w:val="16"/>
                <w:lang w:val="es-ES" w:eastAsia="es-ES"/>
              </w:rPr>
              <w:t>116/2008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10EB71A" w14:textId="77777777" w:rsidR="00BF5974" w:rsidRDefault="00BF5974">
            <w:pPr>
              <w:spacing w:line="256" w:lineRule="auto"/>
              <w:jc w:val="center"/>
              <w:rPr>
                <w:rFonts w:eastAsia="Times New Roman" w:cs="Arial"/>
                <w:sz w:val="16"/>
                <w:szCs w:val="16"/>
                <w:lang w:val="es-ES" w:eastAsia="es-ES"/>
              </w:rPr>
            </w:pPr>
            <w:r>
              <w:rPr>
                <w:rFonts w:eastAsia="Times New Roman" w:cs="Arial"/>
                <w:sz w:val="16"/>
                <w:szCs w:val="16"/>
                <w:lang w:val="es-ES" w:eastAsia="es-ES"/>
              </w:rPr>
              <w:t>Refinanciamiento e Inversión Pública</w:t>
            </w:r>
          </w:p>
        </w:tc>
      </w:tr>
      <w:tr w:rsidR="00BF5974" w14:paraId="547C141B" w14:textId="77777777" w:rsidTr="00BF5974">
        <w:trPr>
          <w:trHeight w:val="227"/>
          <w:jc w:val="center"/>
        </w:trPr>
        <w:tc>
          <w:tcPr>
            <w:tcW w:w="3837" w:type="dxa"/>
            <w:tcBorders>
              <w:top w:val="single" w:sz="4" w:space="0" w:color="auto"/>
              <w:left w:val="single" w:sz="4" w:space="0" w:color="auto"/>
              <w:bottom w:val="single" w:sz="4" w:space="0" w:color="auto"/>
              <w:right w:val="single" w:sz="4" w:space="0" w:color="auto"/>
            </w:tcBorders>
            <w:noWrap/>
            <w:vAlign w:val="center"/>
            <w:hideMark/>
          </w:tcPr>
          <w:p w14:paraId="6572483C" w14:textId="77777777" w:rsidR="00BF5974" w:rsidRDefault="00BF5974">
            <w:pPr>
              <w:spacing w:line="256" w:lineRule="auto"/>
              <w:rPr>
                <w:rFonts w:eastAsia="Times New Roman" w:cs="Arial"/>
                <w:sz w:val="16"/>
                <w:szCs w:val="16"/>
                <w:lang w:val="es-ES" w:eastAsia="es-ES"/>
              </w:rPr>
            </w:pPr>
            <w:r>
              <w:rPr>
                <w:rFonts w:eastAsia="Times New Roman" w:cs="Arial"/>
                <w:sz w:val="16"/>
                <w:szCs w:val="16"/>
                <w:lang w:val="es-ES" w:eastAsia="es-ES"/>
              </w:rPr>
              <w:t>Decreto No. 617 de fecha 28 de septiembre de 2018.</w:t>
            </w:r>
          </w:p>
        </w:tc>
        <w:tc>
          <w:tcPr>
            <w:tcW w:w="1834" w:type="dxa"/>
            <w:tcBorders>
              <w:top w:val="single" w:sz="4" w:space="0" w:color="auto"/>
              <w:left w:val="single" w:sz="4" w:space="0" w:color="auto"/>
              <w:bottom w:val="single" w:sz="4" w:space="0" w:color="auto"/>
              <w:right w:val="single" w:sz="4" w:space="0" w:color="auto"/>
            </w:tcBorders>
            <w:noWrap/>
            <w:vAlign w:val="center"/>
            <w:hideMark/>
          </w:tcPr>
          <w:p w14:paraId="6C4A1836" w14:textId="77777777" w:rsidR="00BF5974" w:rsidRDefault="00BF5974">
            <w:pPr>
              <w:spacing w:line="256" w:lineRule="auto"/>
              <w:jc w:val="center"/>
              <w:rPr>
                <w:rFonts w:eastAsia="Times New Roman" w:cs="Arial"/>
                <w:sz w:val="16"/>
                <w:szCs w:val="16"/>
                <w:lang w:val="es-ES" w:eastAsia="es-ES"/>
              </w:rPr>
            </w:pPr>
            <w:r>
              <w:rPr>
                <w:rFonts w:eastAsia="Times New Roman" w:cs="Arial"/>
                <w:sz w:val="16"/>
                <w:szCs w:val="16"/>
                <w:lang w:val="es-ES" w:eastAsia="es-ES"/>
              </w:rPr>
              <w:t>Crédito Banobras 13451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8FB777" w14:textId="77777777" w:rsidR="00BF5974" w:rsidRDefault="00BF5974">
            <w:pPr>
              <w:spacing w:line="256" w:lineRule="auto"/>
              <w:jc w:val="center"/>
              <w:rPr>
                <w:rFonts w:eastAsia="Times New Roman" w:cs="Arial"/>
                <w:sz w:val="16"/>
                <w:szCs w:val="16"/>
                <w:lang w:val="es-ES" w:eastAsia="es-ES"/>
              </w:rPr>
            </w:pPr>
            <w:r>
              <w:rPr>
                <w:rFonts w:eastAsia="Times New Roman" w:cs="Arial"/>
                <w:sz w:val="16"/>
                <w:szCs w:val="16"/>
                <w:lang w:val="es-ES" w:eastAsia="es-ES"/>
              </w:rPr>
              <w:t>P06-1218129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17E4725" w14:textId="77777777" w:rsidR="00BF5974" w:rsidRDefault="00BF5974">
            <w:pPr>
              <w:spacing w:line="256" w:lineRule="auto"/>
              <w:jc w:val="center"/>
              <w:rPr>
                <w:rFonts w:eastAsia="Times New Roman" w:cs="Arial"/>
                <w:sz w:val="16"/>
                <w:szCs w:val="16"/>
                <w:lang w:val="es-ES" w:eastAsia="es-ES"/>
              </w:rPr>
            </w:pPr>
            <w:r>
              <w:rPr>
                <w:rFonts w:eastAsia="Times New Roman" w:cs="Arial"/>
                <w:sz w:val="16"/>
                <w:szCs w:val="16"/>
                <w:lang w:val="es-ES" w:eastAsia="es-ES"/>
              </w:rPr>
              <w:t>Inversión Pública Productiva</w:t>
            </w:r>
          </w:p>
        </w:tc>
      </w:tr>
      <w:tr w:rsidR="00BF5974" w14:paraId="0A8742D8" w14:textId="77777777" w:rsidTr="00BF5974">
        <w:trPr>
          <w:trHeight w:val="227"/>
          <w:jc w:val="center"/>
        </w:trPr>
        <w:tc>
          <w:tcPr>
            <w:tcW w:w="3837" w:type="dxa"/>
            <w:tcBorders>
              <w:top w:val="single" w:sz="4" w:space="0" w:color="auto"/>
              <w:left w:val="single" w:sz="4" w:space="0" w:color="auto"/>
              <w:bottom w:val="single" w:sz="4" w:space="0" w:color="auto"/>
              <w:right w:val="single" w:sz="4" w:space="0" w:color="auto"/>
            </w:tcBorders>
            <w:noWrap/>
            <w:vAlign w:val="center"/>
            <w:hideMark/>
          </w:tcPr>
          <w:p w14:paraId="371C3C75" w14:textId="77777777" w:rsidR="00BF5974" w:rsidRDefault="00BF5974">
            <w:pPr>
              <w:spacing w:line="256" w:lineRule="auto"/>
              <w:rPr>
                <w:rFonts w:eastAsia="Times New Roman" w:cs="Arial"/>
                <w:sz w:val="16"/>
                <w:szCs w:val="16"/>
                <w:lang w:val="es-ES" w:eastAsia="es-ES"/>
              </w:rPr>
            </w:pPr>
            <w:r>
              <w:rPr>
                <w:rFonts w:eastAsia="Times New Roman" w:cs="Arial"/>
                <w:sz w:val="16"/>
                <w:szCs w:val="16"/>
                <w:lang w:val="es-ES" w:eastAsia="es-ES"/>
              </w:rPr>
              <w:t>Decreto No. 155 de fecha 03 de septiembre de 2022.</w:t>
            </w:r>
          </w:p>
        </w:tc>
        <w:tc>
          <w:tcPr>
            <w:tcW w:w="1834" w:type="dxa"/>
            <w:tcBorders>
              <w:top w:val="single" w:sz="4" w:space="0" w:color="auto"/>
              <w:left w:val="single" w:sz="4" w:space="0" w:color="auto"/>
              <w:bottom w:val="single" w:sz="4" w:space="0" w:color="auto"/>
              <w:right w:val="single" w:sz="4" w:space="0" w:color="auto"/>
            </w:tcBorders>
            <w:noWrap/>
            <w:vAlign w:val="center"/>
            <w:hideMark/>
          </w:tcPr>
          <w:p w14:paraId="51481684" w14:textId="77777777" w:rsidR="00BF5974" w:rsidRDefault="00BF5974">
            <w:pPr>
              <w:spacing w:line="256" w:lineRule="auto"/>
              <w:jc w:val="center"/>
              <w:rPr>
                <w:rFonts w:eastAsia="Times New Roman" w:cs="Arial"/>
                <w:sz w:val="16"/>
                <w:szCs w:val="16"/>
                <w:lang w:val="es-ES" w:eastAsia="es-ES"/>
              </w:rPr>
            </w:pPr>
            <w:r>
              <w:rPr>
                <w:rFonts w:eastAsia="Times New Roman" w:cs="Arial"/>
                <w:sz w:val="16"/>
                <w:szCs w:val="16"/>
                <w:lang w:val="es-ES" w:eastAsia="es-ES"/>
              </w:rPr>
              <w:t>Crédito Banco del Bajío 16163782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94A0C4" w14:textId="77777777" w:rsidR="00BF5974" w:rsidRDefault="00BF5974">
            <w:pPr>
              <w:spacing w:line="256" w:lineRule="auto"/>
              <w:jc w:val="center"/>
              <w:rPr>
                <w:rFonts w:eastAsia="Times New Roman" w:cs="Arial"/>
                <w:sz w:val="16"/>
                <w:szCs w:val="16"/>
                <w:lang w:val="es-ES" w:eastAsia="es-ES"/>
              </w:rPr>
            </w:pPr>
            <w:r>
              <w:rPr>
                <w:rFonts w:eastAsia="Times New Roman" w:cs="Arial"/>
                <w:sz w:val="16"/>
                <w:szCs w:val="16"/>
                <w:lang w:val="es-ES" w:eastAsia="es-ES"/>
              </w:rPr>
              <w:t>P06-0424023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1E85EBD" w14:textId="77777777" w:rsidR="00BF5974" w:rsidRDefault="00BF5974">
            <w:pPr>
              <w:spacing w:line="256" w:lineRule="auto"/>
              <w:jc w:val="center"/>
              <w:rPr>
                <w:rFonts w:eastAsia="Times New Roman" w:cs="Arial"/>
                <w:sz w:val="16"/>
                <w:szCs w:val="16"/>
                <w:lang w:val="es-ES" w:eastAsia="es-ES"/>
              </w:rPr>
            </w:pPr>
            <w:r>
              <w:rPr>
                <w:rFonts w:eastAsia="Times New Roman" w:cs="Arial"/>
                <w:sz w:val="16"/>
                <w:szCs w:val="16"/>
                <w:lang w:val="es-ES" w:eastAsia="es-ES"/>
              </w:rPr>
              <w:t>Refinanciamiento</w:t>
            </w:r>
          </w:p>
        </w:tc>
      </w:tr>
      <w:tr w:rsidR="00BF5974" w14:paraId="782ED261" w14:textId="77777777" w:rsidTr="00BF5974">
        <w:trPr>
          <w:trHeight w:val="227"/>
          <w:jc w:val="center"/>
        </w:trPr>
        <w:tc>
          <w:tcPr>
            <w:tcW w:w="3837" w:type="dxa"/>
            <w:tcBorders>
              <w:top w:val="single" w:sz="4" w:space="0" w:color="auto"/>
              <w:left w:val="single" w:sz="4" w:space="0" w:color="auto"/>
              <w:bottom w:val="single" w:sz="4" w:space="0" w:color="auto"/>
              <w:right w:val="single" w:sz="4" w:space="0" w:color="auto"/>
            </w:tcBorders>
            <w:noWrap/>
            <w:vAlign w:val="center"/>
            <w:hideMark/>
          </w:tcPr>
          <w:p w14:paraId="021C0534" w14:textId="77777777" w:rsidR="00BF5974" w:rsidRDefault="00BF5974">
            <w:pPr>
              <w:spacing w:line="256" w:lineRule="auto"/>
              <w:rPr>
                <w:rFonts w:eastAsia="Times New Roman" w:cs="Arial"/>
                <w:sz w:val="16"/>
                <w:szCs w:val="16"/>
                <w:lang w:val="es-ES" w:eastAsia="es-ES"/>
              </w:rPr>
            </w:pPr>
            <w:r>
              <w:rPr>
                <w:rFonts w:eastAsia="Times New Roman" w:cs="Arial"/>
                <w:sz w:val="16"/>
                <w:szCs w:val="16"/>
                <w:lang w:val="es-ES" w:eastAsia="es-ES"/>
              </w:rPr>
              <w:t>Decreto No. 155 de fecha 03 de septiembre de 2022.</w:t>
            </w:r>
          </w:p>
        </w:tc>
        <w:tc>
          <w:tcPr>
            <w:tcW w:w="1834" w:type="dxa"/>
            <w:tcBorders>
              <w:top w:val="single" w:sz="4" w:space="0" w:color="auto"/>
              <w:left w:val="single" w:sz="4" w:space="0" w:color="auto"/>
              <w:bottom w:val="single" w:sz="4" w:space="0" w:color="auto"/>
              <w:right w:val="single" w:sz="4" w:space="0" w:color="auto"/>
            </w:tcBorders>
            <w:noWrap/>
            <w:vAlign w:val="center"/>
            <w:hideMark/>
          </w:tcPr>
          <w:p w14:paraId="0800603B" w14:textId="77777777" w:rsidR="00BF5974" w:rsidRDefault="00BF5974">
            <w:pPr>
              <w:spacing w:line="256" w:lineRule="auto"/>
              <w:jc w:val="center"/>
              <w:rPr>
                <w:rFonts w:eastAsia="Times New Roman" w:cs="Arial"/>
                <w:sz w:val="16"/>
                <w:szCs w:val="16"/>
                <w:lang w:val="es-ES" w:eastAsia="es-ES"/>
              </w:rPr>
            </w:pPr>
            <w:r>
              <w:rPr>
                <w:rFonts w:eastAsia="Times New Roman" w:cs="Arial"/>
                <w:sz w:val="16"/>
                <w:szCs w:val="16"/>
                <w:lang w:val="es-ES" w:eastAsia="es-ES"/>
              </w:rPr>
              <w:t>Crédito Banorte 89180391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785DBA" w14:textId="77777777" w:rsidR="00BF5974" w:rsidRDefault="00BF5974">
            <w:pPr>
              <w:spacing w:line="256" w:lineRule="auto"/>
              <w:jc w:val="center"/>
              <w:rPr>
                <w:rFonts w:eastAsia="Times New Roman" w:cs="Arial"/>
                <w:sz w:val="16"/>
                <w:szCs w:val="16"/>
                <w:lang w:val="es-ES" w:eastAsia="es-ES"/>
              </w:rPr>
            </w:pPr>
            <w:r>
              <w:rPr>
                <w:rFonts w:eastAsia="Times New Roman" w:cs="Arial"/>
                <w:sz w:val="16"/>
                <w:szCs w:val="16"/>
                <w:lang w:val="es-ES" w:eastAsia="es-ES"/>
              </w:rPr>
              <w:t>P06-0424024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1B06C12" w14:textId="77777777" w:rsidR="00BF5974" w:rsidRDefault="00BF5974">
            <w:pPr>
              <w:spacing w:line="256" w:lineRule="auto"/>
              <w:jc w:val="center"/>
              <w:rPr>
                <w:rFonts w:eastAsia="Times New Roman" w:cs="Arial"/>
                <w:sz w:val="16"/>
                <w:szCs w:val="16"/>
                <w:lang w:val="es-ES" w:eastAsia="es-ES"/>
              </w:rPr>
            </w:pPr>
            <w:r>
              <w:rPr>
                <w:rFonts w:eastAsia="Times New Roman" w:cs="Arial"/>
                <w:sz w:val="16"/>
                <w:szCs w:val="16"/>
                <w:lang w:val="es-ES" w:eastAsia="es-ES"/>
              </w:rPr>
              <w:t>Refinanciamiento</w:t>
            </w:r>
          </w:p>
        </w:tc>
      </w:tr>
      <w:tr w:rsidR="00BF5974" w14:paraId="19FDA2E8" w14:textId="77777777" w:rsidTr="00BF5974">
        <w:trPr>
          <w:trHeight w:val="227"/>
          <w:jc w:val="center"/>
        </w:trPr>
        <w:tc>
          <w:tcPr>
            <w:tcW w:w="3837" w:type="dxa"/>
            <w:tcBorders>
              <w:top w:val="single" w:sz="4" w:space="0" w:color="auto"/>
              <w:left w:val="single" w:sz="4" w:space="0" w:color="auto"/>
              <w:bottom w:val="single" w:sz="4" w:space="0" w:color="auto"/>
              <w:right w:val="single" w:sz="4" w:space="0" w:color="auto"/>
            </w:tcBorders>
            <w:noWrap/>
            <w:vAlign w:val="center"/>
            <w:hideMark/>
          </w:tcPr>
          <w:p w14:paraId="3749C1AF" w14:textId="77777777" w:rsidR="00BF5974" w:rsidRDefault="00BF5974">
            <w:pPr>
              <w:spacing w:line="256" w:lineRule="auto"/>
              <w:rPr>
                <w:rFonts w:eastAsia="Times New Roman" w:cs="Arial"/>
                <w:sz w:val="16"/>
                <w:szCs w:val="16"/>
                <w:lang w:val="es-ES" w:eastAsia="es-ES"/>
              </w:rPr>
            </w:pPr>
            <w:r>
              <w:rPr>
                <w:rFonts w:eastAsia="Times New Roman" w:cs="Arial"/>
                <w:sz w:val="16"/>
                <w:szCs w:val="16"/>
                <w:lang w:val="es-ES" w:eastAsia="es-ES"/>
              </w:rPr>
              <w:t>Decreto No. 155 de fecha 03 de septiembre de 2022.</w:t>
            </w:r>
          </w:p>
        </w:tc>
        <w:tc>
          <w:tcPr>
            <w:tcW w:w="1834" w:type="dxa"/>
            <w:tcBorders>
              <w:top w:val="single" w:sz="4" w:space="0" w:color="auto"/>
              <w:left w:val="single" w:sz="4" w:space="0" w:color="auto"/>
              <w:bottom w:val="single" w:sz="4" w:space="0" w:color="auto"/>
              <w:right w:val="single" w:sz="4" w:space="0" w:color="auto"/>
            </w:tcBorders>
            <w:noWrap/>
            <w:vAlign w:val="center"/>
            <w:hideMark/>
          </w:tcPr>
          <w:p w14:paraId="23982686" w14:textId="77777777" w:rsidR="00BF5974" w:rsidRDefault="00BF5974">
            <w:pPr>
              <w:spacing w:line="256" w:lineRule="auto"/>
              <w:jc w:val="center"/>
              <w:rPr>
                <w:rFonts w:eastAsia="Times New Roman" w:cs="Arial"/>
                <w:sz w:val="16"/>
                <w:szCs w:val="16"/>
                <w:lang w:val="es-ES" w:eastAsia="es-ES"/>
              </w:rPr>
            </w:pPr>
            <w:r>
              <w:rPr>
                <w:rFonts w:eastAsia="Times New Roman" w:cs="Arial"/>
                <w:sz w:val="16"/>
                <w:szCs w:val="16"/>
                <w:lang w:val="es-ES" w:eastAsia="es-ES"/>
              </w:rPr>
              <w:t>Crédito BBVA 9668594671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0AB541" w14:textId="77777777" w:rsidR="00BF5974" w:rsidRDefault="00BF5974">
            <w:pPr>
              <w:spacing w:line="256" w:lineRule="auto"/>
              <w:jc w:val="center"/>
              <w:rPr>
                <w:rFonts w:eastAsia="Times New Roman" w:cs="Arial"/>
                <w:sz w:val="16"/>
                <w:szCs w:val="16"/>
                <w:lang w:val="es-ES" w:eastAsia="es-ES"/>
              </w:rPr>
            </w:pPr>
            <w:r>
              <w:rPr>
                <w:rFonts w:eastAsia="Times New Roman" w:cs="Arial"/>
                <w:sz w:val="16"/>
                <w:szCs w:val="16"/>
                <w:lang w:val="es-ES" w:eastAsia="es-ES"/>
              </w:rPr>
              <w:t>P06-0424026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8D83888" w14:textId="77777777" w:rsidR="00BF5974" w:rsidRDefault="00BF5974">
            <w:pPr>
              <w:spacing w:line="256" w:lineRule="auto"/>
              <w:jc w:val="center"/>
              <w:rPr>
                <w:rFonts w:eastAsia="Times New Roman" w:cs="Arial"/>
                <w:sz w:val="16"/>
                <w:szCs w:val="16"/>
                <w:lang w:val="es-ES" w:eastAsia="es-ES"/>
              </w:rPr>
            </w:pPr>
            <w:r>
              <w:rPr>
                <w:rFonts w:eastAsia="Times New Roman" w:cs="Arial"/>
                <w:sz w:val="16"/>
                <w:szCs w:val="16"/>
                <w:lang w:val="es-ES" w:eastAsia="es-ES"/>
              </w:rPr>
              <w:t>Refinanciamiento</w:t>
            </w:r>
          </w:p>
        </w:tc>
      </w:tr>
      <w:tr w:rsidR="00BF5974" w14:paraId="6CE579AD" w14:textId="77777777" w:rsidTr="00BF5974">
        <w:trPr>
          <w:trHeight w:val="227"/>
          <w:jc w:val="center"/>
        </w:trPr>
        <w:tc>
          <w:tcPr>
            <w:tcW w:w="3837" w:type="dxa"/>
            <w:tcBorders>
              <w:top w:val="single" w:sz="4" w:space="0" w:color="auto"/>
              <w:left w:val="single" w:sz="4" w:space="0" w:color="auto"/>
              <w:bottom w:val="single" w:sz="4" w:space="0" w:color="auto"/>
              <w:right w:val="single" w:sz="4" w:space="0" w:color="auto"/>
            </w:tcBorders>
            <w:noWrap/>
            <w:vAlign w:val="center"/>
            <w:hideMark/>
          </w:tcPr>
          <w:p w14:paraId="325F6E88" w14:textId="77777777" w:rsidR="00BF5974" w:rsidRDefault="00BF5974">
            <w:pPr>
              <w:spacing w:line="256" w:lineRule="auto"/>
              <w:rPr>
                <w:rFonts w:eastAsia="Times New Roman" w:cs="Arial"/>
                <w:sz w:val="16"/>
                <w:szCs w:val="16"/>
                <w:lang w:val="es-ES" w:eastAsia="es-ES"/>
              </w:rPr>
            </w:pPr>
            <w:r>
              <w:rPr>
                <w:rFonts w:eastAsia="Times New Roman" w:cs="Arial"/>
                <w:sz w:val="16"/>
                <w:szCs w:val="16"/>
                <w:lang w:val="es-ES" w:eastAsia="es-ES"/>
              </w:rPr>
              <w:t>Decreto No. 155 de fecha 03 de septiembre de 2022.</w:t>
            </w:r>
          </w:p>
        </w:tc>
        <w:tc>
          <w:tcPr>
            <w:tcW w:w="1834" w:type="dxa"/>
            <w:tcBorders>
              <w:top w:val="single" w:sz="4" w:space="0" w:color="auto"/>
              <w:left w:val="single" w:sz="4" w:space="0" w:color="auto"/>
              <w:bottom w:val="single" w:sz="4" w:space="0" w:color="auto"/>
              <w:right w:val="single" w:sz="4" w:space="0" w:color="auto"/>
            </w:tcBorders>
            <w:noWrap/>
            <w:vAlign w:val="center"/>
            <w:hideMark/>
          </w:tcPr>
          <w:p w14:paraId="12201F7E" w14:textId="77777777" w:rsidR="00BF5974" w:rsidRDefault="00BF5974">
            <w:pPr>
              <w:spacing w:line="256" w:lineRule="auto"/>
              <w:jc w:val="center"/>
              <w:rPr>
                <w:rFonts w:eastAsia="Times New Roman" w:cs="Arial"/>
                <w:sz w:val="16"/>
                <w:szCs w:val="16"/>
                <w:lang w:val="es-ES" w:eastAsia="es-ES"/>
              </w:rPr>
            </w:pPr>
            <w:r>
              <w:rPr>
                <w:rFonts w:eastAsia="Times New Roman" w:cs="Arial"/>
                <w:sz w:val="16"/>
                <w:szCs w:val="16"/>
                <w:lang w:val="es-ES" w:eastAsia="es-ES"/>
              </w:rPr>
              <w:t>Crédito Santander</w:t>
            </w:r>
          </w:p>
          <w:p w14:paraId="7564CE35" w14:textId="77777777" w:rsidR="00BF5974" w:rsidRDefault="00BF5974">
            <w:pPr>
              <w:spacing w:line="256" w:lineRule="auto"/>
              <w:jc w:val="center"/>
              <w:rPr>
                <w:rFonts w:eastAsia="Times New Roman" w:cs="Arial"/>
                <w:sz w:val="16"/>
                <w:szCs w:val="16"/>
                <w:lang w:val="es-ES" w:eastAsia="es-ES"/>
              </w:rPr>
            </w:pPr>
            <w:r>
              <w:rPr>
                <w:rFonts w:eastAsia="Times New Roman" w:cs="Arial"/>
                <w:sz w:val="16"/>
                <w:szCs w:val="16"/>
                <w:lang w:val="es-ES" w:eastAsia="es-ES"/>
              </w:rPr>
              <w:t>5015288868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47B241" w14:textId="77777777" w:rsidR="00BF5974" w:rsidRDefault="00BF5974">
            <w:pPr>
              <w:spacing w:line="256" w:lineRule="auto"/>
              <w:jc w:val="center"/>
              <w:rPr>
                <w:rFonts w:eastAsia="Times New Roman" w:cs="Arial"/>
                <w:sz w:val="16"/>
                <w:szCs w:val="16"/>
                <w:lang w:val="es-ES" w:eastAsia="es-ES"/>
              </w:rPr>
            </w:pPr>
            <w:r>
              <w:rPr>
                <w:rFonts w:eastAsia="Times New Roman" w:cs="Arial"/>
                <w:sz w:val="16"/>
                <w:szCs w:val="16"/>
                <w:lang w:val="es-ES" w:eastAsia="es-ES"/>
              </w:rPr>
              <w:t>P06-0424025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48E29C6" w14:textId="77777777" w:rsidR="00BF5974" w:rsidRDefault="00BF5974">
            <w:pPr>
              <w:spacing w:line="256" w:lineRule="auto"/>
              <w:jc w:val="center"/>
              <w:rPr>
                <w:rFonts w:eastAsia="Times New Roman" w:cs="Arial"/>
                <w:sz w:val="16"/>
                <w:szCs w:val="16"/>
                <w:lang w:val="es-ES" w:eastAsia="es-ES"/>
              </w:rPr>
            </w:pPr>
            <w:r>
              <w:rPr>
                <w:rFonts w:eastAsia="Times New Roman" w:cs="Arial"/>
                <w:sz w:val="16"/>
                <w:szCs w:val="16"/>
                <w:lang w:val="es-ES" w:eastAsia="es-ES"/>
              </w:rPr>
              <w:t>Refinanciamiento</w:t>
            </w:r>
          </w:p>
        </w:tc>
      </w:tr>
    </w:tbl>
    <w:p w14:paraId="3A79DF81" w14:textId="71301057" w:rsidR="00BF5974" w:rsidRDefault="00BF5974" w:rsidP="00BF5974">
      <w:pPr>
        <w:ind w:left="567" w:hanging="567"/>
        <w:rPr>
          <w:rFonts w:eastAsia="Times New Roman" w:cs="Arial"/>
          <w:lang w:val="es-ES" w:eastAsia="es-ES"/>
        </w:rPr>
      </w:pPr>
    </w:p>
    <w:p w14:paraId="5BEFCBCB" w14:textId="77777777" w:rsidR="00105286" w:rsidRDefault="00105286" w:rsidP="00BF5974">
      <w:pPr>
        <w:ind w:left="567" w:hanging="567"/>
        <w:rPr>
          <w:rFonts w:eastAsia="Times New Roman" w:cs="Arial"/>
          <w:lang w:val="es-ES" w:eastAsia="es-ES"/>
        </w:rPr>
      </w:pPr>
    </w:p>
    <w:p w14:paraId="708022DD" w14:textId="77777777" w:rsidR="00BF5974" w:rsidRDefault="00BF5974" w:rsidP="00BF5974">
      <w:pPr>
        <w:ind w:left="567" w:hanging="567"/>
        <w:rPr>
          <w:rFonts w:eastAsia="Times New Roman" w:cs="Arial"/>
          <w:lang w:val="es-ES" w:eastAsia="es-ES"/>
        </w:rPr>
      </w:pPr>
      <w:r>
        <w:rPr>
          <w:rFonts w:eastAsia="Times New Roman" w:cs="Arial"/>
          <w:lang w:val="es-ES" w:eastAsia="es-ES"/>
        </w:rPr>
        <w:t xml:space="preserve">IV. </w:t>
      </w:r>
      <w:r>
        <w:rPr>
          <w:rFonts w:eastAsia="Times New Roman" w:cs="Arial"/>
          <w:lang w:val="es-ES" w:eastAsia="es-ES"/>
        </w:rPr>
        <w:tab/>
        <w:t>El saldo insoluto de la Deuda Pública a Corto Plazo del Gobierno del Estado de Colima al 31 de octubre de 2024, es de un total de 105,603,605 pesos. Se detalla:</w:t>
      </w:r>
    </w:p>
    <w:p w14:paraId="7EC671AA" w14:textId="77777777" w:rsidR="00BF5974" w:rsidRDefault="00BF5974" w:rsidP="00BF5974">
      <w:pPr>
        <w:ind w:left="567" w:hanging="567"/>
        <w:rPr>
          <w:rFonts w:eastAsia="Times New Roman" w:cs="Arial"/>
          <w:b/>
          <w:sz w:val="20"/>
          <w:lang w:val="es-ES"/>
        </w:rPr>
      </w:pPr>
    </w:p>
    <w:p w14:paraId="1E0390DA" w14:textId="77777777" w:rsidR="00BF5974" w:rsidRDefault="00BF5974" w:rsidP="00BF5974">
      <w:pPr>
        <w:jc w:val="center"/>
        <w:rPr>
          <w:rFonts w:eastAsia="Times New Roman" w:cs="Arial"/>
          <w:b/>
          <w:sz w:val="20"/>
          <w:lang w:val="es-ES"/>
        </w:rPr>
      </w:pPr>
      <w:r>
        <w:rPr>
          <w:rFonts w:eastAsia="Times New Roman" w:cs="Arial"/>
          <w:b/>
          <w:sz w:val="20"/>
          <w:lang w:val="es-ES"/>
        </w:rPr>
        <w:t>Tabla 41. Saldos de la Deuda Pública a Corto Plazo</w:t>
      </w:r>
    </w:p>
    <w:p w14:paraId="09D8CC0C" w14:textId="77777777" w:rsidR="00BF5974" w:rsidRDefault="00BF5974" w:rsidP="00BF5974">
      <w:pPr>
        <w:ind w:left="567" w:hanging="567"/>
        <w:jc w:val="center"/>
        <w:rPr>
          <w:rFonts w:eastAsia="Times New Roman" w:cs="Arial"/>
          <w:lang w:val="es-ES" w:eastAsia="es-ES"/>
        </w:rPr>
      </w:pPr>
      <w:r>
        <w:rPr>
          <w:rFonts w:eastAsia="Times New Roman" w:cs="Arial"/>
          <w:sz w:val="18"/>
          <w:lang w:val="es-ES"/>
        </w:rPr>
        <w:t>Saldos al 31 de octubre de 2024</w:t>
      </w:r>
    </w:p>
    <w:tbl>
      <w:tblPr>
        <w:tblW w:w="9915" w:type="dxa"/>
        <w:jc w:val="center"/>
        <w:tblLayout w:type="fixed"/>
        <w:tblCellMar>
          <w:left w:w="70" w:type="dxa"/>
          <w:right w:w="70" w:type="dxa"/>
        </w:tblCellMar>
        <w:tblLook w:val="04A0" w:firstRow="1" w:lastRow="0" w:firstColumn="1" w:lastColumn="0" w:noHBand="0" w:noVBand="1"/>
      </w:tblPr>
      <w:tblGrid>
        <w:gridCol w:w="947"/>
        <w:gridCol w:w="889"/>
        <w:gridCol w:w="991"/>
        <w:gridCol w:w="993"/>
        <w:gridCol w:w="992"/>
        <w:gridCol w:w="567"/>
        <w:gridCol w:w="850"/>
        <w:gridCol w:w="740"/>
        <w:gridCol w:w="1140"/>
        <w:gridCol w:w="708"/>
        <w:gridCol w:w="1098"/>
      </w:tblGrid>
      <w:tr w:rsidR="00BF5974" w14:paraId="0C5504B3" w14:textId="77777777" w:rsidTr="00BF5974">
        <w:trPr>
          <w:trHeight w:val="579"/>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5D189B76"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Acreedor</w:t>
            </w:r>
          </w:p>
        </w:tc>
        <w:tc>
          <w:tcPr>
            <w:tcW w:w="890" w:type="dxa"/>
            <w:tcBorders>
              <w:top w:val="single" w:sz="4" w:space="0" w:color="auto"/>
              <w:left w:val="nil"/>
              <w:bottom w:val="single" w:sz="4" w:space="0" w:color="auto"/>
              <w:right w:val="single" w:sz="4" w:space="0" w:color="auto"/>
            </w:tcBorders>
            <w:vAlign w:val="center"/>
            <w:hideMark/>
          </w:tcPr>
          <w:p w14:paraId="1410D310"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Número de Crédito</w:t>
            </w:r>
          </w:p>
        </w:tc>
        <w:tc>
          <w:tcPr>
            <w:tcW w:w="992" w:type="dxa"/>
            <w:tcBorders>
              <w:top w:val="single" w:sz="4" w:space="0" w:color="auto"/>
              <w:left w:val="nil"/>
              <w:bottom w:val="single" w:sz="4" w:space="0" w:color="auto"/>
              <w:right w:val="single" w:sz="4" w:space="0" w:color="auto"/>
            </w:tcBorders>
            <w:vAlign w:val="center"/>
            <w:hideMark/>
          </w:tcPr>
          <w:p w14:paraId="647DD471"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Monto Contratado</w:t>
            </w:r>
          </w:p>
        </w:tc>
        <w:tc>
          <w:tcPr>
            <w:tcW w:w="993" w:type="dxa"/>
            <w:tcBorders>
              <w:top w:val="single" w:sz="4" w:space="0" w:color="auto"/>
              <w:left w:val="nil"/>
              <w:bottom w:val="single" w:sz="4" w:space="0" w:color="auto"/>
              <w:right w:val="single" w:sz="4" w:space="0" w:color="auto"/>
            </w:tcBorders>
            <w:vAlign w:val="center"/>
            <w:hideMark/>
          </w:tcPr>
          <w:p w14:paraId="4A4BE5C4"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Saldo Insoluto</w:t>
            </w:r>
          </w:p>
        </w:tc>
        <w:tc>
          <w:tcPr>
            <w:tcW w:w="992" w:type="dxa"/>
            <w:tcBorders>
              <w:top w:val="single" w:sz="4" w:space="0" w:color="auto"/>
              <w:left w:val="nil"/>
              <w:bottom w:val="single" w:sz="4" w:space="0" w:color="auto"/>
              <w:right w:val="single" w:sz="4" w:space="0" w:color="auto"/>
            </w:tcBorders>
            <w:vAlign w:val="center"/>
            <w:hideMark/>
          </w:tcPr>
          <w:p w14:paraId="5CBA6D90"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Tasa de Interés Contratada</w:t>
            </w:r>
          </w:p>
        </w:tc>
        <w:tc>
          <w:tcPr>
            <w:tcW w:w="567" w:type="dxa"/>
            <w:tcBorders>
              <w:top w:val="single" w:sz="4" w:space="0" w:color="auto"/>
              <w:left w:val="nil"/>
              <w:bottom w:val="single" w:sz="4" w:space="0" w:color="auto"/>
              <w:right w:val="single" w:sz="4" w:space="0" w:color="auto"/>
            </w:tcBorders>
            <w:vAlign w:val="center"/>
            <w:hideMark/>
          </w:tcPr>
          <w:p w14:paraId="770A1396"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Tasa Efectiva</w:t>
            </w:r>
          </w:p>
        </w:tc>
        <w:tc>
          <w:tcPr>
            <w:tcW w:w="850" w:type="dxa"/>
            <w:tcBorders>
              <w:top w:val="single" w:sz="4" w:space="0" w:color="auto"/>
              <w:left w:val="nil"/>
              <w:bottom w:val="single" w:sz="4" w:space="0" w:color="auto"/>
              <w:right w:val="single" w:sz="4" w:space="0" w:color="auto"/>
            </w:tcBorders>
            <w:vAlign w:val="center"/>
            <w:hideMark/>
          </w:tcPr>
          <w:p w14:paraId="589E5F5F"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Fecha de Suscripción</w:t>
            </w:r>
          </w:p>
        </w:tc>
        <w:tc>
          <w:tcPr>
            <w:tcW w:w="740" w:type="dxa"/>
            <w:tcBorders>
              <w:top w:val="single" w:sz="4" w:space="0" w:color="auto"/>
              <w:left w:val="nil"/>
              <w:bottom w:val="single" w:sz="4" w:space="0" w:color="auto"/>
              <w:right w:val="single" w:sz="4" w:space="0" w:color="auto"/>
            </w:tcBorders>
            <w:vAlign w:val="center"/>
            <w:hideMark/>
          </w:tcPr>
          <w:p w14:paraId="4EBD9F58"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Fecha de Vencimiento</w:t>
            </w:r>
          </w:p>
        </w:tc>
        <w:tc>
          <w:tcPr>
            <w:tcW w:w="1140" w:type="dxa"/>
            <w:tcBorders>
              <w:top w:val="single" w:sz="4" w:space="0" w:color="auto"/>
              <w:left w:val="nil"/>
              <w:bottom w:val="single" w:sz="4" w:space="0" w:color="auto"/>
              <w:right w:val="single" w:sz="4" w:space="0" w:color="auto"/>
            </w:tcBorders>
            <w:vAlign w:val="center"/>
            <w:hideMark/>
          </w:tcPr>
          <w:p w14:paraId="5B96D905"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Garantía y/o Fuente de Pago</w:t>
            </w:r>
          </w:p>
        </w:tc>
        <w:tc>
          <w:tcPr>
            <w:tcW w:w="708" w:type="dxa"/>
            <w:tcBorders>
              <w:top w:val="single" w:sz="4" w:space="0" w:color="auto"/>
              <w:left w:val="nil"/>
              <w:bottom w:val="single" w:sz="4" w:space="0" w:color="auto"/>
              <w:right w:val="single" w:sz="4" w:space="0" w:color="auto"/>
            </w:tcBorders>
            <w:vAlign w:val="center"/>
            <w:hideMark/>
          </w:tcPr>
          <w:p w14:paraId="45107DCA"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Tipo de Crédito</w:t>
            </w:r>
          </w:p>
        </w:tc>
        <w:tc>
          <w:tcPr>
            <w:tcW w:w="1098" w:type="dxa"/>
            <w:tcBorders>
              <w:top w:val="single" w:sz="4" w:space="0" w:color="auto"/>
              <w:left w:val="nil"/>
              <w:bottom w:val="single" w:sz="4" w:space="0" w:color="auto"/>
              <w:right w:val="single" w:sz="4" w:space="0" w:color="auto"/>
            </w:tcBorders>
            <w:vAlign w:val="center"/>
            <w:hideMark/>
          </w:tcPr>
          <w:p w14:paraId="24B69A95"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Destino</w:t>
            </w:r>
          </w:p>
        </w:tc>
      </w:tr>
      <w:tr w:rsidR="00BF5974" w14:paraId="46409C60" w14:textId="77777777" w:rsidTr="00BF5974">
        <w:trPr>
          <w:trHeight w:val="300"/>
          <w:jc w:val="center"/>
        </w:trPr>
        <w:tc>
          <w:tcPr>
            <w:tcW w:w="948" w:type="dxa"/>
            <w:tcBorders>
              <w:top w:val="nil"/>
              <w:left w:val="single" w:sz="4" w:space="0" w:color="auto"/>
              <w:bottom w:val="single" w:sz="4" w:space="0" w:color="auto"/>
              <w:right w:val="single" w:sz="4" w:space="0" w:color="auto"/>
            </w:tcBorders>
            <w:noWrap/>
            <w:vAlign w:val="center"/>
            <w:hideMark/>
          </w:tcPr>
          <w:p w14:paraId="34A1EDD7"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Banca Afirme</w:t>
            </w:r>
          </w:p>
        </w:tc>
        <w:tc>
          <w:tcPr>
            <w:tcW w:w="890" w:type="dxa"/>
            <w:tcBorders>
              <w:top w:val="nil"/>
              <w:left w:val="nil"/>
              <w:bottom w:val="single" w:sz="4" w:space="0" w:color="auto"/>
              <w:right w:val="single" w:sz="4" w:space="0" w:color="auto"/>
            </w:tcBorders>
            <w:noWrap/>
            <w:vAlign w:val="center"/>
            <w:hideMark/>
          </w:tcPr>
          <w:p w14:paraId="432E2E64" w14:textId="77777777" w:rsidR="00BF5974" w:rsidRDefault="00BF5974">
            <w:pPr>
              <w:spacing w:line="256" w:lineRule="auto"/>
              <w:jc w:val="center"/>
              <w:rPr>
                <w:rFonts w:eastAsia="Times New Roman" w:cs="Arial"/>
                <w:color w:val="FF0000"/>
                <w:sz w:val="12"/>
                <w:szCs w:val="12"/>
                <w:lang w:val="es-ES" w:eastAsia="en-US"/>
              </w:rPr>
            </w:pPr>
            <w:r>
              <w:rPr>
                <w:sz w:val="12"/>
                <w:szCs w:val="12"/>
                <w:lang w:val="es-ES" w:eastAsia="en-US"/>
              </w:rPr>
              <w:t>309417571</w:t>
            </w:r>
          </w:p>
        </w:tc>
        <w:tc>
          <w:tcPr>
            <w:tcW w:w="992" w:type="dxa"/>
            <w:tcBorders>
              <w:top w:val="nil"/>
              <w:left w:val="nil"/>
              <w:bottom w:val="single" w:sz="4" w:space="0" w:color="auto"/>
              <w:right w:val="single" w:sz="4" w:space="0" w:color="auto"/>
            </w:tcBorders>
            <w:noWrap/>
            <w:vAlign w:val="center"/>
            <w:hideMark/>
          </w:tcPr>
          <w:p w14:paraId="5DB691A3" w14:textId="77777777" w:rsidR="00BF5974" w:rsidRDefault="00BF5974">
            <w:pPr>
              <w:spacing w:line="256" w:lineRule="auto"/>
              <w:jc w:val="center"/>
              <w:rPr>
                <w:rFonts w:eastAsia="Times New Roman" w:cs="Arial"/>
                <w:color w:val="FF0000"/>
                <w:sz w:val="12"/>
                <w:szCs w:val="12"/>
                <w:lang w:val="es-ES" w:eastAsia="en-US"/>
              </w:rPr>
            </w:pPr>
            <w:r>
              <w:rPr>
                <w:sz w:val="12"/>
                <w:szCs w:val="12"/>
                <w:lang w:val="es-ES" w:eastAsia="en-US"/>
              </w:rPr>
              <w:t>185,000,000</w:t>
            </w:r>
          </w:p>
        </w:tc>
        <w:tc>
          <w:tcPr>
            <w:tcW w:w="993" w:type="dxa"/>
            <w:tcBorders>
              <w:top w:val="nil"/>
              <w:left w:val="nil"/>
              <w:bottom w:val="single" w:sz="4" w:space="0" w:color="auto"/>
              <w:right w:val="single" w:sz="4" w:space="0" w:color="auto"/>
            </w:tcBorders>
            <w:noWrap/>
            <w:vAlign w:val="center"/>
            <w:hideMark/>
          </w:tcPr>
          <w:p w14:paraId="3FFDF5DA" w14:textId="77777777" w:rsidR="00BF5974" w:rsidRDefault="00BF5974">
            <w:pPr>
              <w:spacing w:line="256" w:lineRule="auto"/>
              <w:jc w:val="center"/>
              <w:rPr>
                <w:rFonts w:eastAsia="Times New Roman" w:cs="Arial"/>
                <w:color w:val="FF0000"/>
                <w:sz w:val="12"/>
                <w:szCs w:val="12"/>
                <w:lang w:val="es-ES" w:eastAsia="en-US"/>
              </w:rPr>
            </w:pPr>
            <w:r>
              <w:rPr>
                <w:sz w:val="12"/>
                <w:szCs w:val="12"/>
                <w:lang w:val="es-ES" w:eastAsia="en-US"/>
              </w:rPr>
              <w:t>30,833,335</w:t>
            </w:r>
          </w:p>
        </w:tc>
        <w:tc>
          <w:tcPr>
            <w:tcW w:w="992" w:type="dxa"/>
            <w:tcBorders>
              <w:top w:val="nil"/>
              <w:left w:val="nil"/>
              <w:bottom w:val="single" w:sz="4" w:space="0" w:color="auto"/>
              <w:right w:val="single" w:sz="4" w:space="0" w:color="auto"/>
            </w:tcBorders>
            <w:noWrap/>
            <w:vAlign w:val="center"/>
            <w:hideMark/>
          </w:tcPr>
          <w:p w14:paraId="0CCD8BA8"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TIIE+0.50%</w:t>
            </w:r>
          </w:p>
        </w:tc>
        <w:tc>
          <w:tcPr>
            <w:tcW w:w="567" w:type="dxa"/>
            <w:tcBorders>
              <w:top w:val="nil"/>
              <w:left w:val="nil"/>
              <w:bottom w:val="single" w:sz="4" w:space="0" w:color="auto"/>
              <w:right w:val="single" w:sz="4" w:space="0" w:color="auto"/>
            </w:tcBorders>
            <w:noWrap/>
            <w:vAlign w:val="center"/>
            <w:hideMark/>
          </w:tcPr>
          <w:p w14:paraId="44736F3E"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11.84%</w:t>
            </w:r>
          </w:p>
        </w:tc>
        <w:tc>
          <w:tcPr>
            <w:tcW w:w="850" w:type="dxa"/>
            <w:tcBorders>
              <w:top w:val="nil"/>
              <w:left w:val="nil"/>
              <w:bottom w:val="single" w:sz="4" w:space="0" w:color="auto"/>
              <w:right w:val="single" w:sz="4" w:space="0" w:color="auto"/>
            </w:tcBorders>
            <w:noWrap/>
            <w:vAlign w:val="center"/>
            <w:hideMark/>
          </w:tcPr>
          <w:p w14:paraId="1B7F74BE"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dic-23</w:t>
            </w:r>
          </w:p>
        </w:tc>
        <w:tc>
          <w:tcPr>
            <w:tcW w:w="740" w:type="dxa"/>
            <w:tcBorders>
              <w:top w:val="nil"/>
              <w:left w:val="nil"/>
              <w:bottom w:val="single" w:sz="4" w:space="0" w:color="auto"/>
              <w:right w:val="single" w:sz="4" w:space="0" w:color="auto"/>
            </w:tcBorders>
            <w:noWrap/>
            <w:vAlign w:val="center"/>
            <w:hideMark/>
          </w:tcPr>
          <w:p w14:paraId="03AE60FD"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dic-24</w:t>
            </w:r>
          </w:p>
        </w:tc>
        <w:tc>
          <w:tcPr>
            <w:tcW w:w="1140" w:type="dxa"/>
            <w:tcBorders>
              <w:top w:val="nil"/>
              <w:left w:val="nil"/>
              <w:bottom w:val="single" w:sz="4" w:space="0" w:color="auto"/>
              <w:right w:val="single" w:sz="4" w:space="0" w:color="auto"/>
            </w:tcBorders>
            <w:noWrap/>
            <w:vAlign w:val="center"/>
            <w:hideMark/>
          </w:tcPr>
          <w:p w14:paraId="53CB73B8"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Quirografario</w:t>
            </w:r>
          </w:p>
        </w:tc>
        <w:tc>
          <w:tcPr>
            <w:tcW w:w="708" w:type="dxa"/>
            <w:tcBorders>
              <w:top w:val="nil"/>
              <w:left w:val="nil"/>
              <w:bottom w:val="single" w:sz="4" w:space="0" w:color="auto"/>
              <w:right w:val="single" w:sz="4" w:space="0" w:color="auto"/>
            </w:tcBorders>
            <w:noWrap/>
            <w:vAlign w:val="center"/>
            <w:hideMark/>
          </w:tcPr>
          <w:p w14:paraId="3F234152"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Simple</w:t>
            </w:r>
          </w:p>
        </w:tc>
        <w:tc>
          <w:tcPr>
            <w:tcW w:w="1098" w:type="dxa"/>
            <w:tcBorders>
              <w:top w:val="nil"/>
              <w:left w:val="nil"/>
              <w:bottom w:val="single" w:sz="4" w:space="0" w:color="auto"/>
              <w:right w:val="single" w:sz="4" w:space="0" w:color="auto"/>
            </w:tcBorders>
            <w:noWrap/>
            <w:vAlign w:val="center"/>
            <w:hideMark/>
          </w:tcPr>
          <w:p w14:paraId="468DBAB5"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Necesidades de corto plazo</w:t>
            </w:r>
          </w:p>
        </w:tc>
      </w:tr>
      <w:tr w:rsidR="00BF5974" w14:paraId="20EC8AE6" w14:textId="77777777" w:rsidTr="00BF5974">
        <w:trPr>
          <w:trHeight w:val="300"/>
          <w:jc w:val="center"/>
        </w:trPr>
        <w:tc>
          <w:tcPr>
            <w:tcW w:w="948" w:type="dxa"/>
            <w:tcBorders>
              <w:top w:val="nil"/>
              <w:left w:val="single" w:sz="4" w:space="0" w:color="auto"/>
              <w:bottom w:val="single" w:sz="4" w:space="0" w:color="auto"/>
              <w:right w:val="single" w:sz="4" w:space="0" w:color="auto"/>
            </w:tcBorders>
            <w:noWrap/>
            <w:vAlign w:val="center"/>
            <w:hideMark/>
          </w:tcPr>
          <w:p w14:paraId="37BBFAEC"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Santander México</w:t>
            </w:r>
          </w:p>
        </w:tc>
        <w:tc>
          <w:tcPr>
            <w:tcW w:w="890" w:type="dxa"/>
            <w:tcBorders>
              <w:top w:val="nil"/>
              <w:left w:val="nil"/>
              <w:bottom w:val="single" w:sz="4" w:space="0" w:color="auto"/>
              <w:right w:val="single" w:sz="4" w:space="0" w:color="auto"/>
            </w:tcBorders>
            <w:noWrap/>
            <w:vAlign w:val="center"/>
            <w:hideMark/>
          </w:tcPr>
          <w:p w14:paraId="419606BA" w14:textId="77777777" w:rsidR="00BF5974" w:rsidRDefault="00BF5974">
            <w:pPr>
              <w:spacing w:line="256" w:lineRule="auto"/>
              <w:jc w:val="center"/>
              <w:rPr>
                <w:rFonts w:eastAsia="Times New Roman" w:cs="Arial"/>
                <w:color w:val="FF0000"/>
                <w:sz w:val="12"/>
                <w:szCs w:val="12"/>
                <w:lang w:val="es-ES" w:eastAsia="en-US"/>
              </w:rPr>
            </w:pPr>
            <w:r>
              <w:rPr>
                <w:sz w:val="12"/>
                <w:szCs w:val="12"/>
                <w:lang w:val="es-ES" w:eastAsia="en-US"/>
              </w:rPr>
              <w:t>5014131677</w:t>
            </w:r>
          </w:p>
        </w:tc>
        <w:tc>
          <w:tcPr>
            <w:tcW w:w="992" w:type="dxa"/>
            <w:tcBorders>
              <w:top w:val="nil"/>
              <w:left w:val="nil"/>
              <w:bottom w:val="single" w:sz="4" w:space="0" w:color="auto"/>
              <w:right w:val="single" w:sz="4" w:space="0" w:color="auto"/>
            </w:tcBorders>
            <w:noWrap/>
            <w:vAlign w:val="center"/>
            <w:hideMark/>
          </w:tcPr>
          <w:p w14:paraId="338CE2FD" w14:textId="77777777" w:rsidR="00BF5974" w:rsidRDefault="00BF5974">
            <w:pPr>
              <w:spacing w:line="256" w:lineRule="auto"/>
              <w:jc w:val="center"/>
              <w:rPr>
                <w:rFonts w:eastAsia="Times New Roman" w:cs="Arial"/>
                <w:color w:val="FF0000"/>
                <w:sz w:val="12"/>
                <w:szCs w:val="12"/>
                <w:lang w:val="es-ES" w:eastAsia="en-US"/>
              </w:rPr>
            </w:pPr>
            <w:r>
              <w:rPr>
                <w:sz w:val="12"/>
                <w:szCs w:val="12"/>
                <w:lang w:val="es-ES" w:eastAsia="en-US"/>
              </w:rPr>
              <w:t>185,000,000</w:t>
            </w:r>
          </w:p>
        </w:tc>
        <w:tc>
          <w:tcPr>
            <w:tcW w:w="993" w:type="dxa"/>
            <w:tcBorders>
              <w:top w:val="nil"/>
              <w:left w:val="nil"/>
              <w:bottom w:val="single" w:sz="4" w:space="0" w:color="auto"/>
              <w:right w:val="single" w:sz="4" w:space="0" w:color="auto"/>
            </w:tcBorders>
            <w:noWrap/>
            <w:vAlign w:val="center"/>
            <w:hideMark/>
          </w:tcPr>
          <w:p w14:paraId="3EECE072" w14:textId="77777777" w:rsidR="00BF5974" w:rsidRDefault="00BF5974">
            <w:pPr>
              <w:spacing w:line="256" w:lineRule="auto"/>
              <w:jc w:val="center"/>
              <w:rPr>
                <w:rFonts w:eastAsia="Times New Roman" w:cs="Arial"/>
                <w:color w:val="FF0000"/>
                <w:sz w:val="12"/>
                <w:szCs w:val="12"/>
                <w:lang w:val="es-ES" w:eastAsia="en-US"/>
              </w:rPr>
            </w:pPr>
            <w:r>
              <w:rPr>
                <w:sz w:val="12"/>
                <w:szCs w:val="12"/>
                <w:lang w:val="es-ES" w:eastAsia="en-US"/>
              </w:rPr>
              <w:t>30,833,333</w:t>
            </w:r>
          </w:p>
        </w:tc>
        <w:tc>
          <w:tcPr>
            <w:tcW w:w="992" w:type="dxa"/>
            <w:tcBorders>
              <w:top w:val="nil"/>
              <w:left w:val="nil"/>
              <w:bottom w:val="single" w:sz="4" w:space="0" w:color="auto"/>
              <w:right w:val="single" w:sz="4" w:space="0" w:color="auto"/>
            </w:tcBorders>
            <w:noWrap/>
            <w:vAlign w:val="center"/>
            <w:hideMark/>
          </w:tcPr>
          <w:p w14:paraId="206B5BC5"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TIIE+0.50%</w:t>
            </w:r>
          </w:p>
        </w:tc>
        <w:tc>
          <w:tcPr>
            <w:tcW w:w="567" w:type="dxa"/>
            <w:tcBorders>
              <w:top w:val="nil"/>
              <w:left w:val="nil"/>
              <w:bottom w:val="single" w:sz="4" w:space="0" w:color="auto"/>
              <w:right w:val="single" w:sz="4" w:space="0" w:color="auto"/>
            </w:tcBorders>
            <w:noWrap/>
            <w:vAlign w:val="center"/>
            <w:hideMark/>
          </w:tcPr>
          <w:p w14:paraId="51AC4CB0"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11.86%</w:t>
            </w:r>
          </w:p>
        </w:tc>
        <w:tc>
          <w:tcPr>
            <w:tcW w:w="850" w:type="dxa"/>
            <w:tcBorders>
              <w:top w:val="nil"/>
              <w:left w:val="nil"/>
              <w:bottom w:val="single" w:sz="4" w:space="0" w:color="auto"/>
              <w:right w:val="single" w:sz="4" w:space="0" w:color="auto"/>
            </w:tcBorders>
            <w:noWrap/>
            <w:vAlign w:val="center"/>
            <w:hideMark/>
          </w:tcPr>
          <w:p w14:paraId="5A06D7A6"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dic-23</w:t>
            </w:r>
          </w:p>
        </w:tc>
        <w:tc>
          <w:tcPr>
            <w:tcW w:w="740" w:type="dxa"/>
            <w:tcBorders>
              <w:top w:val="nil"/>
              <w:left w:val="nil"/>
              <w:bottom w:val="single" w:sz="4" w:space="0" w:color="auto"/>
              <w:right w:val="single" w:sz="4" w:space="0" w:color="auto"/>
            </w:tcBorders>
            <w:noWrap/>
            <w:vAlign w:val="center"/>
            <w:hideMark/>
          </w:tcPr>
          <w:p w14:paraId="538BE1BB"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dic-24</w:t>
            </w:r>
          </w:p>
        </w:tc>
        <w:tc>
          <w:tcPr>
            <w:tcW w:w="1140" w:type="dxa"/>
            <w:tcBorders>
              <w:top w:val="nil"/>
              <w:left w:val="nil"/>
              <w:bottom w:val="single" w:sz="4" w:space="0" w:color="auto"/>
              <w:right w:val="single" w:sz="4" w:space="0" w:color="auto"/>
            </w:tcBorders>
            <w:noWrap/>
            <w:vAlign w:val="center"/>
            <w:hideMark/>
          </w:tcPr>
          <w:p w14:paraId="385FA863"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Quirografario</w:t>
            </w:r>
          </w:p>
        </w:tc>
        <w:tc>
          <w:tcPr>
            <w:tcW w:w="708" w:type="dxa"/>
            <w:tcBorders>
              <w:top w:val="nil"/>
              <w:left w:val="nil"/>
              <w:bottom w:val="single" w:sz="4" w:space="0" w:color="auto"/>
              <w:right w:val="single" w:sz="4" w:space="0" w:color="auto"/>
            </w:tcBorders>
            <w:noWrap/>
            <w:vAlign w:val="center"/>
            <w:hideMark/>
          </w:tcPr>
          <w:p w14:paraId="48CBB58E"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Simple</w:t>
            </w:r>
          </w:p>
        </w:tc>
        <w:tc>
          <w:tcPr>
            <w:tcW w:w="1098" w:type="dxa"/>
            <w:tcBorders>
              <w:top w:val="nil"/>
              <w:left w:val="nil"/>
              <w:bottom w:val="single" w:sz="4" w:space="0" w:color="auto"/>
              <w:right w:val="single" w:sz="4" w:space="0" w:color="auto"/>
            </w:tcBorders>
            <w:noWrap/>
            <w:vAlign w:val="center"/>
            <w:hideMark/>
          </w:tcPr>
          <w:p w14:paraId="4A00EF63"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Necesidades de corto plazo</w:t>
            </w:r>
          </w:p>
        </w:tc>
      </w:tr>
      <w:tr w:rsidR="00BF5974" w14:paraId="39428E2F" w14:textId="77777777" w:rsidTr="00BF5974">
        <w:trPr>
          <w:trHeight w:val="300"/>
          <w:jc w:val="center"/>
        </w:trPr>
        <w:tc>
          <w:tcPr>
            <w:tcW w:w="948" w:type="dxa"/>
            <w:tcBorders>
              <w:top w:val="nil"/>
              <w:left w:val="single" w:sz="4" w:space="0" w:color="auto"/>
              <w:bottom w:val="single" w:sz="4" w:space="0" w:color="auto"/>
              <w:right w:val="single" w:sz="4" w:space="0" w:color="auto"/>
            </w:tcBorders>
            <w:noWrap/>
            <w:vAlign w:val="center"/>
            <w:hideMark/>
          </w:tcPr>
          <w:p w14:paraId="2D995C8B"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Banca Afirme</w:t>
            </w:r>
          </w:p>
        </w:tc>
        <w:tc>
          <w:tcPr>
            <w:tcW w:w="890" w:type="dxa"/>
            <w:tcBorders>
              <w:top w:val="nil"/>
              <w:left w:val="nil"/>
              <w:bottom w:val="single" w:sz="4" w:space="0" w:color="auto"/>
              <w:right w:val="single" w:sz="4" w:space="0" w:color="auto"/>
            </w:tcBorders>
            <w:noWrap/>
            <w:vAlign w:val="center"/>
            <w:hideMark/>
          </w:tcPr>
          <w:p w14:paraId="6F8002CE" w14:textId="77777777" w:rsidR="00BF5974" w:rsidRDefault="00BF5974">
            <w:pPr>
              <w:spacing w:line="256" w:lineRule="auto"/>
              <w:jc w:val="center"/>
              <w:rPr>
                <w:rFonts w:eastAsia="Times New Roman" w:cs="Arial"/>
                <w:color w:val="FF0000"/>
                <w:sz w:val="12"/>
                <w:szCs w:val="12"/>
                <w:lang w:val="es-ES" w:eastAsia="en-US"/>
              </w:rPr>
            </w:pPr>
            <w:r>
              <w:rPr>
                <w:sz w:val="12"/>
                <w:szCs w:val="12"/>
                <w:lang w:val="es-ES" w:eastAsia="en-US"/>
              </w:rPr>
              <w:t>309451588</w:t>
            </w:r>
          </w:p>
        </w:tc>
        <w:tc>
          <w:tcPr>
            <w:tcW w:w="992" w:type="dxa"/>
            <w:tcBorders>
              <w:top w:val="nil"/>
              <w:left w:val="nil"/>
              <w:bottom w:val="single" w:sz="4" w:space="0" w:color="auto"/>
              <w:right w:val="single" w:sz="4" w:space="0" w:color="auto"/>
            </w:tcBorders>
            <w:noWrap/>
            <w:vAlign w:val="center"/>
            <w:hideMark/>
          </w:tcPr>
          <w:p w14:paraId="1CF88F86" w14:textId="77777777" w:rsidR="00BF5974" w:rsidRDefault="00BF5974">
            <w:pPr>
              <w:spacing w:line="256" w:lineRule="auto"/>
              <w:jc w:val="center"/>
              <w:rPr>
                <w:rFonts w:eastAsia="Times New Roman" w:cs="Arial"/>
                <w:color w:val="FF0000"/>
                <w:sz w:val="12"/>
                <w:szCs w:val="12"/>
                <w:lang w:val="es-ES" w:eastAsia="en-US"/>
              </w:rPr>
            </w:pPr>
            <w:r>
              <w:rPr>
                <w:sz w:val="12"/>
                <w:szCs w:val="12"/>
                <w:lang w:val="es-ES" w:eastAsia="en-US"/>
              </w:rPr>
              <w:t>250,000,000</w:t>
            </w:r>
          </w:p>
        </w:tc>
        <w:tc>
          <w:tcPr>
            <w:tcW w:w="993" w:type="dxa"/>
            <w:tcBorders>
              <w:top w:val="nil"/>
              <w:left w:val="nil"/>
              <w:bottom w:val="single" w:sz="4" w:space="0" w:color="auto"/>
              <w:right w:val="single" w:sz="4" w:space="0" w:color="auto"/>
            </w:tcBorders>
            <w:noWrap/>
            <w:vAlign w:val="center"/>
            <w:hideMark/>
          </w:tcPr>
          <w:p w14:paraId="06A6D6BC" w14:textId="77777777" w:rsidR="00BF5974" w:rsidRDefault="00BF5974">
            <w:pPr>
              <w:spacing w:line="256" w:lineRule="auto"/>
              <w:jc w:val="center"/>
              <w:rPr>
                <w:rFonts w:eastAsia="Times New Roman" w:cs="Arial"/>
                <w:color w:val="FF0000"/>
                <w:sz w:val="12"/>
                <w:szCs w:val="12"/>
                <w:lang w:val="es-ES" w:eastAsia="en-US"/>
              </w:rPr>
            </w:pPr>
            <w:r>
              <w:rPr>
                <w:sz w:val="12"/>
                <w:szCs w:val="12"/>
                <w:lang w:val="es-ES" w:eastAsia="en-US"/>
              </w:rPr>
              <w:t>43,936,937</w:t>
            </w:r>
          </w:p>
        </w:tc>
        <w:tc>
          <w:tcPr>
            <w:tcW w:w="992" w:type="dxa"/>
            <w:tcBorders>
              <w:top w:val="nil"/>
              <w:left w:val="nil"/>
              <w:bottom w:val="single" w:sz="4" w:space="0" w:color="auto"/>
              <w:right w:val="single" w:sz="4" w:space="0" w:color="auto"/>
            </w:tcBorders>
            <w:noWrap/>
            <w:vAlign w:val="center"/>
            <w:hideMark/>
          </w:tcPr>
          <w:p w14:paraId="49888F9C"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TIIE+0.50%</w:t>
            </w:r>
          </w:p>
        </w:tc>
        <w:tc>
          <w:tcPr>
            <w:tcW w:w="567" w:type="dxa"/>
            <w:tcBorders>
              <w:top w:val="nil"/>
              <w:left w:val="nil"/>
              <w:bottom w:val="single" w:sz="4" w:space="0" w:color="auto"/>
              <w:right w:val="single" w:sz="4" w:space="0" w:color="auto"/>
            </w:tcBorders>
            <w:noWrap/>
            <w:vAlign w:val="center"/>
            <w:hideMark/>
          </w:tcPr>
          <w:p w14:paraId="16FA3F0C"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11.85%</w:t>
            </w:r>
          </w:p>
        </w:tc>
        <w:tc>
          <w:tcPr>
            <w:tcW w:w="850" w:type="dxa"/>
            <w:tcBorders>
              <w:top w:val="nil"/>
              <w:left w:val="nil"/>
              <w:bottom w:val="single" w:sz="4" w:space="0" w:color="auto"/>
              <w:right w:val="single" w:sz="4" w:space="0" w:color="auto"/>
            </w:tcBorders>
            <w:noWrap/>
            <w:vAlign w:val="center"/>
            <w:hideMark/>
          </w:tcPr>
          <w:p w14:paraId="19516E01"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dic-23</w:t>
            </w:r>
          </w:p>
        </w:tc>
        <w:tc>
          <w:tcPr>
            <w:tcW w:w="740" w:type="dxa"/>
            <w:tcBorders>
              <w:top w:val="nil"/>
              <w:left w:val="nil"/>
              <w:bottom w:val="single" w:sz="4" w:space="0" w:color="auto"/>
              <w:right w:val="single" w:sz="4" w:space="0" w:color="auto"/>
            </w:tcBorders>
            <w:noWrap/>
            <w:vAlign w:val="center"/>
            <w:hideMark/>
          </w:tcPr>
          <w:p w14:paraId="63F5CA25"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dic-24</w:t>
            </w:r>
          </w:p>
        </w:tc>
        <w:tc>
          <w:tcPr>
            <w:tcW w:w="1140" w:type="dxa"/>
            <w:tcBorders>
              <w:top w:val="nil"/>
              <w:left w:val="nil"/>
              <w:bottom w:val="single" w:sz="4" w:space="0" w:color="auto"/>
              <w:right w:val="single" w:sz="4" w:space="0" w:color="auto"/>
            </w:tcBorders>
            <w:noWrap/>
            <w:vAlign w:val="center"/>
            <w:hideMark/>
          </w:tcPr>
          <w:p w14:paraId="6758C69B"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Quirografario</w:t>
            </w:r>
          </w:p>
        </w:tc>
        <w:tc>
          <w:tcPr>
            <w:tcW w:w="708" w:type="dxa"/>
            <w:tcBorders>
              <w:top w:val="nil"/>
              <w:left w:val="nil"/>
              <w:bottom w:val="single" w:sz="4" w:space="0" w:color="auto"/>
              <w:right w:val="single" w:sz="4" w:space="0" w:color="auto"/>
            </w:tcBorders>
            <w:noWrap/>
            <w:vAlign w:val="center"/>
            <w:hideMark/>
          </w:tcPr>
          <w:p w14:paraId="53C807FE"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Simple</w:t>
            </w:r>
          </w:p>
        </w:tc>
        <w:tc>
          <w:tcPr>
            <w:tcW w:w="1098" w:type="dxa"/>
            <w:tcBorders>
              <w:top w:val="nil"/>
              <w:left w:val="nil"/>
              <w:bottom w:val="single" w:sz="4" w:space="0" w:color="auto"/>
              <w:right w:val="single" w:sz="4" w:space="0" w:color="auto"/>
            </w:tcBorders>
            <w:noWrap/>
            <w:vAlign w:val="center"/>
            <w:hideMark/>
          </w:tcPr>
          <w:p w14:paraId="3BE77364" w14:textId="77777777" w:rsidR="00BF5974" w:rsidRDefault="00BF5974">
            <w:pPr>
              <w:spacing w:line="256" w:lineRule="auto"/>
              <w:jc w:val="center"/>
              <w:rPr>
                <w:rFonts w:eastAsia="Times New Roman" w:cs="Arial"/>
                <w:sz w:val="12"/>
                <w:szCs w:val="12"/>
                <w:lang w:val="es-ES" w:eastAsia="en-US"/>
              </w:rPr>
            </w:pPr>
            <w:r>
              <w:rPr>
                <w:sz w:val="12"/>
                <w:szCs w:val="12"/>
                <w:lang w:val="es-ES" w:eastAsia="en-US"/>
              </w:rPr>
              <w:t>Necesidades de corto plazo</w:t>
            </w:r>
          </w:p>
        </w:tc>
      </w:tr>
      <w:tr w:rsidR="00BF5974" w14:paraId="262B126D" w14:textId="77777777" w:rsidTr="00BF5974">
        <w:trPr>
          <w:trHeight w:val="217"/>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49556628" w14:textId="77777777" w:rsidR="00BF5974" w:rsidRDefault="00BF5974">
            <w:pPr>
              <w:spacing w:line="256" w:lineRule="auto"/>
              <w:jc w:val="center"/>
              <w:rPr>
                <w:rFonts w:eastAsia="Times New Roman" w:cs="Arial"/>
                <w:b/>
                <w:bCs/>
                <w:sz w:val="12"/>
                <w:szCs w:val="12"/>
                <w:lang w:val="es-ES" w:eastAsia="en-US"/>
              </w:rPr>
            </w:pPr>
            <w:r>
              <w:rPr>
                <w:rFonts w:eastAsia="Times New Roman" w:cs="Arial"/>
                <w:b/>
                <w:bCs/>
                <w:sz w:val="12"/>
                <w:szCs w:val="12"/>
                <w:lang w:val="es-ES" w:eastAsia="en-US"/>
              </w:rPr>
              <w:t>Total</w:t>
            </w:r>
          </w:p>
        </w:tc>
        <w:tc>
          <w:tcPr>
            <w:tcW w:w="890" w:type="dxa"/>
            <w:tcBorders>
              <w:top w:val="single" w:sz="4" w:space="0" w:color="auto"/>
              <w:left w:val="nil"/>
              <w:bottom w:val="single" w:sz="4" w:space="0" w:color="auto"/>
              <w:right w:val="single" w:sz="4" w:space="0" w:color="auto"/>
            </w:tcBorders>
            <w:vAlign w:val="center"/>
          </w:tcPr>
          <w:p w14:paraId="6C3CF880" w14:textId="77777777" w:rsidR="00BF5974" w:rsidRDefault="00BF5974">
            <w:pPr>
              <w:spacing w:line="256" w:lineRule="auto"/>
              <w:jc w:val="center"/>
              <w:rPr>
                <w:rFonts w:eastAsia="Times New Roman" w:cs="Arial"/>
                <w:b/>
                <w:bCs/>
                <w:color w:val="FF0000"/>
                <w:sz w:val="12"/>
                <w:szCs w:val="12"/>
                <w:lang w:val="es-ES" w:eastAsia="en-US"/>
              </w:rPr>
            </w:pPr>
          </w:p>
        </w:tc>
        <w:tc>
          <w:tcPr>
            <w:tcW w:w="992" w:type="dxa"/>
            <w:tcBorders>
              <w:top w:val="single" w:sz="4" w:space="0" w:color="auto"/>
              <w:left w:val="nil"/>
              <w:bottom w:val="single" w:sz="4" w:space="0" w:color="auto"/>
              <w:right w:val="single" w:sz="4" w:space="0" w:color="auto"/>
            </w:tcBorders>
            <w:vAlign w:val="center"/>
            <w:hideMark/>
          </w:tcPr>
          <w:p w14:paraId="7A163CE2" w14:textId="77777777" w:rsidR="00BF5974" w:rsidRDefault="00BF5974">
            <w:pPr>
              <w:spacing w:line="256" w:lineRule="auto"/>
              <w:jc w:val="center"/>
              <w:rPr>
                <w:rFonts w:eastAsia="Times New Roman" w:cs="Arial"/>
                <w:b/>
                <w:bCs/>
                <w:color w:val="FF0000"/>
                <w:sz w:val="12"/>
                <w:szCs w:val="12"/>
                <w:lang w:val="es-ES" w:eastAsia="en-US"/>
              </w:rPr>
            </w:pPr>
            <w:r>
              <w:rPr>
                <w:b/>
                <w:bCs/>
                <w:sz w:val="12"/>
                <w:szCs w:val="12"/>
                <w:lang w:val="es-ES" w:eastAsia="en-US"/>
              </w:rPr>
              <w:t>620,000,000</w:t>
            </w:r>
          </w:p>
        </w:tc>
        <w:tc>
          <w:tcPr>
            <w:tcW w:w="993" w:type="dxa"/>
            <w:tcBorders>
              <w:top w:val="single" w:sz="4" w:space="0" w:color="auto"/>
              <w:left w:val="nil"/>
              <w:bottom w:val="single" w:sz="4" w:space="0" w:color="auto"/>
              <w:right w:val="single" w:sz="4" w:space="0" w:color="auto"/>
            </w:tcBorders>
            <w:vAlign w:val="center"/>
            <w:hideMark/>
          </w:tcPr>
          <w:p w14:paraId="422AAA01" w14:textId="77777777" w:rsidR="00BF5974" w:rsidRDefault="00BF5974">
            <w:pPr>
              <w:spacing w:line="256" w:lineRule="auto"/>
              <w:jc w:val="center"/>
              <w:rPr>
                <w:rFonts w:eastAsia="Times New Roman" w:cs="Arial"/>
                <w:b/>
                <w:bCs/>
                <w:color w:val="FF0000"/>
                <w:sz w:val="12"/>
                <w:szCs w:val="12"/>
                <w:lang w:val="es-ES" w:eastAsia="en-US"/>
              </w:rPr>
            </w:pPr>
            <w:bookmarkStart w:id="200" w:name="_Hlk179190691"/>
            <w:r>
              <w:rPr>
                <w:b/>
                <w:bCs/>
                <w:sz w:val="12"/>
                <w:szCs w:val="12"/>
                <w:lang w:val="es-ES" w:eastAsia="en-US"/>
              </w:rPr>
              <w:t>105,603,605</w:t>
            </w:r>
            <w:bookmarkEnd w:id="200"/>
          </w:p>
        </w:tc>
        <w:tc>
          <w:tcPr>
            <w:tcW w:w="6095" w:type="dxa"/>
            <w:gridSpan w:val="7"/>
            <w:tcBorders>
              <w:top w:val="single" w:sz="4" w:space="0" w:color="auto"/>
              <w:left w:val="nil"/>
              <w:bottom w:val="single" w:sz="4" w:space="0" w:color="auto"/>
              <w:right w:val="single" w:sz="4" w:space="0" w:color="auto"/>
            </w:tcBorders>
            <w:vAlign w:val="center"/>
          </w:tcPr>
          <w:p w14:paraId="79C8C499" w14:textId="77777777" w:rsidR="00BF5974" w:rsidRDefault="00BF5974">
            <w:pPr>
              <w:spacing w:line="256" w:lineRule="auto"/>
              <w:jc w:val="center"/>
              <w:rPr>
                <w:rFonts w:eastAsia="Times New Roman" w:cs="Arial"/>
                <w:b/>
                <w:bCs/>
                <w:sz w:val="12"/>
                <w:szCs w:val="12"/>
                <w:lang w:val="es-ES" w:eastAsia="en-US"/>
              </w:rPr>
            </w:pPr>
          </w:p>
        </w:tc>
      </w:tr>
    </w:tbl>
    <w:p w14:paraId="5D6EA85A" w14:textId="196A240F" w:rsidR="00BF5974" w:rsidRDefault="00BF5974" w:rsidP="00BF5974">
      <w:pPr>
        <w:jc w:val="center"/>
        <w:rPr>
          <w:rFonts w:eastAsia="Times New Roman" w:cs="Arial"/>
          <w:b/>
          <w:bCs/>
          <w:sz w:val="20"/>
          <w:szCs w:val="20"/>
        </w:rPr>
      </w:pPr>
    </w:p>
    <w:p w14:paraId="17F609DA" w14:textId="77777777" w:rsidR="00105286" w:rsidRDefault="00105286" w:rsidP="00BF5974">
      <w:pPr>
        <w:jc w:val="center"/>
        <w:rPr>
          <w:rFonts w:eastAsia="Times New Roman" w:cs="Arial"/>
          <w:b/>
          <w:bCs/>
          <w:sz w:val="20"/>
          <w:szCs w:val="20"/>
        </w:rPr>
      </w:pPr>
    </w:p>
    <w:p w14:paraId="793D6CD8" w14:textId="77777777" w:rsidR="00BF5974" w:rsidRDefault="00BF5974" w:rsidP="00BF5974">
      <w:pPr>
        <w:pStyle w:val="Prrafodelista"/>
        <w:numPr>
          <w:ilvl w:val="0"/>
          <w:numId w:val="43"/>
        </w:numPr>
        <w:rPr>
          <w:rFonts w:eastAsia="Times New Roman" w:cs="Arial"/>
          <w:lang w:val="es-ES" w:eastAsia="es-ES"/>
        </w:rPr>
      </w:pPr>
      <w:r>
        <w:rPr>
          <w:rFonts w:eastAsia="Times New Roman" w:cs="Arial"/>
          <w:lang w:val="es-ES" w:eastAsia="es-ES"/>
        </w:rPr>
        <w:t>El monto estimado para el pago de honorarios por administración de Fideicomisos relacionados con la Deuda Pública es el siguiente:</w:t>
      </w:r>
    </w:p>
    <w:p w14:paraId="448586BD" w14:textId="77777777" w:rsidR="00BF5974" w:rsidRDefault="00BF5974" w:rsidP="00BF5974">
      <w:pPr>
        <w:ind w:left="567" w:hanging="567"/>
        <w:rPr>
          <w:rFonts w:eastAsia="Times New Roman" w:cs="Arial"/>
          <w:lang w:val="es-ES" w:eastAsia="es-ES"/>
        </w:rPr>
      </w:pPr>
    </w:p>
    <w:p w14:paraId="518EECA2" w14:textId="77777777" w:rsidR="00BF5974" w:rsidRDefault="00BF5974" w:rsidP="00BF5974">
      <w:pPr>
        <w:jc w:val="center"/>
        <w:rPr>
          <w:rFonts w:eastAsia="Times New Roman" w:cs="Arial"/>
          <w:b/>
          <w:sz w:val="20"/>
          <w:lang w:val="es-ES"/>
        </w:rPr>
      </w:pPr>
      <w:bookmarkStart w:id="201" w:name="_Toc522869283"/>
      <w:bookmarkStart w:id="202" w:name="_Toc526757500"/>
      <w:bookmarkStart w:id="203" w:name="_Toc22021954"/>
      <w:bookmarkStart w:id="204" w:name="_Toc22983207"/>
      <w:r>
        <w:rPr>
          <w:rFonts w:eastAsia="Times New Roman" w:cs="Arial"/>
          <w:b/>
          <w:sz w:val="20"/>
          <w:lang w:val="es-ES"/>
        </w:rPr>
        <w:t xml:space="preserve">Tabla 42. </w:t>
      </w:r>
      <w:bookmarkEnd w:id="201"/>
      <w:bookmarkEnd w:id="202"/>
      <w:r>
        <w:rPr>
          <w:rFonts w:eastAsia="Times New Roman" w:cs="Arial"/>
          <w:b/>
          <w:sz w:val="20"/>
          <w:lang w:val="es-ES"/>
        </w:rPr>
        <w:t>Presupuesto Fideicomisos de Administración y/o Fuente de Pago</w:t>
      </w:r>
      <w:bookmarkEnd w:id="203"/>
      <w:bookmarkEnd w:id="204"/>
    </w:p>
    <w:tbl>
      <w:tblPr>
        <w:tblW w:w="7938" w:type="dxa"/>
        <w:jc w:val="center"/>
        <w:tblCellMar>
          <w:left w:w="70" w:type="dxa"/>
          <w:right w:w="70" w:type="dxa"/>
        </w:tblCellMar>
        <w:tblLook w:val="04A0" w:firstRow="1" w:lastRow="0" w:firstColumn="1" w:lastColumn="0" w:noHBand="0" w:noVBand="1"/>
      </w:tblPr>
      <w:tblGrid>
        <w:gridCol w:w="3407"/>
        <w:gridCol w:w="2688"/>
        <w:gridCol w:w="1843"/>
      </w:tblGrid>
      <w:tr w:rsidR="00BF5974" w14:paraId="03ECA85F" w14:textId="77777777" w:rsidTr="00BF5974">
        <w:trPr>
          <w:trHeight w:val="20"/>
          <w:jc w:val="center"/>
        </w:trPr>
        <w:tc>
          <w:tcPr>
            <w:tcW w:w="3407" w:type="dxa"/>
            <w:tcBorders>
              <w:top w:val="single" w:sz="4" w:space="0" w:color="auto"/>
              <w:left w:val="single" w:sz="4" w:space="0" w:color="auto"/>
              <w:bottom w:val="single" w:sz="4" w:space="0" w:color="auto"/>
              <w:right w:val="single" w:sz="4" w:space="0" w:color="auto"/>
            </w:tcBorders>
            <w:noWrap/>
            <w:vAlign w:val="center"/>
            <w:hideMark/>
          </w:tcPr>
          <w:p w14:paraId="7318D2DF" w14:textId="77777777" w:rsidR="00BF5974" w:rsidRDefault="00BF5974">
            <w:pPr>
              <w:spacing w:line="256" w:lineRule="auto"/>
              <w:jc w:val="center"/>
              <w:rPr>
                <w:rFonts w:eastAsia="Times New Roman" w:cs="Arial"/>
                <w:b/>
                <w:sz w:val="20"/>
                <w:lang w:val="es-ES" w:eastAsia="en-US"/>
              </w:rPr>
            </w:pPr>
            <w:r>
              <w:rPr>
                <w:rFonts w:eastAsia="Times New Roman" w:cs="Arial"/>
                <w:b/>
                <w:sz w:val="20"/>
                <w:lang w:val="es-ES" w:eastAsia="en-US"/>
              </w:rPr>
              <w:t>Fid</w:t>
            </w:r>
            <w:r>
              <w:rPr>
                <w:rFonts w:eastAsia="Times New Roman" w:cs="Arial"/>
                <w:b/>
                <w:bCs/>
                <w:sz w:val="20"/>
                <w:lang w:val="es-ES" w:eastAsia="en-US"/>
              </w:rPr>
              <w:t>uciario</w:t>
            </w:r>
          </w:p>
        </w:tc>
        <w:tc>
          <w:tcPr>
            <w:tcW w:w="2688" w:type="dxa"/>
            <w:tcBorders>
              <w:top w:val="single" w:sz="4" w:space="0" w:color="auto"/>
              <w:left w:val="nil"/>
              <w:bottom w:val="single" w:sz="4" w:space="0" w:color="auto"/>
              <w:right w:val="single" w:sz="4" w:space="0" w:color="auto"/>
            </w:tcBorders>
            <w:noWrap/>
            <w:vAlign w:val="center"/>
            <w:hideMark/>
          </w:tcPr>
          <w:p w14:paraId="1A5EB4EB" w14:textId="77777777" w:rsidR="00BF5974" w:rsidRDefault="00BF5974">
            <w:pPr>
              <w:spacing w:line="256" w:lineRule="auto"/>
              <w:jc w:val="center"/>
              <w:rPr>
                <w:rFonts w:eastAsia="Times New Roman" w:cs="Arial"/>
                <w:b/>
                <w:sz w:val="20"/>
                <w:lang w:val="es-ES" w:eastAsia="en-US"/>
              </w:rPr>
            </w:pPr>
            <w:r>
              <w:rPr>
                <w:rFonts w:eastAsia="Times New Roman" w:cs="Arial"/>
                <w:b/>
                <w:sz w:val="20"/>
                <w:lang w:val="es-ES" w:eastAsia="en-US"/>
              </w:rPr>
              <w:t>Número de identificación</w:t>
            </w:r>
          </w:p>
        </w:tc>
        <w:tc>
          <w:tcPr>
            <w:tcW w:w="1843" w:type="dxa"/>
            <w:tcBorders>
              <w:top w:val="single" w:sz="4" w:space="0" w:color="auto"/>
              <w:left w:val="nil"/>
              <w:bottom w:val="single" w:sz="4" w:space="0" w:color="auto"/>
              <w:right w:val="single" w:sz="4" w:space="0" w:color="auto"/>
            </w:tcBorders>
            <w:noWrap/>
            <w:vAlign w:val="center"/>
            <w:hideMark/>
          </w:tcPr>
          <w:p w14:paraId="3E4F513F" w14:textId="77777777" w:rsidR="00BF5974" w:rsidRDefault="00BF5974">
            <w:pPr>
              <w:spacing w:line="256" w:lineRule="auto"/>
              <w:jc w:val="center"/>
              <w:rPr>
                <w:rFonts w:eastAsia="Times New Roman" w:cs="Arial"/>
                <w:b/>
                <w:sz w:val="20"/>
                <w:lang w:val="es-ES" w:eastAsia="en-US"/>
              </w:rPr>
            </w:pPr>
            <w:r>
              <w:rPr>
                <w:rFonts w:eastAsia="Times New Roman" w:cs="Arial"/>
                <w:b/>
                <w:sz w:val="20"/>
                <w:lang w:val="es-ES" w:eastAsia="en-US"/>
              </w:rPr>
              <w:t>Asignación Presupuestal</w:t>
            </w:r>
          </w:p>
        </w:tc>
      </w:tr>
      <w:tr w:rsidR="00BF5974" w14:paraId="07F5ACE9" w14:textId="77777777" w:rsidTr="00BF5974">
        <w:trPr>
          <w:trHeight w:val="20"/>
          <w:jc w:val="center"/>
        </w:trPr>
        <w:tc>
          <w:tcPr>
            <w:tcW w:w="3407" w:type="dxa"/>
            <w:tcBorders>
              <w:top w:val="nil"/>
              <w:left w:val="single" w:sz="4" w:space="0" w:color="auto"/>
              <w:bottom w:val="single" w:sz="4" w:space="0" w:color="auto"/>
              <w:right w:val="single" w:sz="4" w:space="0" w:color="auto"/>
            </w:tcBorders>
            <w:noWrap/>
            <w:vAlign w:val="center"/>
            <w:hideMark/>
          </w:tcPr>
          <w:p w14:paraId="2903E6C1" w14:textId="77777777" w:rsidR="00BF5974" w:rsidRDefault="00BF5974">
            <w:pPr>
              <w:spacing w:line="256" w:lineRule="auto"/>
              <w:rPr>
                <w:rFonts w:eastAsia="Times New Roman" w:cs="Arial"/>
                <w:sz w:val="20"/>
                <w:lang w:val="es-ES" w:eastAsia="en-US"/>
              </w:rPr>
            </w:pPr>
            <w:r>
              <w:rPr>
                <w:rFonts w:cs="Arial"/>
                <w:sz w:val="20"/>
                <w:lang w:val="es-ES" w:eastAsia="en-US"/>
              </w:rPr>
              <w:t>Banco Santander México S.A.</w:t>
            </w:r>
          </w:p>
        </w:tc>
        <w:tc>
          <w:tcPr>
            <w:tcW w:w="2688" w:type="dxa"/>
            <w:tcBorders>
              <w:top w:val="nil"/>
              <w:left w:val="nil"/>
              <w:bottom w:val="single" w:sz="4" w:space="0" w:color="auto"/>
              <w:right w:val="single" w:sz="4" w:space="0" w:color="auto"/>
            </w:tcBorders>
            <w:noWrap/>
            <w:vAlign w:val="center"/>
            <w:hideMark/>
          </w:tcPr>
          <w:p w14:paraId="15B85454" w14:textId="77777777" w:rsidR="00BF5974" w:rsidRDefault="00BF5974">
            <w:pPr>
              <w:spacing w:line="256" w:lineRule="auto"/>
              <w:jc w:val="center"/>
              <w:rPr>
                <w:rFonts w:eastAsia="Times New Roman" w:cs="Arial"/>
                <w:sz w:val="20"/>
                <w:lang w:val="es-ES" w:eastAsia="en-US"/>
              </w:rPr>
            </w:pPr>
            <w:r>
              <w:rPr>
                <w:rFonts w:cs="Arial"/>
                <w:sz w:val="20"/>
                <w:lang w:val="es-ES" w:eastAsia="en-US"/>
              </w:rPr>
              <w:t>F/2112337</w:t>
            </w:r>
          </w:p>
        </w:tc>
        <w:tc>
          <w:tcPr>
            <w:tcW w:w="1843" w:type="dxa"/>
            <w:tcBorders>
              <w:top w:val="nil"/>
              <w:left w:val="nil"/>
              <w:bottom w:val="single" w:sz="4" w:space="0" w:color="auto"/>
              <w:right w:val="single" w:sz="4" w:space="0" w:color="auto"/>
            </w:tcBorders>
            <w:noWrap/>
            <w:hideMark/>
          </w:tcPr>
          <w:p w14:paraId="5B87E8AA" w14:textId="77777777" w:rsidR="00BF5974" w:rsidRDefault="00BF5974">
            <w:pPr>
              <w:spacing w:line="256" w:lineRule="auto"/>
              <w:jc w:val="right"/>
              <w:rPr>
                <w:rFonts w:cs="Arial"/>
                <w:sz w:val="20"/>
                <w:lang w:val="es-ES" w:eastAsia="en-US"/>
              </w:rPr>
            </w:pPr>
            <w:r>
              <w:rPr>
                <w:rFonts w:cs="Arial"/>
                <w:sz w:val="20"/>
                <w:lang w:val="es-ES" w:eastAsia="en-US"/>
              </w:rPr>
              <w:t xml:space="preserve"> 1,071,840 </w:t>
            </w:r>
          </w:p>
        </w:tc>
      </w:tr>
      <w:tr w:rsidR="00BF5974" w14:paraId="04353BED" w14:textId="77777777" w:rsidTr="00BF5974">
        <w:trPr>
          <w:trHeight w:val="20"/>
          <w:jc w:val="center"/>
        </w:trPr>
        <w:tc>
          <w:tcPr>
            <w:tcW w:w="3407" w:type="dxa"/>
            <w:tcBorders>
              <w:top w:val="nil"/>
              <w:left w:val="single" w:sz="4" w:space="0" w:color="auto"/>
              <w:bottom w:val="single" w:sz="4" w:space="0" w:color="auto"/>
              <w:right w:val="single" w:sz="4" w:space="0" w:color="auto"/>
            </w:tcBorders>
            <w:noWrap/>
            <w:vAlign w:val="center"/>
            <w:hideMark/>
          </w:tcPr>
          <w:p w14:paraId="76F71060" w14:textId="77777777" w:rsidR="00BF5974" w:rsidRDefault="00BF5974">
            <w:pPr>
              <w:spacing w:line="256" w:lineRule="auto"/>
              <w:rPr>
                <w:rFonts w:eastAsia="Times New Roman" w:cs="Arial"/>
                <w:sz w:val="20"/>
                <w:lang w:val="es-ES" w:eastAsia="en-US"/>
              </w:rPr>
            </w:pPr>
            <w:r>
              <w:rPr>
                <w:rFonts w:cs="Arial"/>
                <w:sz w:val="20"/>
                <w:lang w:val="es-ES" w:eastAsia="en-US"/>
              </w:rPr>
              <w:t xml:space="preserve">Banco </w:t>
            </w:r>
            <w:proofErr w:type="spellStart"/>
            <w:r>
              <w:rPr>
                <w:rFonts w:cs="Arial"/>
                <w:sz w:val="20"/>
                <w:lang w:val="es-ES" w:eastAsia="en-US"/>
              </w:rPr>
              <w:t>Invex</w:t>
            </w:r>
            <w:proofErr w:type="spellEnd"/>
            <w:r>
              <w:rPr>
                <w:rFonts w:cs="Arial"/>
                <w:sz w:val="20"/>
                <w:lang w:val="es-ES" w:eastAsia="en-US"/>
              </w:rPr>
              <w:t xml:space="preserve"> S.A.</w:t>
            </w:r>
          </w:p>
        </w:tc>
        <w:tc>
          <w:tcPr>
            <w:tcW w:w="2688" w:type="dxa"/>
            <w:tcBorders>
              <w:top w:val="nil"/>
              <w:left w:val="nil"/>
              <w:bottom w:val="single" w:sz="4" w:space="0" w:color="auto"/>
              <w:right w:val="single" w:sz="4" w:space="0" w:color="auto"/>
            </w:tcBorders>
            <w:noWrap/>
            <w:vAlign w:val="center"/>
            <w:hideMark/>
          </w:tcPr>
          <w:p w14:paraId="7F3C39BE" w14:textId="77777777" w:rsidR="00BF5974" w:rsidRDefault="00BF5974">
            <w:pPr>
              <w:spacing w:line="256" w:lineRule="auto"/>
              <w:jc w:val="center"/>
              <w:rPr>
                <w:rFonts w:eastAsia="Times New Roman" w:cs="Arial"/>
                <w:sz w:val="20"/>
                <w:lang w:val="es-ES" w:eastAsia="en-US"/>
              </w:rPr>
            </w:pPr>
            <w:r>
              <w:rPr>
                <w:rFonts w:cs="Arial"/>
                <w:sz w:val="20"/>
                <w:lang w:val="es-ES" w:eastAsia="en-US"/>
              </w:rPr>
              <w:t>F/790</w:t>
            </w:r>
          </w:p>
        </w:tc>
        <w:tc>
          <w:tcPr>
            <w:tcW w:w="1843" w:type="dxa"/>
            <w:tcBorders>
              <w:top w:val="nil"/>
              <w:left w:val="nil"/>
              <w:bottom w:val="single" w:sz="4" w:space="0" w:color="auto"/>
              <w:right w:val="single" w:sz="4" w:space="0" w:color="auto"/>
            </w:tcBorders>
            <w:noWrap/>
            <w:hideMark/>
          </w:tcPr>
          <w:p w14:paraId="44802C6D" w14:textId="77777777" w:rsidR="00BF5974" w:rsidRDefault="00BF5974">
            <w:pPr>
              <w:spacing w:line="256" w:lineRule="auto"/>
              <w:jc w:val="right"/>
              <w:rPr>
                <w:rFonts w:cs="Arial"/>
                <w:sz w:val="20"/>
                <w:lang w:val="es-ES" w:eastAsia="en-US"/>
              </w:rPr>
            </w:pPr>
            <w:r>
              <w:rPr>
                <w:rFonts w:cs="Arial"/>
                <w:sz w:val="20"/>
                <w:lang w:val="es-ES" w:eastAsia="en-US"/>
              </w:rPr>
              <w:t xml:space="preserve"> 1,142,797 </w:t>
            </w:r>
          </w:p>
        </w:tc>
      </w:tr>
      <w:tr w:rsidR="00BF5974" w14:paraId="4C6FEA50" w14:textId="77777777" w:rsidTr="00BF5974">
        <w:trPr>
          <w:trHeight w:val="20"/>
          <w:jc w:val="center"/>
        </w:trPr>
        <w:tc>
          <w:tcPr>
            <w:tcW w:w="3407" w:type="dxa"/>
            <w:tcBorders>
              <w:top w:val="nil"/>
              <w:left w:val="single" w:sz="4" w:space="0" w:color="auto"/>
              <w:bottom w:val="single" w:sz="4" w:space="0" w:color="auto"/>
              <w:right w:val="single" w:sz="4" w:space="0" w:color="auto"/>
            </w:tcBorders>
            <w:noWrap/>
            <w:vAlign w:val="center"/>
            <w:hideMark/>
          </w:tcPr>
          <w:p w14:paraId="09489CE9" w14:textId="77777777" w:rsidR="00BF5974" w:rsidRDefault="00BF5974">
            <w:pPr>
              <w:spacing w:line="256" w:lineRule="auto"/>
              <w:rPr>
                <w:rFonts w:cs="Arial"/>
                <w:sz w:val="20"/>
                <w:lang w:val="es-ES" w:eastAsia="en-US"/>
              </w:rPr>
            </w:pPr>
            <w:r>
              <w:rPr>
                <w:rFonts w:cs="Arial"/>
                <w:sz w:val="20"/>
                <w:lang w:val="es-ES" w:eastAsia="en-US"/>
              </w:rPr>
              <w:t>Banco del Bajío</w:t>
            </w:r>
          </w:p>
        </w:tc>
        <w:tc>
          <w:tcPr>
            <w:tcW w:w="2688" w:type="dxa"/>
            <w:tcBorders>
              <w:top w:val="nil"/>
              <w:left w:val="nil"/>
              <w:bottom w:val="single" w:sz="4" w:space="0" w:color="auto"/>
              <w:right w:val="single" w:sz="4" w:space="0" w:color="auto"/>
            </w:tcBorders>
            <w:noWrap/>
            <w:vAlign w:val="center"/>
            <w:hideMark/>
          </w:tcPr>
          <w:p w14:paraId="41B857C2" w14:textId="77777777" w:rsidR="00BF5974" w:rsidRDefault="00BF5974">
            <w:pPr>
              <w:spacing w:line="256" w:lineRule="auto"/>
              <w:jc w:val="center"/>
              <w:rPr>
                <w:rFonts w:cs="Arial"/>
                <w:sz w:val="20"/>
                <w:lang w:val="es-ES" w:eastAsia="en-US"/>
              </w:rPr>
            </w:pPr>
            <w:r>
              <w:rPr>
                <w:rFonts w:cs="Arial"/>
                <w:sz w:val="20"/>
                <w:lang w:val="es-ES" w:eastAsia="en-US"/>
              </w:rPr>
              <w:t>34549</w:t>
            </w:r>
          </w:p>
        </w:tc>
        <w:tc>
          <w:tcPr>
            <w:tcW w:w="1843" w:type="dxa"/>
            <w:tcBorders>
              <w:top w:val="nil"/>
              <w:left w:val="nil"/>
              <w:bottom w:val="single" w:sz="4" w:space="0" w:color="auto"/>
              <w:right w:val="single" w:sz="4" w:space="0" w:color="auto"/>
            </w:tcBorders>
            <w:noWrap/>
            <w:hideMark/>
          </w:tcPr>
          <w:p w14:paraId="580B8165" w14:textId="77777777" w:rsidR="00BF5974" w:rsidRDefault="00BF5974">
            <w:pPr>
              <w:spacing w:line="256" w:lineRule="auto"/>
              <w:jc w:val="right"/>
              <w:rPr>
                <w:rFonts w:cs="Arial"/>
                <w:sz w:val="20"/>
                <w:lang w:val="es-ES" w:eastAsia="en-US"/>
              </w:rPr>
            </w:pPr>
            <w:r>
              <w:rPr>
                <w:rFonts w:cs="Arial"/>
                <w:sz w:val="20"/>
                <w:lang w:val="es-ES" w:eastAsia="en-US"/>
              </w:rPr>
              <w:t xml:space="preserve"> 180,000 </w:t>
            </w:r>
          </w:p>
        </w:tc>
      </w:tr>
      <w:tr w:rsidR="00BF5974" w14:paraId="442CE8C0" w14:textId="77777777" w:rsidTr="00BF5974">
        <w:trPr>
          <w:trHeight w:val="20"/>
          <w:jc w:val="center"/>
        </w:trPr>
        <w:tc>
          <w:tcPr>
            <w:tcW w:w="6095" w:type="dxa"/>
            <w:gridSpan w:val="2"/>
            <w:tcBorders>
              <w:top w:val="nil"/>
              <w:left w:val="single" w:sz="4" w:space="0" w:color="auto"/>
              <w:bottom w:val="single" w:sz="4" w:space="0" w:color="auto"/>
              <w:right w:val="single" w:sz="4" w:space="0" w:color="auto"/>
            </w:tcBorders>
            <w:noWrap/>
            <w:vAlign w:val="center"/>
            <w:hideMark/>
          </w:tcPr>
          <w:p w14:paraId="7C7CEB1B" w14:textId="77777777" w:rsidR="00BF5974" w:rsidRDefault="00BF5974">
            <w:pPr>
              <w:spacing w:line="256" w:lineRule="auto"/>
              <w:jc w:val="center"/>
              <w:rPr>
                <w:rFonts w:eastAsia="Times New Roman" w:cs="Arial"/>
                <w:b/>
                <w:bCs/>
                <w:sz w:val="20"/>
                <w:lang w:val="es-ES" w:eastAsia="en-US"/>
              </w:rPr>
            </w:pPr>
            <w:r>
              <w:rPr>
                <w:rFonts w:cs="Arial"/>
                <w:b/>
                <w:bCs/>
                <w:sz w:val="20"/>
                <w:lang w:val="es-ES" w:eastAsia="en-US"/>
              </w:rPr>
              <w:t>Total</w:t>
            </w:r>
          </w:p>
        </w:tc>
        <w:tc>
          <w:tcPr>
            <w:tcW w:w="1843" w:type="dxa"/>
            <w:tcBorders>
              <w:top w:val="nil"/>
              <w:left w:val="nil"/>
              <w:bottom w:val="single" w:sz="4" w:space="0" w:color="auto"/>
              <w:right w:val="single" w:sz="4" w:space="0" w:color="auto"/>
            </w:tcBorders>
            <w:noWrap/>
            <w:vAlign w:val="center"/>
            <w:hideMark/>
          </w:tcPr>
          <w:p w14:paraId="5F546829" w14:textId="77777777" w:rsidR="00BF5974" w:rsidRDefault="00BF5974">
            <w:pPr>
              <w:spacing w:line="256" w:lineRule="auto"/>
              <w:jc w:val="right"/>
              <w:rPr>
                <w:rFonts w:cs="Arial"/>
                <w:b/>
                <w:bCs/>
                <w:sz w:val="20"/>
                <w:lang w:val="es-ES" w:eastAsia="en-US"/>
              </w:rPr>
            </w:pPr>
            <w:r>
              <w:rPr>
                <w:rFonts w:cs="Arial"/>
                <w:b/>
                <w:bCs/>
                <w:sz w:val="20"/>
                <w:lang w:val="es-ES" w:eastAsia="en-US"/>
              </w:rPr>
              <w:t>2,394,637</w:t>
            </w:r>
          </w:p>
        </w:tc>
      </w:tr>
    </w:tbl>
    <w:p w14:paraId="61AA17B1" w14:textId="6B4C20D8" w:rsidR="00105286" w:rsidRDefault="00105286" w:rsidP="00BF5974">
      <w:pPr>
        <w:keepNext/>
        <w:keepLines/>
        <w:outlineLvl w:val="2"/>
        <w:rPr>
          <w:rFonts w:eastAsia="Times New Roman" w:cs="Arial"/>
          <w:b/>
          <w:szCs w:val="24"/>
          <w:lang w:val="es-ES" w:eastAsia="en-US"/>
        </w:rPr>
      </w:pPr>
    </w:p>
    <w:p w14:paraId="6295003E" w14:textId="77777777" w:rsidR="00105286" w:rsidRDefault="00105286">
      <w:pPr>
        <w:spacing w:after="160" w:line="259" w:lineRule="auto"/>
        <w:jc w:val="left"/>
        <w:rPr>
          <w:rFonts w:eastAsia="Times New Roman" w:cs="Arial"/>
          <w:b/>
          <w:szCs w:val="24"/>
          <w:lang w:val="es-ES" w:eastAsia="en-US"/>
        </w:rPr>
      </w:pPr>
      <w:r>
        <w:rPr>
          <w:rFonts w:eastAsia="Times New Roman" w:cs="Arial"/>
          <w:b/>
          <w:szCs w:val="24"/>
          <w:lang w:val="es-ES" w:eastAsia="en-US"/>
        </w:rPr>
        <w:br w:type="page"/>
      </w:r>
    </w:p>
    <w:p w14:paraId="6ED92CD7" w14:textId="77777777" w:rsidR="00BF5974" w:rsidRDefault="00BF5974" w:rsidP="00BF5974">
      <w:pPr>
        <w:jc w:val="center"/>
        <w:rPr>
          <w:rFonts w:eastAsia="Times New Roman" w:cs="Arial"/>
          <w:b/>
          <w:sz w:val="20"/>
          <w:lang w:val="es-ES"/>
        </w:rPr>
      </w:pPr>
      <w:bookmarkStart w:id="205" w:name="_Toc522869284"/>
      <w:bookmarkStart w:id="206" w:name="_Toc526757501"/>
      <w:bookmarkStart w:id="207" w:name="_Toc22021955"/>
      <w:bookmarkStart w:id="208" w:name="_Toc22983208"/>
      <w:r>
        <w:rPr>
          <w:rFonts w:eastAsia="Times New Roman" w:cs="Arial"/>
          <w:b/>
          <w:sz w:val="20"/>
          <w:lang w:val="es-ES"/>
        </w:rPr>
        <w:lastRenderedPageBreak/>
        <w:t xml:space="preserve">Tabla 43. </w:t>
      </w:r>
      <w:bookmarkEnd w:id="205"/>
      <w:bookmarkEnd w:id="206"/>
      <w:r>
        <w:rPr>
          <w:rFonts w:eastAsia="Times New Roman" w:cs="Arial"/>
          <w:b/>
          <w:sz w:val="20"/>
          <w:lang w:val="es-ES"/>
        </w:rPr>
        <w:t>Presupuesto Calificaciones Crediticias</w:t>
      </w:r>
      <w:bookmarkEnd w:id="207"/>
      <w:bookmarkEnd w:id="208"/>
    </w:p>
    <w:tbl>
      <w:tblPr>
        <w:tblW w:w="7933" w:type="dxa"/>
        <w:jc w:val="center"/>
        <w:tblCellMar>
          <w:left w:w="70" w:type="dxa"/>
          <w:right w:w="70" w:type="dxa"/>
        </w:tblCellMar>
        <w:tblLook w:val="04A0" w:firstRow="1" w:lastRow="0" w:firstColumn="1" w:lastColumn="0" w:noHBand="0" w:noVBand="1"/>
      </w:tblPr>
      <w:tblGrid>
        <w:gridCol w:w="2830"/>
        <w:gridCol w:w="3402"/>
        <w:gridCol w:w="1701"/>
      </w:tblGrid>
      <w:tr w:rsidR="00BF5974" w14:paraId="68B0CA82" w14:textId="77777777" w:rsidTr="00BF5974">
        <w:trPr>
          <w:trHeight w:val="20"/>
          <w:jc w:val="center"/>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1C9A3955" w14:textId="77777777" w:rsidR="00BF5974" w:rsidRDefault="00BF5974">
            <w:pPr>
              <w:spacing w:line="256" w:lineRule="auto"/>
              <w:jc w:val="center"/>
              <w:rPr>
                <w:rFonts w:eastAsia="Times New Roman" w:cs="Arial"/>
                <w:b/>
                <w:sz w:val="20"/>
                <w:lang w:val="es-ES" w:eastAsia="en-US"/>
              </w:rPr>
            </w:pPr>
            <w:r>
              <w:rPr>
                <w:rFonts w:eastAsia="Times New Roman" w:cs="Arial"/>
                <w:b/>
                <w:sz w:val="20"/>
                <w:lang w:val="es-ES" w:eastAsia="en-US"/>
              </w:rPr>
              <w:t>Tipo</w:t>
            </w:r>
          </w:p>
        </w:tc>
        <w:tc>
          <w:tcPr>
            <w:tcW w:w="3402" w:type="dxa"/>
            <w:tcBorders>
              <w:top w:val="single" w:sz="4" w:space="0" w:color="auto"/>
              <w:left w:val="nil"/>
              <w:bottom w:val="single" w:sz="4" w:space="0" w:color="auto"/>
              <w:right w:val="single" w:sz="4" w:space="0" w:color="auto"/>
            </w:tcBorders>
            <w:noWrap/>
            <w:vAlign w:val="center"/>
            <w:hideMark/>
          </w:tcPr>
          <w:p w14:paraId="639623DB" w14:textId="77777777" w:rsidR="00BF5974" w:rsidRDefault="00BF5974">
            <w:pPr>
              <w:spacing w:line="256" w:lineRule="auto"/>
              <w:jc w:val="center"/>
              <w:rPr>
                <w:rFonts w:eastAsia="Times New Roman" w:cs="Arial"/>
                <w:b/>
                <w:sz w:val="20"/>
                <w:lang w:val="es-ES" w:eastAsia="en-US"/>
              </w:rPr>
            </w:pPr>
            <w:r>
              <w:rPr>
                <w:rFonts w:eastAsia="Times New Roman" w:cs="Arial"/>
                <w:b/>
                <w:sz w:val="20"/>
                <w:lang w:val="es-ES" w:eastAsia="en-US"/>
              </w:rPr>
              <w:t>Calificadora</w:t>
            </w:r>
          </w:p>
        </w:tc>
        <w:tc>
          <w:tcPr>
            <w:tcW w:w="1701" w:type="dxa"/>
            <w:tcBorders>
              <w:top w:val="single" w:sz="4" w:space="0" w:color="auto"/>
              <w:left w:val="nil"/>
              <w:bottom w:val="single" w:sz="4" w:space="0" w:color="auto"/>
              <w:right w:val="single" w:sz="4" w:space="0" w:color="auto"/>
            </w:tcBorders>
            <w:noWrap/>
            <w:vAlign w:val="center"/>
            <w:hideMark/>
          </w:tcPr>
          <w:p w14:paraId="11EA6852" w14:textId="77777777" w:rsidR="00BF5974" w:rsidRDefault="00BF5974">
            <w:pPr>
              <w:spacing w:line="256" w:lineRule="auto"/>
              <w:jc w:val="center"/>
              <w:rPr>
                <w:rFonts w:eastAsia="Times New Roman" w:cs="Arial"/>
                <w:b/>
                <w:sz w:val="20"/>
                <w:lang w:val="es-ES" w:eastAsia="en-US"/>
              </w:rPr>
            </w:pPr>
            <w:r>
              <w:rPr>
                <w:rFonts w:eastAsia="Times New Roman" w:cs="Arial"/>
                <w:b/>
                <w:sz w:val="20"/>
                <w:lang w:val="es-ES" w:eastAsia="en-US"/>
              </w:rPr>
              <w:t>Asignación Presupuestal</w:t>
            </w:r>
          </w:p>
        </w:tc>
      </w:tr>
      <w:tr w:rsidR="00BF5974" w14:paraId="327E9B0B" w14:textId="77777777" w:rsidTr="00BF5974">
        <w:trPr>
          <w:trHeight w:val="20"/>
          <w:jc w:val="center"/>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6155CA52" w14:textId="77777777" w:rsidR="00BF5974" w:rsidRDefault="00BF5974">
            <w:pPr>
              <w:spacing w:line="256" w:lineRule="auto"/>
              <w:jc w:val="center"/>
              <w:rPr>
                <w:rFonts w:eastAsia="Times New Roman" w:cs="Arial"/>
                <w:sz w:val="20"/>
                <w:lang w:val="es-ES" w:eastAsia="en-US"/>
              </w:rPr>
            </w:pPr>
            <w:bookmarkStart w:id="209" w:name="_Toc522869285"/>
            <w:bookmarkStart w:id="210" w:name="_Toc526757502"/>
            <w:bookmarkStart w:id="211" w:name="_Toc22021956"/>
            <w:bookmarkStart w:id="212" w:name="_Toc22983209"/>
            <w:r>
              <w:rPr>
                <w:rFonts w:cs="Arial"/>
                <w:sz w:val="20"/>
                <w:lang w:val="es-ES" w:eastAsia="en-US"/>
              </w:rPr>
              <w:t>Calificaciones Quirografarias.</w:t>
            </w:r>
          </w:p>
        </w:tc>
        <w:tc>
          <w:tcPr>
            <w:tcW w:w="3402" w:type="dxa"/>
            <w:tcBorders>
              <w:top w:val="single" w:sz="4" w:space="0" w:color="auto"/>
              <w:left w:val="nil"/>
              <w:bottom w:val="single" w:sz="4" w:space="0" w:color="auto"/>
              <w:right w:val="single" w:sz="4" w:space="0" w:color="auto"/>
            </w:tcBorders>
            <w:noWrap/>
            <w:vAlign w:val="center"/>
            <w:hideMark/>
          </w:tcPr>
          <w:p w14:paraId="333F979D" w14:textId="77777777" w:rsidR="00BF5974" w:rsidRDefault="00BF5974">
            <w:pPr>
              <w:spacing w:line="256" w:lineRule="auto"/>
              <w:jc w:val="center"/>
              <w:rPr>
                <w:rFonts w:eastAsia="Times New Roman" w:cs="Arial"/>
                <w:sz w:val="20"/>
                <w:lang w:val="es-ES" w:eastAsia="en-US"/>
              </w:rPr>
            </w:pPr>
            <w:r>
              <w:rPr>
                <w:rFonts w:eastAsia="Times New Roman" w:cs="Arial"/>
                <w:sz w:val="20"/>
                <w:lang w:val="es-ES" w:eastAsia="en-US"/>
              </w:rPr>
              <w:t>Diversas agencias calificadoras</w:t>
            </w:r>
          </w:p>
        </w:tc>
        <w:tc>
          <w:tcPr>
            <w:tcW w:w="1701" w:type="dxa"/>
            <w:tcBorders>
              <w:top w:val="single" w:sz="4" w:space="0" w:color="auto"/>
              <w:left w:val="nil"/>
              <w:bottom w:val="single" w:sz="4" w:space="0" w:color="auto"/>
              <w:right w:val="single" w:sz="4" w:space="0" w:color="auto"/>
            </w:tcBorders>
            <w:noWrap/>
            <w:hideMark/>
          </w:tcPr>
          <w:p w14:paraId="29A82420" w14:textId="77777777" w:rsidR="00BF5974" w:rsidRDefault="00BF5974">
            <w:pPr>
              <w:spacing w:line="256" w:lineRule="auto"/>
              <w:jc w:val="right"/>
              <w:rPr>
                <w:rFonts w:cs="Arial"/>
                <w:sz w:val="20"/>
                <w:lang w:val="es-ES" w:eastAsia="en-US"/>
              </w:rPr>
            </w:pPr>
            <w:r>
              <w:rPr>
                <w:rFonts w:cs="Arial"/>
                <w:sz w:val="20"/>
                <w:lang w:val="es-ES" w:eastAsia="en-US"/>
              </w:rPr>
              <w:t xml:space="preserve">660,000 </w:t>
            </w:r>
          </w:p>
        </w:tc>
      </w:tr>
      <w:tr w:rsidR="00BF5974" w14:paraId="65B30A09" w14:textId="77777777" w:rsidTr="00BF5974">
        <w:trPr>
          <w:trHeight w:val="20"/>
          <w:jc w:val="center"/>
        </w:trPr>
        <w:tc>
          <w:tcPr>
            <w:tcW w:w="2830" w:type="dxa"/>
            <w:tcBorders>
              <w:top w:val="nil"/>
              <w:left w:val="single" w:sz="4" w:space="0" w:color="auto"/>
              <w:bottom w:val="single" w:sz="4" w:space="0" w:color="auto"/>
              <w:right w:val="single" w:sz="4" w:space="0" w:color="auto"/>
            </w:tcBorders>
            <w:noWrap/>
            <w:vAlign w:val="center"/>
            <w:hideMark/>
          </w:tcPr>
          <w:p w14:paraId="3E0ED069" w14:textId="77777777" w:rsidR="00BF5974" w:rsidRDefault="00BF5974">
            <w:pPr>
              <w:spacing w:line="256" w:lineRule="auto"/>
              <w:jc w:val="center"/>
              <w:rPr>
                <w:rFonts w:eastAsia="Times New Roman" w:cs="Arial"/>
                <w:sz w:val="20"/>
                <w:lang w:val="es-ES" w:eastAsia="en-US"/>
              </w:rPr>
            </w:pPr>
            <w:r>
              <w:rPr>
                <w:rFonts w:cs="Arial"/>
                <w:sz w:val="20"/>
                <w:lang w:val="es-ES" w:eastAsia="en-US"/>
              </w:rPr>
              <w:t>Calificaciones Estructuradas.</w:t>
            </w:r>
          </w:p>
        </w:tc>
        <w:tc>
          <w:tcPr>
            <w:tcW w:w="3402" w:type="dxa"/>
            <w:tcBorders>
              <w:top w:val="nil"/>
              <w:left w:val="nil"/>
              <w:bottom w:val="single" w:sz="4" w:space="0" w:color="auto"/>
              <w:right w:val="single" w:sz="4" w:space="0" w:color="auto"/>
            </w:tcBorders>
            <w:noWrap/>
            <w:vAlign w:val="center"/>
            <w:hideMark/>
          </w:tcPr>
          <w:p w14:paraId="595E16B2" w14:textId="77777777" w:rsidR="00BF5974" w:rsidRDefault="00BF5974">
            <w:pPr>
              <w:spacing w:line="256" w:lineRule="auto"/>
              <w:jc w:val="center"/>
              <w:rPr>
                <w:rFonts w:eastAsia="Times New Roman" w:cs="Arial"/>
                <w:sz w:val="20"/>
                <w:lang w:val="es-ES" w:eastAsia="en-US"/>
              </w:rPr>
            </w:pPr>
            <w:r>
              <w:rPr>
                <w:rFonts w:eastAsia="Times New Roman" w:cs="Arial"/>
                <w:sz w:val="20"/>
                <w:lang w:val="es-ES" w:eastAsia="en-US"/>
              </w:rPr>
              <w:t>Diversas agencias calificadoras</w:t>
            </w:r>
          </w:p>
        </w:tc>
        <w:tc>
          <w:tcPr>
            <w:tcW w:w="1701" w:type="dxa"/>
            <w:tcBorders>
              <w:top w:val="nil"/>
              <w:left w:val="nil"/>
              <w:bottom w:val="single" w:sz="4" w:space="0" w:color="auto"/>
              <w:right w:val="single" w:sz="4" w:space="0" w:color="auto"/>
            </w:tcBorders>
            <w:noWrap/>
            <w:hideMark/>
          </w:tcPr>
          <w:p w14:paraId="0999A09B" w14:textId="77777777" w:rsidR="00BF5974" w:rsidRDefault="00BF5974">
            <w:pPr>
              <w:spacing w:line="256" w:lineRule="auto"/>
              <w:jc w:val="right"/>
              <w:rPr>
                <w:rFonts w:cs="Arial"/>
                <w:sz w:val="20"/>
                <w:lang w:val="es-ES" w:eastAsia="en-US"/>
              </w:rPr>
            </w:pPr>
            <w:r>
              <w:rPr>
                <w:rFonts w:cs="Arial"/>
                <w:sz w:val="20"/>
                <w:lang w:val="es-ES" w:eastAsia="en-US"/>
              </w:rPr>
              <w:t xml:space="preserve"> 1,960,000 </w:t>
            </w:r>
          </w:p>
        </w:tc>
      </w:tr>
      <w:tr w:rsidR="00BF5974" w14:paraId="5934DE63" w14:textId="77777777" w:rsidTr="00BF5974">
        <w:trPr>
          <w:trHeight w:val="20"/>
          <w:jc w:val="center"/>
        </w:trPr>
        <w:tc>
          <w:tcPr>
            <w:tcW w:w="6232" w:type="dxa"/>
            <w:gridSpan w:val="2"/>
            <w:tcBorders>
              <w:top w:val="nil"/>
              <w:left w:val="single" w:sz="4" w:space="0" w:color="auto"/>
              <w:bottom w:val="single" w:sz="4" w:space="0" w:color="auto"/>
              <w:right w:val="single" w:sz="4" w:space="0" w:color="auto"/>
            </w:tcBorders>
            <w:noWrap/>
            <w:vAlign w:val="center"/>
            <w:hideMark/>
          </w:tcPr>
          <w:p w14:paraId="2094F029" w14:textId="77777777" w:rsidR="00BF5974" w:rsidRDefault="00BF5974">
            <w:pPr>
              <w:spacing w:line="256" w:lineRule="auto"/>
              <w:jc w:val="center"/>
              <w:rPr>
                <w:rFonts w:eastAsia="Times New Roman" w:cs="Arial"/>
                <w:b/>
                <w:bCs/>
                <w:sz w:val="20"/>
                <w:lang w:val="es-ES" w:eastAsia="en-US"/>
              </w:rPr>
            </w:pPr>
            <w:r>
              <w:rPr>
                <w:rFonts w:cs="Arial"/>
                <w:b/>
                <w:sz w:val="20"/>
                <w:lang w:val="es-ES" w:eastAsia="en-US"/>
              </w:rPr>
              <w:t>Total</w:t>
            </w:r>
          </w:p>
        </w:tc>
        <w:tc>
          <w:tcPr>
            <w:tcW w:w="1701" w:type="dxa"/>
            <w:tcBorders>
              <w:top w:val="nil"/>
              <w:left w:val="nil"/>
              <w:bottom w:val="single" w:sz="4" w:space="0" w:color="auto"/>
              <w:right w:val="single" w:sz="4" w:space="0" w:color="auto"/>
            </w:tcBorders>
            <w:noWrap/>
            <w:vAlign w:val="center"/>
            <w:hideMark/>
          </w:tcPr>
          <w:p w14:paraId="0CCE1629" w14:textId="77777777" w:rsidR="00BF5974" w:rsidRDefault="00BF5974">
            <w:pPr>
              <w:spacing w:line="256" w:lineRule="auto"/>
              <w:jc w:val="right"/>
              <w:rPr>
                <w:rFonts w:cs="Arial"/>
                <w:b/>
                <w:bCs/>
                <w:sz w:val="20"/>
                <w:lang w:val="es-ES" w:eastAsia="en-US"/>
              </w:rPr>
            </w:pPr>
            <w:r>
              <w:rPr>
                <w:rFonts w:cs="Arial"/>
                <w:b/>
                <w:bCs/>
                <w:sz w:val="20"/>
                <w:lang w:val="es-ES" w:eastAsia="en-US"/>
              </w:rPr>
              <w:t>2,620,000</w:t>
            </w:r>
          </w:p>
        </w:tc>
      </w:tr>
    </w:tbl>
    <w:p w14:paraId="5C445E58" w14:textId="77777777" w:rsidR="00BF5974" w:rsidRDefault="00BF5974" w:rsidP="00BF5974">
      <w:pPr>
        <w:rPr>
          <w:rFonts w:eastAsia="Times New Roman" w:cs="Arial"/>
          <w:lang w:val="es-ES"/>
        </w:rPr>
      </w:pPr>
    </w:p>
    <w:bookmarkEnd w:id="209"/>
    <w:bookmarkEnd w:id="210"/>
    <w:bookmarkEnd w:id="211"/>
    <w:bookmarkEnd w:id="212"/>
    <w:p w14:paraId="45E442C4" w14:textId="77777777" w:rsidR="00BF5974" w:rsidRDefault="00BF5974" w:rsidP="00BF5974">
      <w:pPr>
        <w:tabs>
          <w:tab w:val="left" w:pos="567"/>
        </w:tabs>
        <w:ind w:left="567" w:hanging="567"/>
        <w:rPr>
          <w:rFonts w:eastAsia="Times New Roman" w:cs="Arial"/>
          <w:lang w:val="es-ES" w:eastAsia="es-ES"/>
        </w:rPr>
      </w:pPr>
      <w:r>
        <w:rPr>
          <w:rFonts w:eastAsia="Times New Roman" w:cs="Arial"/>
          <w:lang w:val="es-ES" w:eastAsia="es-ES"/>
        </w:rPr>
        <w:t>VI.</w:t>
      </w:r>
      <w:r>
        <w:rPr>
          <w:rFonts w:eastAsia="Times New Roman" w:cs="Arial"/>
          <w:lang w:val="es-ES" w:eastAsia="es-ES"/>
        </w:rPr>
        <w:tab/>
        <w:t>El desglose de la Deuda Pública Indirecta por institución acreedora, monto contratado, monto dispuesto, saldo insoluto, número de crédito, tasa de interés anual, fechas de suscripción, de vencimiento y garantías es de la siguiente forma:</w:t>
      </w:r>
    </w:p>
    <w:p w14:paraId="60E22926" w14:textId="77777777" w:rsidR="00BF5974" w:rsidRDefault="00BF5974" w:rsidP="00BF5974">
      <w:pPr>
        <w:keepNext/>
        <w:keepLines/>
        <w:outlineLvl w:val="2"/>
        <w:rPr>
          <w:rFonts w:eastAsia="Times New Roman" w:cs="Arial"/>
          <w:b/>
          <w:szCs w:val="24"/>
          <w:lang w:val="es-ES" w:eastAsia="en-US"/>
        </w:rPr>
      </w:pP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767"/>
        <w:gridCol w:w="808"/>
        <w:gridCol w:w="850"/>
        <w:gridCol w:w="808"/>
        <w:gridCol w:w="594"/>
        <w:gridCol w:w="851"/>
        <w:gridCol w:w="601"/>
        <w:gridCol w:w="827"/>
        <w:gridCol w:w="854"/>
        <w:gridCol w:w="1177"/>
      </w:tblGrid>
      <w:tr w:rsidR="00BF5974" w14:paraId="5530780D" w14:textId="77777777" w:rsidTr="007C636B">
        <w:trPr>
          <w:trHeight w:val="20"/>
          <w:tblHeader/>
          <w:jc w:val="center"/>
        </w:trPr>
        <w:tc>
          <w:tcPr>
            <w:tcW w:w="8841" w:type="dxa"/>
            <w:gridSpan w:val="11"/>
            <w:tcBorders>
              <w:top w:val="nil"/>
              <w:left w:val="nil"/>
              <w:bottom w:val="single" w:sz="4" w:space="0" w:color="auto"/>
              <w:right w:val="nil"/>
            </w:tcBorders>
            <w:vAlign w:val="center"/>
            <w:hideMark/>
          </w:tcPr>
          <w:p w14:paraId="5F518FBD" w14:textId="77777777" w:rsidR="00BF5974" w:rsidRDefault="00BF5974">
            <w:pPr>
              <w:spacing w:line="256" w:lineRule="auto"/>
              <w:jc w:val="center"/>
              <w:rPr>
                <w:rFonts w:eastAsia="Times New Roman" w:cs="Arial"/>
                <w:b/>
                <w:sz w:val="20"/>
                <w:lang w:val="es-ES" w:eastAsia="en-US"/>
              </w:rPr>
            </w:pPr>
            <w:r>
              <w:rPr>
                <w:rFonts w:eastAsia="Times New Roman" w:cs="Arial"/>
                <w:b/>
                <w:sz w:val="20"/>
                <w:lang w:val="es-ES" w:eastAsia="en-US"/>
              </w:rPr>
              <w:t>Tabla 44. Saldos de Deuda Pública Indirecta</w:t>
            </w:r>
          </w:p>
          <w:p w14:paraId="570425F1" w14:textId="77777777" w:rsidR="00BF5974" w:rsidRDefault="00BF5974">
            <w:pPr>
              <w:spacing w:line="256" w:lineRule="auto"/>
              <w:jc w:val="center"/>
              <w:rPr>
                <w:rFonts w:eastAsia="Times New Roman" w:cs="Arial"/>
                <w:bCs/>
                <w:sz w:val="20"/>
                <w:szCs w:val="16"/>
                <w:lang w:val="es-ES" w:eastAsia="en-US"/>
              </w:rPr>
            </w:pPr>
            <w:r>
              <w:rPr>
                <w:rFonts w:eastAsia="Times New Roman" w:cs="Arial"/>
                <w:sz w:val="18"/>
                <w:lang w:val="es-ES" w:eastAsia="en-US"/>
              </w:rPr>
              <w:t>Saldos Insolutos al 31 de octubre de 2024</w:t>
            </w:r>
          </w:p>
        </w:tc>
      </w:tr>
      <w:tr w:rsidR="00BF5974" w14:paraId="78B0638D" w14:textId="77777777" w:rsidTr="007C636B">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F7A5AF9" w14:textId="77777777" w:rsidR="00BF5974" w:rsidRDefault="00BF5974">
            <w:pPr>
              <w:spacing w:line="256" w:lineRule="auto"/>
              <w:jc w:val="center"/>
              <w:rPr>
                <w:rFonts w:eastAsia="Times New Roman" w:cs="Arial"/>
                <w:b/>
                <w:bCs/>
                <w:sz w:val="12"/>
                <w:szCs w:val="16"/>
                <w:lang w:val="es-ES" w:eastAsia="en-US"/>
              </w:rPr>
            </w:pPr>
            <w:r>
              <w:rPr>
                <w:rFonts w:eastAsia="Times New Roman" w:cs="Arial"/>
                <w:b/>
                <w:bCs/>
                <w:sz w:val="12"/>
                <w:szCs w:val="16"/>
                <w:lang w:val="es-ES" w:eastAsia="en-US"/>
              </w:rPr>
              <w:t>Acreedor</w:t>
            </w:r>
          </w:p>
        </w:tc>
        <w:tc>
          <w:tcPr>
            <w:tcW w:w="767" w:type="dxa"/>
            <w:tcBorders>
              <w:top w:val="single" w:sz="4" w:space="0" w:color="auto"/>
              <w:left w:val="single" w:sz="4" w:space="0" w:color="auto"/>
              <w:bottom w:val="single" w:sz="4" w:space="0" w:color="auto"/>
              <w:right w:val="single" w:sz="4" w:space="0" w:color="auto"/>
            </w:tcBorders>
            <w:vAlign w:val="center"/>
            <w:hideMark/>
          </w:tcPr>
          <w:p w14:paraId="5400CA8A" w14:textId="77777777" w:rsidR="00BF5974" w:rsidRDefault="00BF5974">
            <w:pPr>
              <w:spacing w:line="256" w:lineRule="auto"/>
              <w:jc w:val="center"/>
              <w:rPr>
                <w:rFonts w:eastAsia="Times New Roman" w:cs="Arial"/>
                <w:b/>
                <w:bCs/>
                <w:sz w:val="12"/>
                <w:szCs w:val="16"/>
                <w:lang w:val="es-ES" w:eastAsia="en-US"/>
              </w:rPr>
            </w:pPr>
            <w:r>
              <w:rPr>
                <w:rFonts w:eastAsia="Times New Roman" w:cs="Arial"/>
                <w:b/>
                <w:bCs/>
                <w:sz w:val="12"/>
                <w:szCs w:val="16"/>
                <w:lang w:val="es-ES" w:eastAsia="en-US"/>
              </w:rPr>
              <w:t xml:space="preserve">Acreditado </w:t>
            </w:r>
          </w:p>
        </w:tc>
        <w:tc>
          <w:tcPr>
            <w:tcW w:w="808" w:type="dxa"/>
            <w:tcBorders>
              <w:top w:val="single" w:sz="4" w:space="0" w:color="auto"/>
              <w:left w:val="single" w:sz="4" w:space="0" w:color="auto"/>
              <w:bottom w:val="single" w:sz="4" w:space="0" w:color="auto"/>
              <w:right w:val="single" w:sz="4" w:space="0" w:color="auto"/>
            </w:tcBorders>
            <w:vAlign w:val="center"/>
            <w:hideMark/>
          </w:tcPr>
          <w:p w14:paraId="3D66DFEF" w14:textId="77777777" w:rsidR="00BF5974" w:rsidRDefault="00BF5974">
            <w:pPr>
              <w:spacing w:line="256" w:lineRule="auto"/>
              <w:jc w:val="center"/>
              <w:rPr>
                <w:rFonts w:eastAsia="Times New Roman" w:cs="Arial"/>
                <w:b/>
                <w:bCs/>
                <w:sz w:val="12"/>
                <w:szCs w:val="16"/>
                <w:lang w:val="es-ES" w:eastAsia="en-US"/>
              </w:rPr>
            </w:pPr>
            <w:r>
              <w:rPr>
                <w:rFonts w:eastAsia="Times New Roman" w:cs="Arial"/>
                <w:b/>
                <w:bCs/>
                <w:sz w:val="12"/>
                <w:szCs w:val="16"/>
                <w:lang w:val="es-ES" w:eastAsia="en-US"/>
              </w:rPr>
              <w:t>Monto Contratado</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A99876" w14:textId="77777777" w:rsidR="00BF5974" w:rsidRDefault="00BF5974">
            <w:pPr>
              <w:spacing w:line="256" w:lineRule="auto"/>
              <w:jc w:val="center"/>
              <w:rPr>
                <w:rFonts w:eastAsia="Times New Roman" w:cs="Arial"/>
                <w:b/>
                <w:bCs/>
                <w:sz w:val="12"/>
                <w:szCs w:val="16"/>
                <w:lang w:val="es-ES" w:eastAsia="en-US"/>
              </w:rPr>
            </w:pPr>
            <w:r>
              <w:rPr>
                <w:rFonts w:eastAsia="Times New Roman" w:cs="Arial"/>
                <w:b/>
                <w:bCs/>
                <w:sz w:val="12"/>
                <w:szCs w:val="16"/>
                <w:lang w:val="es-ES" w:eastAsia="en-US"/>
              </w:rPr>
              <w:t>Monto Dispuesto</w:t>
            </w:r>
          </w:p>
        </w:tc>
        <w:tc>
          <w:tcPr>
            <w:tcW w:w="808" w:type="dxa"/>
            <w:tcBorders>
              <w:top w:val="single" w:sz="4" w:space="0" w:color="auto"/>
              <w:left w:val="single" w:sz="4" w:space="0" w:color="auto"/>
              <w:bottom w:val="single" w:sz="4" w:space="0" w:color="auto"/>
              <w:right w:val="single" w:sz="4" w:space="0" w:color="auto"/>
            </w:tcBorders>
            <w:vAlign w:val="center"/>
            <w:hideMark/>
          </w:tcPr>
          <w:p w14:paraId="3B4AA908" w14:textId="77777777" w:rsidR="00BF5974" w:rsidRDefault="00BF5974">
            <w:pPr>
              <w:spacing w:line="256" w:lineRule="auto"/>
              <w:jc w:val="center"/>
              <w:rPr>
                <w:rFonts w:eastAsia="Times New Roman" w:cs="Arial"/>
                <w:b/>
                <w:bCs/>
                <w:sz w:val="12"/>
                <w:szCs w:val="16"/>
                <w:lang w:val="es-ES" w:eastAsia="en-US"/>
              </w:rPr>
            </w:pPr>
            <w:r>
              <w:rPr>
                <w:rFonts w:eastAsia="Times New Roman" w:cs="Arial"/>
                <w:b/>
                <w:bCs/>
                <w:sz w:val="12"/>
                <w:szCs w:val="16"/>
                <w:lang w:val="es-ES" w:eastAsia="en-US"/>
              </w:rPr>
              <w:t xml:space="preserve">Saldo Insoluto </w:t>
            </w:r>
          </w:p>
        </w:tc>
        <w:tc>
          <w:tcPr>
            <w:tcW w:w="594" w:type="dxa"/>
            <w:tcBorders>
              <w:top w:val="single" w:sz="4" w:space="0" w:color="auto"/>
              <w:left w:val="single" w:sz="4" w:space="0" w:color="auto"/>
              <w:bottom w:val="single" w:sz="4" w:space="0" w:color="auto"/>
              <w:right w:val="single" w:sz="4" w:space="0" w:color="auto"/>
            </w:tcBorders>
            <w:vAlign w:val="center"/>
            <w:hideMark/>
          </w:tcPr>
          <w:p w14:paraId="3A435A4B" w14:textId="77777777" w:rsidR="00BF5974" w:rsidRDefault="00BF5974">
            <w:pPr>
              <w:spacing w:line="256" w:lineRule="auto"/>
              <w:jc w:val="center"/>
              <w:rPr>
                <w:rFonts w:eastAsia="Times New Roman" w:cs="Arial"/>
                <w:b/>
                <w:bCs/>
                <w:sz w:val="12"/>
                <w:szCs w:val="16"/>
                <w:lang w:val="es-ES" w:eastAsia="en-US"/>
              </w:rPr>
            </w:pPr>
            <w:r>
              <w:rPr>
                <w:rFonts w:eastAsia="Times New Roman" w:cs="Arial"/>
                <w:b/>
                <w:bCs/>
                <w:sz w:val="12"/>
                <w:szCs w:val="16"/>
                <w:lang w:val="es-ES" w:eastAsia="en-US"/>
              </w:rPr>
              <w:t>Número de Crédito</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EBC68A" w14:textId="77777777" w:rsidR="00BF5974" w:rsidRDefault="00BF5974">
            <w:pPr>
              <w:spacing w:line="256" w:lineRule="auto"/>
              <w:jc w:val="center"/>
              <w:rPr>
                <w:rFonts w:eastAsia="Times New Roman" w:cs="Arial"/>
                <w:b/>
                <w:bCs/>
                <w:sz w:val="12"/>
                <w:szCs w:val="16"/>
                <w:lang w:val="es-ES" w:eastAsia="en-US"/>
              </w:rPr>
            </w:pPr>
            <w:r>
              <w:rPr>
                <w:rFonts w:eastAsia="Times New Roman" w:cs="Arial"/>
                <w:b/>
                <w:bCs/>
                <w:sz w:val="12"/>
                <w:szCs w:val="16"/>
                <w:lang w:val="es-ES" w:eastAsia="en-US"/>
              </w:rPr>
              <w:t>Tasa de Interés Contratada</w:t>
            </w:r>
          </w:p>
        </w:tc>
        <w:tc>
          <w:tcPr>
            <w:tcW w:w="601" w:type="dxa"/>
            <w:tcBorders>
              <w:top w:val="single" w:sz="4" w:space="0" w:color="auto"/>
              <w:left w:val="single" w:sz="4" w:space="0" w:color="auto"/>
              <w:bottom w:val="single" w:sz="4" w:space="0" w:color="auto"/>
              <w:right w:val="single" w:sz="4" w:space="0" w:color="auto"/>
            </w:tcBorders>
            <w:vAlign w:val="center"/>
            <w:hideMark/>
          </w:tcPr>
          <w:p w14:paraId="242C6710" w14:textId="77777777" w:rsidR="00BF5974" w:rsidRDefault="00BF5974">
            <w:pPr>
              <w:spacing w:line="256" w:lineRule="auto"/>
              <w:jc w:val="center"/>
              <w:rPr>
                <w:rFonts w:eastAsia="Times New Roman" w:cs="Arial"/>
                <w:b/>
                <w:bCs/>
                <w:sz w:val="12"/>
                <w:szCs w:val="16"/>
                <w:lang w:val="es-ES" w:eastAsia="en-US"/>
              </w:rPr>
            </w:pPr>
            <w:r>
              <w:rPr>
                <w:rFonts w:eastAsia="Times New Roman" w:cs="Arial"/>
                <w:b/>
                <w:bCs/>
                <w:sz w:val="12"/>
                <w:szCs w:val="16"/>
                <w:lang w:val="es-ES" w:eastAsia="en-US"/>
              </w:rPr>
              <w:t>Tasa Efectiva</w:t>
            </w:r>
          </w:p>
        </w:tc>
        <w:tc>
          <w:tcPr>
            <w:tcW w:w="827" w:type="dxa"/>
            <w:tcBorders>
              <w:top w:val="single" w:sz="4" w:space="0" w:color="auto"/>
              <w:left w:val="single" w:sz="4" w:space="0" w:color="auto"/>
              <w:bottom w:val="single" w:sz="4" w:space="0" w:color="auto"/>
              <w:right w:val="single" w:sz="4" w:space="0" w:color="auto"/>
            </w:tcBorders>
            <w:vAlign w:val="center"/>
            <w:hideMark/>
          </w:tcPr>
          <w:p w14:paraId="567A9CDD" w14:textId="77777777" w:rsidR="00BF5974" w:rsidRDefault="00BF5974">
            <w:pPr>
              <w:spacing w:line="256" w:lineRule="auto"/>
              <w:jc w:val="center"/>
              <w:rPr>
                <w:rFonts w:eastAsia="Times New Roman" w:cs="Arial"/>
                <w:b/>
                <w:bCs/>
                <w:sz w:val="12"/>
                <w:szCs w:val="16"/>
                <w:lang w:val="es-ES" w:eastAsia="en-US"/>
              </w:rPr>
            </w:pPr>
            <w:r>
              <w:rPr>
                <w:rFonts w:eastAsia="Times New Roman" w:cs="Arial"/>
                <w:b/>
                <w:bCs/>
                <w:sz w:val="12"/>
                <w:szCs w:val="16"/>
                <w:lang w:val="es-ES" w:eastAsia="en-US"/>
              </w:rPr>
              <w:t>Fecha de Suscripción</w:t>
            </w:r>
          </w:p>
        </w:tc>
        <w:tc>
          <w:tcPr>
            <w:tcW w:w="854" w:type="dxa"/>
            <w:tcBorders>
              <w:top w:val="single" w:sz="4" w:space="0" w:color="auto"/>
              <w:left w:val="single" w:sz="4" w:space="0" w:color="auto"/>
              <w:bottom w:val="single" w:sz="4" w:space="0" w:color="auto"/>
              <w:right w:val="single" w:sz="4" w:space="0" w:color="auto"/>
            </w:tcBorders>
            <w:vAlign w:val="center"/>
            <w:hideMark/>
          </w:tcPr>
          <w:p w14:paraId="38E0B223" w14:textId="77777777" w:rsidR="00BF5974" w:rsidRDefault="00BF5974">
            <w:pPr>
              <w:spacing w:line="256" w:lineRule="auto"/>
              <w:jc w:val="center"/>
              <w:rPr>
                <w:rFonts w:eastAsia="Times New Roman" w:cs="Arial"/>
                <w:b/>
                <w:bCs/>
                <w:sz w:val="12"/>
                <w:szCs w:val="16"/>
                <w:lang w:val="es-ES" w:eastAsia="en-US"/>
              </w:rPr>
            </w:pPr>
            <w:r>
              <w:rPr>
                <w:rFonts w:eastAsia="Times New Roman" w:cs="Arial"/>
                <w:b/>
                <w:bCs/>
                <w:sz w:val="12"/>
                <w:szCs w:val="16"/>
                <w:lang w:val="es-ES" w:eastAsia="en-US"/>
              </w:rPr>
              <w:t>Fecha de Vencimiento</w:t>
            </w:r>
          </w:p>
        </w:tc>
        <w:tc>
          <w:tcPr>
            <w:tcW w:w="1177" w:type="dxa"/>
            <w:tcBorders>
              <w:top w:val="single" w:sz="4" w:space="0" w:color="auto"/>
              <w:left w:val="single" w:sz="4" w:space="0" w:color="auto"/>
              <w:bottom w:val="single" w:sz="4" w:space="0" w:color="auto"/>
              <w:right w:val="single" w:sz="4" w:space="0" w:color="auto"/>
            </w:tcBorders>
            <w:vAlign w:val="center"/>
            <w:hideMark/>
          </w:tcPr>
          <w:p w14:paraId="1F1EB91E" w14:textId="77777777" w:rsidR="00BF5974" w:rsidRDefault="00BF5974">
            <w:pPr>
              <w:spacing w:line="256" w:lineRule="auto"/>
              <w:jc w:val="center"/>
              <w:rPr>
                <w:rFonts w:eastAsia="Times New Roman" w:cs="Arial"/>
                <w:b/>
                <w:bCs/>
                <w:sz w:val="12"/>
                <w:szCs w:val="16"/>
                <w:lang w:val="es-ES" w:eastAsia="en-US"/>
              </w:rPr>
            </w:pPr>
            <w:r>
              <w:rPr>
                <w:rFonts w:eastAsia="Times New Roman" w:cs="Arial"/>
                <w:b/>
                <w:bCs/>
                <w:sz w:val="12"/>
                <w:szCs w:val="16"/>
                <w:lang w:val="es-ES" w:eastAsia="en-US"/>
              </w:rPr>
              <w:t>Garantía y/o Fuente de Pago</w:t>
            </w:r>
          </w:p>
        </w:tc>
      </w:tr>
      <w:tr w:rsidR="00BF5974" w14:paraId="39602870" w14:textId="77777777" w:rsidTr="007C636B">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1E80625" w14:textId="77777777" w:rsidR="00BF5974" w:rsidRDefault="00BF5974">
            <w:pPr>
              <w:spacing w:line="256" w:lineRule="auto"/>
              <w:jc w:val="left"/>
              <w:rPr>
                <w:rFonts w:eastAsia="Times New Roman" w:cs="Arial"/>
                <w:sz w:val="12"/>
                <w:szCs w:val="16"/>
                <w:lang w:val="es-ES" w:eastAsia="en-US"/>
              </w:rPr>
            </w:pPr>
            <w:r>
              <w:rPr>
                <w:rFonts w:eastAsia="Times New Roman" w:cs="Arial"/>
                <w:sz w:val="12"/>
                <w:szCs w:val="16"/>
                <w:lang w:val="es-ES" w:eastAsia="en-US"/>
              </w:rPr>
              <w:t>Banobras</w:t>
            </w:r>
          </w:p>
        </w:tc>
        <w:tc>
          <w:tcPr>
            <w:tcW w:w="767" w:type="dxa"/>
            <w:tcBorders>
              <w:top w:val="single" w:sz="4" w:space="0" w:color="auto"/>
              <w:left w:val="single" w:sz="4" w:space="0" w:color="auto"/>
              <w:bottom w:val="single" w:sz="4" w:space="0" w:color="auto"/>
              <w:right w:val="single" w:sz="4" w:space="0" w:color="auto"/>
            </w:tcBorders>
            <w:noWrap/>
            <w:vAlign w:val="center"/>
            <w:hideMark/>
          </w:tcPr>
          <w:p w14:paraId="5D407EE6" w14:textId="77777777" w:rsidR="00BF5974" w:rsidRDefault="00BF5974">
            <w:pPr>
              <w:spacing w:line="256" w:lineRule="auto"/>
              <w:jc w:val="left"/>
              <w:rPr>
                <w:rFonts w:eastAsia="Times New Roman" w:cs="Arial"/>
                <w:sz w:val="12"/>
                <w:szCs w:val="16"/>
                <w:lang w:val="es-ES" w:eastAsia="en-US"/>
              </w:rPr>
            </w:pPr>
            <w:r>
              <w:rPr>
                <w:rFonts w:eastAsia="Times New Roman" w:cs="Arial"/>
                <w:sz w:val="12"/>
                <w:szCs w:val="16"/>
                <w:lang w:val="es-ES" w:eastAsia="en-US"/>
              </w:rPr>
              <w:t>INSUVI</w:t>
            </w:r>
          </w:p>
        </w:tc>
        <w:tc>
          <w:tcPr>
            <w:tcW w:w="808" w:type="dxa"/>
            <w:tcBorders>
              <w:top w:val="single" w:sz="4" w:space="0" w:color="auto"/>
              <w:left w:val="single" w:sz="4" w:space="0" w:color="auto"/>
              <w:bottom w:val="single" w:sz="4" w:space="0" w:color="auto"/>
              <w:right w:val="single" w:sz="4" w:space="0" w:color="auto"/>
            </w:tcBorders>
            <w:vAlign w:val="center"/>
            <w:hideMark/>
          </w:tcPr>
          <w:p w14:paraId="0E512602" w14:textId="77777777" w:rsidR="00BF5974" w:rsidRDefault="00BF5974">
            <w:pPr>
              <w:spacing w:line="256" w:lineRule="auto"/>
              <w:jc w:val="right"/>
              <w:rPr>
                <w:rFonts w:eastAsia="Times New Roman" w:cs="Arial"/>
                <w:sz w:val="12"/>
                <w:szCs w:val="16"/>
                <w:lang w:val="es-ES" w:eastAsia="en-US"/>
              </w:rPr>
            </w:pPr>
            <w:r>
              <w:rPr>
                <w:rFonts w:eastAsia="Times New Roman" w:cs="Arial"/>
                <w:sz w:val="12"/>
                <w:szCs w:val="16"/>
                <w:lang w:val="es-ES" w:eastAsia="en-US"/>
              </w:rPr>
              <w:t>150,466,713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A2BD625" w14:textId="77777777" w:rsidR="00BF5974" w:rsidRDefault="00BF5974">
            <w:pPr>
              <w:spacing w:line="256" w:lineRule="auto"/>
              <w:jc w:val="right"/>
              <w:rPr>
                <w:rFonts w:eastAsia="Times New Roman" w:cs="Arial"/>
                <w:sz w:val="12"/>
                <w:szCs w:val="16"/>
                <w:lang w:val="es-ES" w:eastAsia="en-US"/>
              </w:rPr>
            </w:pPr>
            <w:r>
              <w:rPr>
                <w:rFonts w:eastAsia="Times New Roman" w:cs="Arial"/>
                <w:sz w:val="12"/>
                <w:szCs w:val="16"/>
                <w:lang w:val="es-ES" w:eastAsia="en-US"/>
              </w:rPr>
              <w:t>149,978,680</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5EC324DA" w14:textId="77777777" w:rsidR="00BF5974" w:rsidRDefault="00BF5974">
            <w:pPr>
              <w:spacing w:line="256" w:lineRule="auto"/>
              <w:jc w:val="right"/>
              <w:rPr>
                <w:rFonts w:eastAsia="Times New Roman" w:cs="Arial"/>
                <w:sz w:val="12"/>
                <w:szCs w:val="16"/>
                <w:lang w:val="es-ES" w:eastAsia="en-US"/>
              </w:rPr>
            </w:pPr>
            <w:r>
              <w:rPr>
                <w:rFonts w:eastAsia="Times New Roman" w:cs="Arial"/>
                <w:sz w:val="12"/>
                <w:szCs w:val="16"/>
                <w:lang w:val="es-ES" w:eastAsia="en-US"/>
              </w:rPr>
              <w:t>88,109,533</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7F69B01C" w14:textId="77777777" w:rsidR="00BF5974" w:rsidRDefault="00BF5974">
            <w:pPr>
              <w:spacing w:line="256" w:lineRule="auto"/>
              <w:jc w:val="center"/>
              <w:rPr>
                <w:rFonts w:eastAsia="Times New Roman" w:cs="Arial"/>
                <w:sz w:val="12"/>
                <w:szCs w:val="16"/>
                <w:lang w:val="es-ES" w:eastAsia="en-US"/>
              </w:rPr>
            </w:pPr>
            <w:r>
              <w:rPr>
                <w:rFonts w:eastAsia="Times New Roman" w:cs="Arial"/>
                <w:sz w:val="12"/>
                <w:szCs w:val="16"/>
                <w:lang w:val="es-ES" w:eastAsia="en-US"/>
              </w:rPr>
              <w:t>7304</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496181D" w14:textId="77777777" w:rsidR="00BF5974" w:rsidRDefault="00BF5974">
            <w:pPr>
              <w:spacing w:line="256" w:lineRule="auto"/>
              <w:jc w:val="center"/>
              <w:rPr>
                <w:rFonts w:eastAsia="Times New Roman" w:cs="Arial"/>
                <w:sz w:val="12"/>
                <w:szCs w:val="16"/>
                <w:lang w:val="es-ES" w:eastAsia="en-US"/>
              </w:rPr>
            </w:pPr>
            <w:r>
              <w:rPr>
                <w:rFonts w:eastAsia="Times New Roman" w:cs="Arial"/>
                <w:sz w:val="12"/>
                <w:szCs w:val="16"/>
                <w:lang w:val="es-ES" w:eastAsia="en-US"/>
              </w:rPr>
              <w:t>TIIE + 0.86%</w:t>
            </w:r>
          </w:p>
        </w:tc>
        <w:tc>
          <w:tcPr>
            <w:tcW w:w="601" w:type="dxa"/>
            <w:tcBorders>
              <w:top w:val="single" w:sz="4" w:space="0" w:color="auto"/>
              <w:left w:val="single" w:sz="4" w:space="0" w:color="auto"/>
              <w:bottom w:val="single" w:sz="4" w:space="0" w:color="auto"/>
              <w:right w:val="single" w:sz="4" w:space="0" w:color="auto"/>
            </w:tcBorders>
            <w:noWrap/>
            <w:vAlign w:val="center"/>
            <w:hideMark/>
          </w:tcPr>
          <w:p w14:paraId="5D27C06A" w14:textId="77777777" w:rsidR="00BF5974" w:rsidRDefault="00BF5974">
            <w:pPr>
              <w:spacing w:line="256" w:lineRule="auto"/>
              <w:jc w:val="center"/>
              <w:rPr>
                <w:rFonts w:eastAsia="Times New Roman" w:cs="Arial"/>
                <w:sz w:val="12"/>
                <w:szCs w:val="16"/>
                <w:lang w:val="es-ES" w:eastAsia="en-US"/>
              </w:rPr>
            </w:pPr>
            <w:proofErr w:type="spellStart"/>
            <w:r>
              <w:rPr>
                <w:rFonts w:eastAsia="Times New Roman" w:cs="Arial"/>
                <w:sz w:val="12"/>
                <w:szCs w:val="16"/>
                <w:lang w:val="es-ES" w:eastAsia="en-US"/>
              </w:rPr>
              <w:t>n.a</w:t>
            </w:r>
            <w:proofErr w:type="spellEnd"/>
            <w:r>
              <w:rPr>
                <w:rFonts w:eastAsia="Times New Roman" w:cs="Arial"/>
                <w:sz w:val="12"/>
                <w:szCs w:val="16"/>
                <w:lang w:val="es-ES" w:eastAsia="en-US"/>
              </w:rPr>
              <w:t>.</w:t>
            </w:r>
          </w:p>
        </w:tc>
        <w:tc>
          <w:tcPr>
            <w:tcW w:w="827" w:type="dxa"/>
            <w:tcBorders>
              <w:top w:val="single" w:sz="4" w:space="0" w:color="auto"/>
              <w:left w:val="single" w:sz="4" w:space="0" w:color="auto"/>
              <w:bottom w:val="single" w:sz="4" w:space="0" w:color="auto"/>
              <w:right w:val="single" w:sz="4" w:space="0" w:color="auto"/>
            </w:tcBorders>
            <w:noWrap/>
            <w:vAlign w:val="center"/>
            <w:hideMark/>
          </w:tcPr>
          <w:p w14:paraId="590D7EF8" w14:textId="77777777" w:rsidR="00BF5974" w:rsidRDefault="00BF5974">
            <w:pPr>
              <w:spacing w:line="256" w:lineRule="auto"/>
              <w:jc w:val="center"/>
              <w:rPr>
                <w:rFonts w:eastAsia="Times New Roman" w:cs="Arial"/>
                <w:sz w:val="12"/>
                <w:szCs w:val="16"/>
                <w:lang w:val="es-ES" w:eastAsia="en-US"/>
              </w:rPr>
            </w:pPr>
            <w:r>
              <w:rPr>
                <w:rFonts w:eastAsia="Times New Roman" w:cs="Arial"/>
                <w:sz w:val="12"/>
                <w:szCs w:val="16"/>
                <w:lang w:val="es-ES" w:eastAsia="en-US"/>
              </w:rPr>
              <w:t>jun-08</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75CCCF79" w14:textId="77777777" w:rsidR="00BF5974" w:rsidRDefault="00BF5974">
            <w:pPr>
              <w:spacing w:line="256" w:lineRule="auto"/>
              <w:jc w:val="center"/>
              <w:rPr>
                <w:rFonts w:eastAsia="Times New Roman" w:cs="Arial"/>
                <w:sz w:val="12"/>
                <w:szCs w:val="16"/>
                <w:lang w:val="es-ES" w:eastAsia="en-US"/>
              </w:rPr>
            </w:pPr>
            <w:r>
              <w:rPr>
                <w:rFonts w:eastAsia="Times New Roman" w:cs="Arial"/>
                <w:sz w:val="12"/>
                <w:szCs w:val="16"/>
                <w:lang w:val="es-ES" w:eastAsia="en-US"/>
              </w:rPr>
              <w:t>ago-33</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4D405DED" w14:textId="77777777" w:rsidR="00BF5974" w:rsidRDefault="00BF5974">
            <w:pPr>
              <w:spacing w:line="256" w:lineRule="auto"/>
              <w:jc w:val="center"/>
              <w:rPr>
                <w:rFonts w:eastAsia="Times New Roman" w:cs="Arial"/>
                <w:sz w:val="12"/>
                <w:szCs w:val="16"/>
                <w:lang w:val="es-ES" w:eastAsia="en-US"/>
              </w:rPr>
            </w:pPr>
            <w:r>
              <w:rPr>
                <w:rFonts w:eastAsia="Times New Roman" w:cs="Arial"/>
                <w:sz w:val="12"/>
                <w:szCs w:val="16"/>
                <w:lang w:val="es-ES" w:eastAsia="en-US"/>
              </w:rPr>
              <w:t>Participaciones</w:t>
            </w:r>
          </w:p>
        </w:tc>
      </w:tr>
      <w:tr w:rsidR="00BF5974" w14:paraId="0E8F5262" w14:textId="77777777" w:rsidTr="007C636B">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8FC1446" w14:textId="77777777" w:rsidR="00BF5974" w:rsidRDefault="00BF5974">
            <w:pPr>
              <w:spacing w:line="256" w:lineRule="auto"/>
              <w:jc w:val="left"/>
              <w:rPr>
                <w:rFonts w:eastAsia="Times New Roman" w:cs="Arial"/>
                <w:sz w:val="12"/>
                <w:szCs w:val="16"/>
                <w:lang w:val="es-ES" w:eastAsia="en-US"/>
              </w:rPr>
            </w:pPr>
            <w:r>
              <w:rPr>
                <w:rFonts w:eastAsia="Times New Roman" w:cs="Arial"/>
                <w:sz w:val="12"/>
                <w:szCs w:val="16"/>
                <w:lang w:val="es-ES" w:eastAsia="en-US"/>
              </w:rPr>
              <w:t>Banorte</w:t>
            </w:r>
          </w:p>
        </w:tc>
        <w:tc>
          <w:tcPr>
            <w:tcW w:w="767" w:type="dxa"/>
            <w:tcBorders>
              <w:top w:val="single" w:sz="4" w:space="0" w:color="auto"/>
              <w:left w:val="single" w:sz="4" w:space="0" w:color="auto"/>
              <w:bottom w:val="single" w:sz="4" w:space="0" w:color="auto"/>
              <w:right w:val="single" w:sz="4" w:space="0" w:color="auto"/>
            </w:tcBorders>
            <w:noWrap/>
            <w:vAlign w:val="center"/>
            <w:hideMark/>
          </w:tcPr>
          <w:p w14:paraId="39A29520" w14:textId="77777777" w:rsidR="00BF5974" w:rsidRDefault="00BF5974">
            <w:pPr>
              <w:spacing w:line="256" w:lineRule="auto"/>
              <w:jc w:val="left"/>
              <w:rPr>
                <w:rFonts w:eastAsia="Times New Roman" w:cs="Arial"/>
                <w:sz w:val="12"/>
                <w:szCs w:val="16"/>
                <w:lang w:val="es-ES" w:eastAsia="en-US"/>
              </w:rPr>
            </w:pPr>
            <w:r>
              <w:rPr>
                <w:rFonts w:eastAsia="Times New Roman" w:cs="Arial"/>
                <w:sz w:val="12"/>
                <w:szCs w:val="16"/>
                <w:lang w:val="es-ES" w:eastAsia="en-US"/>
              </w:rPr>
              <w:t>CIAPACOV</w:t>
            </w:r>
          </w:p>
        </w:tc>
        <w:tc>
          <w:tcPr>
            <w:tcW w:w="808" w:type="dxa"/>
            <w:tcBorders>
              <w:top w:val="single" w:sz="4" w:space="0" w:color="auto"/>
              <w:left w:val="single" w:sz="4" w:space="0" w:color="auto"/>
              <w:bottom w:val="single" w:sz="4" w:space="0" w:color="auto"/>
              <w:right w:val="single" w:sz="4" w:space="0" w:color="auto"/>
            </w:tcBorders>
            <w:vAlign w:val="center"/>
            <w:hideMark/>
          </w:tcPr>
          <w:p w14:paraId="2D3FC258" w14:textId="77777777" w:rsidR="00BF5974" w:rsidRDefault="00BF5974">
            <w:pPr>
              <w:spacing w:line="256" w:lineRule="auto"/>
              <w:jc w:val="right"/>
              <w:rPr>
                <w:rFonts w:eastAsia="Times New Roman" w:cs="Arial"/>
                <w:sz w:val="12"/>
                <w:szCs w:val="16"/>
                <w:lang w:val="es-ES" w:eastAsia="en-US"/>
              </w:rPr>
            </w:pPr>
            <w:r>
              <w:rPr>
                <w:rFonts w:eastAsia="Times New Roman" w:cs="Arial"/>
                <w:sz w:val="12"/>
                <w:szCs w:val="16"/>
                <w:lang w:val="es-ES" w:eastAsia="en-US"/>
              </w:rPr>
              <w:t>31,274,751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20F7C05" w14:textId="77777777" w:rsidR="00BF5974" w:rsidRDefault="00BF5974">
            <w:pPr>
              <w:spacing w:line="256" w:lineRule="auto"/>
              <w:jc w:val="right"/>
              <w:rPr>
                <w:rFonts w:eastAsia="Times New Roman" w:cs="Arial"/>
                <w:sz w:val="12"/>
                <w:szCs w:val="16"/>
                <w:lang w:val="es-ES" w:eastAsia="en-US"/>
              </w:rPr>
            </w:pPr>
            <w:r>
              <w:rPr>
                <w:rFonts w:eastAsia="Times New Roman" w:cs="Arial"/>
                <w:sz w:val="12"/>
                <w:szCs w:val="16"/>
                <w:lang w:val="es-ES" w:eastAsia="en-US"/>
              </w:rPr>
              <w:t>0</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27157B53" w14:textId="77777777" w:rsidR="00BF5974" w:rsidRDefault="00BF5974">
            <w:pPr>
              <w:spacing w:line="256" w:lineRule="auto"/>
              <w:jc w:val="right"/>
              <w:rPr>
                <w:rFonts w:eastAsia="Times New Roman" w:cs="Arial"/>
                <w:sz w:val="12"/>
                <w:szCs w:val="16"/>
                <w:lang w:val="es-ES" w:eastAsia="en-US"/>
              </w:rPr>
            </w:pPr>
            <w:r>
              <w:rPr>
                <w:rFonts w:eastAsia="Times New Roman" w:cs="Arial"/>
                <w:sz w:val="12"/>
                <w:szCs w:val="16"/>
                <w:lang w:val="es-ES" w:eastAsia="en-US"/>
              </w:rPr>
              <w:t>0</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7E28D8C5" w14:textId="77777777" w:rsidR="00BF5974" w:rsidRDefault="00BF5974">
            <w:pPr>
              <w:spacing w:line="256" w:lineRule="auto"/>
              <w:jc w:val="center"/>
              <w:rPr>
                <w:rFonts w:eastAsia="Times New Roman" w:cs="Arial"/>
                <w:sz w:val="12"/>
                <w:szCs w:val="16"/>
                <w:lang w:val="es-ES" w:eastAsia="en-US"/>
              </w:rPr>
            </w:pPr>
            <w:r>
              <w:rPr>
                <w:rFonts w:eastAsia="Times New Roman" w:cs="Arial"/>
                <w:sz w:val="12"/>
                <w:szCs w:val="16"/>
                <w:lang w:val="es-ES" w:eastAsia="en-US"/>
              </w:rPr>
              <w:t>31750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0110890" w14:textId="77777777" w:rsidR="00BF5974" w:rsidRDefault="00BF5974">
            <w:pPr>
              <w:spacing w:line="256" w:lineRule="auto"/>
              <w:jc w:val="center"/>
              <w:rPr>
                <w:rFonts w:eastAsia="Times New Roman" w:cs="Arial"/>
                <w:sz w:val="12"/>
                <w:szCs w:val="16"/>
                <w:lang w:val="es-ES" w:eastAsia="en-US"/>
              </w:rPr>
            </w:pPr>
            <w:r>
              <w:rPr>
                <w:rFonts w:eastAsia="Times New Roman" w:cs="Arial"/>
                <w:sz w:val="12"/>
                <w:szCs w:val="16"/>
                <w:lang w:val="es-ES" w:eastAsia="en-US"/>
              </w:rPr>
              <w:t>TIIE + 1.3 %</w:t>
            </w:r>
          </w:p>
        </w:tc>
        <w:tc>
          <w:tcPr>
            <w:tcW w:w="601" w:type="dxa"/>
            <w:tcBorders>
              <w:top w:val="single" w:sz="4" w:space="0" w:color="auto"/>
              <w:left w:val="single" w:sz="4" w:space="0" w:color="auto"/>
              <w:bottom w:val="single" w:sz="4" w:space="0" w:color="auto"/>
              <w:right w:val="single" w:sz="4" w:space="0" w:color="auto"/>
            </w:tcBorders>
            <w:noWrap/>
            <w:vAlign w:val="center"/>
            <w:hideMark/>
          </w:tcPr>
          <w:p w14:paraId="28822DB1" w14:textId="77777777" w:rsidR="00BF5974" w:rsidRDefault="00BF5974">
            <w:pPr>
              <w:spacing w:line="256" w:lineRule="auto"/>
              <w:jc w:val="center"/>
              <w:rPr>
                <w:rFonts w:eastAsia="Times New Roman" w:cs="Arial"/>
                <w:sz w:val="12"/>
                <w:szCs w:val="16"/>
                <w:lang w:val="es-ES" w:eastAsia="en-US"/>
              </w:rPr>
            </w:pPr>
            <w:proofErr w:type="spellStart"/>
            <w:r>
              <w:rPr>
                <w:rFonts w:eastAsia="Times New Roman" w:cs="Arial"/>
                <w:sz w:val="12"/>
                <w:szCs w:val="16"/>
                <w:lang w:val="es-ES" w:eastAsia="en-US"/>
              </w:rPr>
              <w:t>n.a</w:t>
            </w:r>
            <w:proofErr w:type="spellEnd"/>
            <w:r>
              <w:rPr>
                <w:rFonts w:eastAsia="Times New Roman" w:cs="Arial"/>
                <w:sz w:val="12"/>
                <w:szCs w:val="16"/>
                <w:lang w:val="es-ES" w:eastAsia="en-US"/>
              </w:rPr>
              <w:t>.</w:t>
            </w:r>
          </w:p>
        </w:tc>
        <w:tc>
          <w:tcPr>
            <w:tcW w:w="827" w:type="dxa"/>
            <w:tcBorders>
              <w:top w:val="single" w:sz="4" w:space="0" w:color="auto"/>
              <w:left w:val="single" w:sz="4" w:space="0" w:color="auto"/>
              <w:bottom w:val="single" w:sz="4" w:space="0" w:color="auto"/>
              <w:right w:val="single" w:sz="4" w:space="0" w:color="auto"/>
            </w:tcBorders>
            <w:noWrap/>
            <w:vAlign w:val="center"/>
            <w:hideMark/>
          </w:tcPr>
          <w:p w14:paraId="251FADAE" w14:textId="77777777" w:rsidR="00BF5974" w:rsidRDefault="00BF5974">
            <w:pPr>
              <w:spacing w:line="256" w:lineRule="auto"/>
              <w:jc w:val="center"/>
              <w:rPr>
                <w:rFonts w:eastAsia="Times New Roman" w:cs="Arial"/>
                <w:sz w:val="12"/>
                <w:szCs w:val="16"/>
                <w:lang w:val="es-ES" w:eastAsia="en-US"/>
              </w:rPr>
            </w:pPr>
            <w:r>
              <w:rPr>
                <w:rFonts w:eastAsia="Times New Roman" w:cs="Arial"/>
                <w:sz w:val="12"/>
                <w:szCs w:val="16"/>
                <w:lang w:val="es-ES" w:eastAsia="en-US"/>
              </w:rPr>
              <w:t>ago-06</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4B56AD2C" w14:textId="77777777" w:rsidR="00BF5974" w:rsidRDefault="00BF5974">
            <w:pPr>
              <w:spacing w:line="256" w:lineRule="auto"/>
              <w:jc w:val="center"/>
              <w:rPr>
                <w:rFonts w:eastAsia="Times New Roman" w:cs="Arial"/>
                <w:sz w:val="12"/>
                <w:szCs w:val="16"/>
                <w:lang w:val="es-ES" w:eastAsia="en-US"/>
              </w:rPr>
            </w:pPr>
            <w:r>
              <w:rPr>
                <w:rFonts w:eastAsia="Times New Roman" w:cs="Arial"/>
                <w:sz w:val="12"/>
                <w:szCs w:val="16"/>
                <w:lang w:val="es-ES" w:eastAsia="en-US"/>
              </w:rPr>
              <w:t>ago-26</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573E5D54" w14:textId="77777777" w:rsidR="00BF5974" w:rsidRDefault="00BF5974">
            <w:pPr>
              <w:spacing w:line="256" w:lineRule="auto"/>
              <w:jc w:val="center"/>
              <w:rPr>
                <w:rFonts w:eastAsia="Times New Roman" w:cs="Arial"/>
                <w:sz w:val="12"/>
                <w:szCs w:val="16"/>
                <w:lang w:val="es-ES" w:eastAsia="en-US"/>
              </w:rPr>
            </w:pPr>
            <w:r>
              <w:rPr>
                <w:rFonts w:eastAsia="Times New Roman" w:cs="Arial"/>
                <w:sz w:val="12"/>
                <w:szCs w:val="16"/>
                <w:lang w:val="es-ES" w:eastAsia="en-US"/>
              </w:rPr>
              <w:t>Participaciones</w:t>
            </w:r>
          </w:p>
        </w:tc>
      </w:tr>
    </w:tbl>
    <w:p w14:paraId="067A0EA4" w14:textId="77777777" w:rsidR="00BF5974" w:rsidRDefault="00BF5974" w:rsidP="00BF5974">
      <w:pPr>
        <w:ind w:left="142" w:hanging="142"/>
        <w:rPr>
          <w:rFonts w:cs="Arial"/>
          <w:sz w:val="14"/>
          <w:szCs w:val="20"/>
          <w:lang w:val="es-ES"/>
        </w:rPr>
      </w:pPr>
      <w:bookmarkStart w:id="213" w:name="_Toc22983212"/>
      <w:bookmarkStart w:id="214" w:name="_Toc22021958"/>
      <w:bookmarkStart w:id="215" w:name="_Toc526757510"/>
      <w:r>
        <w:rPr>
          <w:rFonts w:cs="Arial"/>
          <w:sz w:val="14"/>
          <w:szCs w:val="20"/>
          <w:lang w:val="es-ES"/>
        </w:rPr>
        <w:t xml:space="preserve">1/ </w:t>
      </w:r>
      <w:r>
        <w:rPr>
          <w:rFonts w:cs="Arial"/>
          <w:b/>
          <w:sz w:val="14"/>
          <w:szCs w:val="20"/>
          <w:lang w:val="es-ES"/>
        </w:rPr>
        <w:t>INSUVI</w:t>
      </w:r>
      <w:r>
        <w:rPr>
          <w:rFonts w:cs="Arial"/>
          <w:sz w:val="14"/>
          <w:szCs w:val="20"/>
          <w:lang w:val="es-ES"/>
        </w:rPr>
        <w:t>. Instituto de Suelo Urbanización y Vivienda del Estado de Colima</w:t>
      </w:r>
    </w:p>
    <w:p w14:paraId="139059E9" w14:textId="77777777" w:rsidR="00BF5974" w:rsidRDefault="00BF5974" w:rsidP="00BF5974">
      <w:pPr>
        <w:ind w:left="142" w:hanging="142"/>
        <w:rPr>
          <w:rFonts w:cs="Arial"/>
          <w:sz w:val="14"/>
          <w:szCs w:val="20"/>
          <w:lang w:val="es-ES"/>
        </w:rPr>
      </w:pPr>
      <w:r>
        <w:rPr>
          <w:rFonts w:cs="Arial"/>
          <w:sz w:val="14"/>
          <w:szCs w:val="20"/>
          <w:lang w:val="es-ES"/>
        </w:rPr>
        <w:t xml:space="preserve">2/ </w:t>
      </w:r>
      <w:r>
        <w:rPr>
          <w:rFonts w:cs="Arial"/>
          <w:b/>
          <w:sz w:val="14"/>
          <w:szCs w:val="20"/>
          <w:lang w:val="es-ES"/>
        </w:rPr>
        <w:t>CIAPACOV</w:t>
      </w:r>
      <w:r>
        <w:rPr>
          <w:rFonts w:cs="Arial"/>
          <w:sz w:val="14"/>
          <w:szCs w:val="20"/>
          <w:lang w:val="es-ES"/>
        </w:rPr>
        <w:t>. Comisión Intermunicipal de Agua Potable y Alcantarillado de Colima- Villa de Álvarez</w:t>
      </w:r>
    </w:p>
    <w:p w14:paraId="23D5F931" w14:textId="77777777" w:rsidR="00BF5974" w:rsidRDefault="00BF5974" w:rsidP="00BF5974">
      <w:pPr>
        <w:ind w:left="142" w:hanging="142"/>
        <w:rPr>
          <w:rFonts w:cs="Arial"/>
          <w:sz w:val="14"/>
          <w:szCs w:val="20"/>
          <w:lang w:val="es-ES"/>
        </w:rPr>
      </w:pPr>
      <w:r>
        <w:rPr>
          <w:rFonts w:cs="Arial"/>
          <w:sz w:val="14"/>
          <w:szCs w:val="20"/>
          <w:lang w:val="es-ES"/>
        </w:rPr>
        <w:t xml:space="preserve">3/ La línea de crédito disponible de CIAPACOV se actualiza anualmente en proporción al incremento del Índice Nacional de Precios al Consumidor. </w:t>
      </w:r>
    </w:p>
    <w:p w14:paraId="62C59375" w14:textId="77777777" w:rsidR="00BF5974" w:rsidRDefault="00BF5974" w:rsidP="00BF5974">
      <w:pPr>
        <w:keepNext/>
        <w:keepLines/>
        <w:outlineLvl w:val="2"/>
        <w:rPr>
          <w:rFonts w:eastAsia="Times New Roman" w:cs="Arial"/>
          <w:b/>
          <w:szCs w:val="24"/>
          <w:lang w:val="es-ES" w:eastAsia="en-US"/>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1271"/>
        <w:gridCol w:w="1276"/>
        <w:gridCol w:w="1276"/>
        <w:gridCol w:w="1842"/>
        <w:gridCol w:w="1701"/>
      </w:tblGrid>
      <w:tr w:rsidR="00BF5974" w14:paraId="10FD93A2" w14:textId="77777777" w:rsidTr="00BF5974">
        <w:trPr>
          <w:trHeight w:val="330"/>
          <w:tblHeader/>
          <w:jc w:val="center"/>
        </w:trPr>
        <w:tc>
          <w:tcPr>
            <w:tcW w:w="8500" w:type="dxa"/>
            <w:gridSpan w:val="6"/>
            <w:tcBorders>
              <w:top w:val="nil"/>
              <w:left w:val="nil"/>
              <w:bottom w:val="single" w:sz="4" w:space="0" w:color="auto"/>
              <w:right w:val="nil"/>
            </w:tcBorders>
            <w:noWrap/>
            <w:vAlign w:val="center"/>
            <w:hideMark/>
          </w:tcPr>
          <w:p w14:paraId="50B6D45B" w14:textId="77777777" w:rsidR="00BF5974" w:rsidRDefault="00BF5974">
            <w:pPr>
              <w:spacing w:line="256" w:lineRule="auto"/>
              <w:jc w:val="center"/>
              <w:rPr>
                <w:rFonts w:cs="Arial"/>
                <w:b/>
                <w:sz w:val="20"/>
                <w:lang w:val="es-ES" w:eastAsia="en-US"/>
              </w:rPr>
            </w:pPr>
            <w:r>
              <w:rPr>
                <w:rFonts w:eastAsia="Times New Roman" w:cs="Arial"/>
                <w:b/>
                <w:sz w:val="20"/>
                <w:lang w:val="es-ES" w:eastAsia="en-US"/>
              </w:rPr>
              <w:t>Tabla 45. Destino de la Deuda Pública Indirecta</w:t>
            </w:r>
          </w:p>
        </w:tc>
      </w:tr>
      <w:bookmarkEnd w:id="213"/>
      <w:bookmarkEnd w:id="214"/>
      <w:bookmarkEnd w:id="215"/>
      <w:tr w:rsidR="00BF5974" w14:paraId="72FF4432" w14:textId="77777777" w:rsidTr="00BF5974">
        <w:trPr>
          <w:trHeight w:val="45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6B1568E5" w14:textId="77777777" w:rsidR="00BF5974" w:rsidRDefault="00BF5974">
            <w:pPr>
              <w:spacing w:line="256" w:lineRule="auto"/>
              <w:ind w:left="-142"/>
              <w:jc w:val="center"/>
              <w:rPr>
                <w:rFonts w:cs="Arial"/>
                <w:b/>
                <w:bCs/>
                <w:sz w:val="16"/>
                <w:szCs w:val="20"/>
                <w:lang w:val="es-ES" w:eastAsia="en-US"/>
              </w:rPr>
            </w:pPr>
            <w:r>
              <w:rPr>
                <w:rFonts w:cs="Arial"/>
                <w:b/>
                <w:bCs/>
                <w:sz w:val="16"/>
                <w:szCs w:val="20"/>
                <w:lang w:val="es-ES" w:eastAsia="en-US"/>
              </w:rPr>
              <w:t>Acreedor</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F65F820" w14:textId="77777777" w:rsidR="00BF5974" w:rsidRDefault="00BF5974">
            <w:pPr>
              <w:spacing w:line="256" w:lineRule="auto"/>
              <w:jc w:val="center"/>
              <w:rPr>
                <w:rFonts w:cs="Arial"/>
                <w:b/>
                <w:bCs/>
                <w:sz w:val="16"/>
                <w:szCs w:val="20"/>
                <w:lang w:val="es-ES" w:eastAsia="en-US"/>
              </w:rPr>
            </w:pPr>
            <w:r>
              <w:rPr>
                <w:rFonts w:cs="Arial"/>
                <w:b/>
                <w:bCs/>
                <w:sz w:val="16"/>
                <w:szCs w:val="20"/>
                <w:lang w:val="es-ES" w:eastAsia="en-US"/>
              </w:rPr>
              <w:t>Acreditado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ECC2DB" w14:textId="77777777" w:rsidR="00BF5974" w:rsidRDefault="00BF5974">
            <w:pPr>
              <w:spacing w:line="256" w:lineRule="auto"/>
              <w:jc w:val="center"/>
              <w:rPr>
                <w:rFonts w:cs="Arial"/>
                <w:b/>
                <w:bCs/>
                <w:sz w:val="16"/>
                <w:szCs w:val="20"/>
                <w:lang w:val="es-ES" w:eastAsia="en-US"/>
              </w:rPr>
            </w:pPr>
            <w:r>
              <w:rPr>
                <w:rFonts w:cs="Arial"/>
                <w:b/>
                <w:bCs/>
                <w:sz w:val="16"/>
                <w:szCs w:val="20"/>
                <w:lang w:val="es-ES" w:eastAsia="en-US"/>
              </w:rPr>
              <w:t>Número de Crédito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FC4698" w14:textId="77777777" w:rsidR="00BF5974" w:rsidRDefault="00BF5974">
            <w:pPr>
              <w:spacing w:line="256" w:lineRule="auto"/>
              <w:ind w:left="-56"/>
              <w:jc w:val="center"/>
              <w:rPr>
                <w:rFonts w:cs="Arial"/>
                <w:b/>
                <w:bCs/>
                <w:sz w:val="16"/>
                <w:szCs w:val="20"/>
                <w:lang w:val="es-ES" w:eastAsia="en-US"/>
              </w:rPr>
            </w:pPr>
            <w:r>
              <w:rPr>
                <w:rFonts w:cs="Arial"/>
                <w:b/>
                <w:bCs/>
                <w:sz w:val="16"/>
                <w:szCs w:val="20"/>
                <w:lang w:val="es-ES" w:eastAsia="en-US"/>
              </w:rPr>
              <w:t>Inscripción RPU</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72CF295" w14:textId="77777777" w:rsidR="00BF5974" w:rsidRDefault="00BF5974">
            <w:pPr>
              <w:spacing w:line="256" w:lineRule="auto"/>
              <w:ind w:left="-49"/>
              <w:jc w:val="center"/>
              <w:rPr>
                <w:rFonts w:cs="Arial"/>
                <w:b/>
                <w:bCs/>
                <w:sz w:val="16"/>
                <w:szCs w:val="20"/>
                <w:lang w:val="es-ES" w:eastAsia="en-US"/>
              </w:rPr>
            </w:pPr>
            <w:r>
              <w:rPr>
                <w:rFonts w:cs="Arial"/>
                <w:b/>
                <w:bCs/>
                <w:sz w:val="16"/>
                <w:szCs w:val="20"/>
                <w:lang w:val="es-ES" w:eastAsia="en-US"/>
              </w:rPr>
              <w:t>Destino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633544" w14:textId="77777777" w:rsidR="00BF5974" w:rsidRDefault="00BF5974">
            <w:pPr>
              <w:spacing w:line="256" w:lineRule="auto"/>
              <w:ind w:left="-44"/>
              <w:jc w:val="center"/>
              <w:rPr>
                <w:rFonts w:cs="Arial"/>
                <w:b/>
                <w:bCs/>
                <w:sz w:val="16"/>
                <w:szCs w:val="20"/>
                <w:lang w:val="es-ES" w:eastAsia="en-US"/>
              </w:rPr>
            </w:pPr>
            <w:r>
              <w:rPr>
                <w:rFonts w:cs="Arial"/>
                <w:b/>
                <w:bCs/>
                <w:sz w:val="16"/>
                <w:szCs w:val="20"/>
                <w:lang w:val="es-ES" w:eastAsia="en-US"/>
              </w:rPr>
              <w:t>Tipo de Crédito</w:t>
            </w:r>
          </w:p>
        </w:tc>
      </w:tr>
      <w:tr w:rsidR="00BF5974" w14:paraId="644F727D" w14:textId="77777777" w:rsidTr="00BF5974">
        <w:trPr>
          <w:trHeight w:val="25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45E831D8" w14:textId="77777777" w:rsidR="00BF5974" w:rsidRDefault="00BF5974">
            <w:pPr>
              <w:spacing w:line="256" w:lineRule="auto"/>
              <w:ind w:left="-9"/>
              <w:rPr>
                <w:rFonts w:cs="Arial"/>
                <w:sz w:val="16"/>
                <w:szCs w:val="20"/>
                <w:lang w:val="es-ES" w:eastAsia="en-US"/>
              </w:rPr>
            </w:pPr>
            <w:r>
              <w:rPr>
                <w:rFonts w:cs="Arial"/>
                <w:sz w:val="16"/>
                <w:szCs w:val="20"/>
                <w:lang w:val="es-ES" w:eastAsia="en-US"/>
              </w:rPr>
              <w:t>Banobras</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77CCF2B9" w14:textId="77777777" w:rsidR="00BF5974" w:rsidRDefault="00BF5974">
            <w:pPr>
              <w:spacing w:line="256" w:lineRule="auto"/>
              <w:jc w:val="center"/>
              <w:rPr>
                <w:rFonts w:cs="Arial"/>
                <w:sz w:val="16"/>
                <w:szCs w:val="20"/>
                <w:lang w:val="es-ES" w:eastAsia="en-US"/>
              </w:rPr>
            </w:pPr>
            <w:r>
              <w:rPr>
                <w:rFonts w:cs="Arial"/>
                <w:sz w:val="16"/>
                <w:szCs w:val="20"/>
                <w:lang w:val="es-ES" w:eastAsia="en-US"/>
              </w:rPr>
              <w:t>INSUVI</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C889973" w14:textId="77777777" w:rsidR="00BF5974" w:rsidRDefault="00BF5974">
            <w:pPr>
              <w:spacing w:line="256" w:lineRule="auto"/>
              <w:jc w:val="center"/>
              <w:rPr>
                <w:rFonts w:cs="Arial"/>
                <w:sz w:val="16"/>
                <w:szCs w:val="20"/>
                <w:lang w:val="es-ES" w:eastAsia="en-US"/>
              </w:rPr>
            </w:pPr>
            <w:r>
              <w:rPr>
                <w:rFonts w:cs="Arial"/>
                <w:sz w:val="16"/>
                <w:szCs w:val="20"/>
                <w:lang w:val="es-ES" w:eastAsia="en-US"/>
              </w:rPr>
              <w:t>7304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F73762A" w14:textId="77777777" w:rsidR="00BF5974" w:rsidRDefault="00BF5974">
            <w:pPr>
              <w:spacing w:line="256" w:lineRule="auto"/>
              <w:ind w:left="-35"/>
              <w:jc w:val="center"/>
              <w:rPr>
                <w:rFonts w:cs="Arial"/>
                <w:sz w:val="16"/>
                <w:szCs w:val="20"/>
                <w:lang w:val="es-ES" w:eastAsia="en-US"/>
              </w:rPr>
            </w:pPr>
            <w:r>
              <w:rPr>
                <w:rFonts w:cs="Arial"/>
                <w:sz w:val="16"/>
                <w:szCs w:val="20"/>
                <w:lang w:val="es-ES" w:eastAsia="en-US"/>
              </w:rPr>
              <w:t>121/2008</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3B891B99" w14:textId="77777777" w:rsidR="00BF5974" w:rsidRDefault="00BF5974">
            <w:pPr>
              <w:spacing w:line="256" w:lineRule="auto"/>
              <w:jc w:val="center"/>
              <w:rPr>
                <w:rFonts w:cs="Arial"/>
                <w:sz w:val="16"/>
                <w:szCs w:val="20"/>
                <w:lang w:val="es-ES" w:eastAsia="en-US"/>
              </w:rPr>
            </w:pPr>
            <w:r>
              <w:rPr>
                <w:rFonts w:cs="Arial"/>
                <w:sz w:val="16"/>
                <w:szCs w:val="20"/>
                <w:lang w:val="es-ES" w:eastAsia="en-US"/>
              </w:rPr>
              <w:t>Refinanciamiento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5F49D9E" w14:textId="77777777" w:rsidR="00BF5974" w:rsidRDefault="00BF5974">
            <w:pPr>
              <w:spacing w:line="256" w:lineRule="auto"/>
              <w:ind w:left="-44"/>
              <w:jc w:val="center"/>
              <w:rPr>
                <w:rFonts w:cs="Arial"/>
                <w:sz w:val="16"/>
                <w:szCs w:val="20"/>
                <w:lang w:val="es-ES" w:eastAsia="en-US"/>
              </w:rPr>
            </w:pPr>
            <w:r>
              <w:rPr>
                <w:rFonts w:cs="Arial"/>
                <w:sz w:val="16"/>
                <w:szCs w:val="20"/>
                <w:lang w:val="es-ES" w:eastAsia="en-US"/>
              </w:rPr>
              <w:t>Simple</w:t>
            </w:r>
          </w:p>
        </w:tc>
      </w:tr>
      <w:tr w:rsidR="00BF5974" w14:paraId="1E2AAAF1" w14:textId="77777777" w:rsidTr="00BF5974">
        <w:trPr>
          <w:trHeight w:val="281"/>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56E8192C" w14:textId="77777777" w:rsidR="00BF5974" w:rsidRDefault="00BF5974">
            <w:pPr>
              <w:spacing w:line="256" w:lineRule="auto"/>
              <w:rPr>
                <w:rFonts w:cs="Arial"/>
                <w:sz w:val="16"/>
                <w:szCs w:val="20"/>
                <w:lang w:val="es-ES" w:eastAsia="en-US"/>
              </w:rPr>
            </w:pPr>
            <w:r>
              <w:rPr>
                <w:rFonts w:cs="Arial"/>
                <w:sz w:val="16"/>
                <w:szCs w:val="20"/>
                <w:lang w:val="es-ES" w:eastAsia="en-US"/>
              </w:rPr>
              <w:t>Banorte</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211A9F2D" w14:textId="77777777" w:rsidR="00BF5974" w:rsidRDefault="00BF5974">
            <w:pPr>
              <w:spacing w:line="256" w:lineRule="auto"/>
              <w:jc w:val="center"/>
              <w:rPr>
                <w:rFonts w:cs="Arial"/>
                <w:sz w:val="16"/>
                <w:szCs w:val="20"/>
                <w:lang w:val="es-ES" w:eastAsia="en-US"/>
              </w:rPr>
            </w:pPr>
            <w:r>
              <w:rPr>
                <w:rFonts w:cs="Arial"/>
                <w:sz w:val="16"/>
                <w:szCs w:val="20"/>
                <w:lang w:val="es-ES" w:eastAsia="en-US"/>
              </w:rPr>
              <w:t>CIAPACOV</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559544C" w14:textId="77777777" w:rsidR="00BF5974" w:rsidRDefault="00BF5974">
            <w:pPr>
              <w:spacing w:line="256" w:lineRule="auto"/>
              <w:jc w:val="center"/>
              <w:rPr>
                <w:rFonts w:cs="Arial"/>
                <w:sz w:val="16"/>
                <w:szCs w:val="20"/>
                <w:lang w:val="es-ES" w:eastAsia="en-US"/>
              </w:rPr>
            </w:pPr>
            <w:r>
              <w:rPr>
                <w:rFonts w:cs="Arial"/>
                <w:sz w:val="16"/>
                <w:szCs w:val="20"/>
                <w:lang w:val="es-ES" w:eastAsia="en-US"/>
              </w:rPr>
              <w:t>31750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F039E02" w14:textId="77777777" w:rsidR="00BF5974" w:rsidRDefault="00BF5974">
            <w:pPr>
              <w:spacing w:line="256" w:lineRule="auto"/>
              <w:ind w:left="-35"/>
              <w:jc w:val="center"/>
              <w:rPr>
                <w:rFonts w:cs="Arial"/>
                <w:sz w:val="16"/>
                <w:szCs w:val="20"/>
                <w:lang w:val="es-ES" w:eastAsia="en-US"/>
              </w:rPr>
            </w:pPr>
            <w:r>
              <w:rPr>
                <w:rFonts w:cs="Arial"/>
                <w:sz w:val="16"/>
                <w:szCs w:val="20"/>
                <w:lang w:val="es-ES" w:eastAsia="en-US"/>
              </w:rPr>
              <w:t>204/2006</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68D1879E" w14:textId="77777777" w:rsidR="00BF5974" w:rsidRDefault="00BF5974">
            <w:pPr>
              <w:spacing w:line="256" w:lineRule="auto"/>
              <w:jc w:val="center"/>
              <w:rPr>
                <w:rFonts w:cs="Arial"/>
                <w:sz w:val="16"/>
                <w:szCs w:val="20"/>
                <w:lang w:val="es-ES" w:eastAsia="en-US"/>
              </w:rPr>
            </w:pPr>
            <w:r>
              <w:rPr>
                <w:rFonts w:cs="Arial"/>
                <w:sz w:val="16"/>
                <w:szCs w:val="20"/>
                <w:lang w:val="es-ES" w:eastAsia="en-US"/>
              </w:rPr>
              <w:t>Fuente Pago Alterna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94CB0E2" w14:textId="77777777" w:rsidR="00BF5974" w:rsidRDefault="00BF5974">
            <w:pPr>
              <w:spacing w:line="256" w:lineRule="auto"/>
              <w:ind w:left="-44"/>
              <w:jc w:val="center"/>
              <w:rPr>
                <w:rFonts w:cs="Arial"/>
                <w:sz w:val="16"/>
                <w:szCs w:val="20"/>
                <w:lang w:val="es-ES" w:eastAsia="en-US"/>
              </w:rPr>
            </w:pPr>
            <w:r>
              <w:rPr>
                <w:rFonts w:cs="Arial"/>
                <w:sz w:val="16"/>
                <w:szCs w:val="20"/>
                <w:lang w:val="es-ES" w:eastAsia="en-US"/>
              </w:rPr>
              <w:t>En cuenta corriente</w:t>
            </w:r>
          </w:p>
        </w:tc>
      </w:tr>
    </w:tbl>
    <w:p w14:paraId="65EC950C" w14:textId="75F15DE2" w:rsidR="00BF5974" w:rsidRDefault="00BF5974" w:rsidP="00BF5974">
      <w:pPr>
        <w:rPr>
          <w:rFonts w:cs="Arial"/>
          <w:lang w:val="es-ES"/>
        </w:rPr>
      </w:pPr>
    </w:p>
    <w:p w14:paraId="47ABA20F" w14:textId="77777777" w:rsidR="00657B7A" w:rsidRDefault="00657B7A" w:rsidP="00BF5974">
      <w:pPr>
        <w:rPr>
          <w:rFonts w:cs="Arial"/>
          <w:lang w:val="es-ES"/>
        </w:rPr>
      </w:pPr>
    </w:p>
    <w:p w14:paraId="401EE1B9" w14:textId="77777777" w:rsidR="00BF5974" w:rsidRDefault="00BF5974" w:rsidP="00BF5974">
      <w:pPr>
        <w:ind w:left="567" w:hanging="567"/>
        <w:rPr>
          <w:rFonts w:eastAsia="Times New Roman" w:cs="Arial"/>
          <w:lang w:val="es-ES" w:eastAsia="es-ES"/>
        </w:rPr>
      </w:pPr>
      <w:r>
        <w:rPr>
          <w:rFonts w:eastAsia="Times New Roman" w:cs="Arial"/>
          <w:lang w:val="es-ES" w:eastAsia="es-ES"/>
        </w:rPr>
        <w:t>VIII.</w:t>
      </w:r>
      <w:r>
        <w:rPr>
          <w:rFonts w:eastAsia="Times New Roman" w:cs="Arial"/>
          <w:lang w:val="es-ES" w:eastAsia="es-ES"/>
        </w:rPr>
        <w:tab/>
        <w:t>Las erogaciones previstas para Deuda Pública, de acuerdo a la Clasificación por Objeto del Gasto, es la siguiente:</w:t>
      </w:r>
    </w:p>
    <w:p w14:paraId="7BC6536A" w14:textId="77777777" w:rsidR="00BF5974" w:rsidRDefault="00BF5974" w:rsidP="00BF5974">
      <w:pPr>
        <w:keepNext/>
        <w:keepLines/>
        <w:outlineLvl w:val="2"/>
        <w:rPr>
          <w:rFonts w:eastAsia="Times New Roman" w:cs="Arial"/>
          <w:b/>
          <w:szCs w:val="24"/>
          <w:lang w:val="es-ES" w:eastAsia="en-US"/>
        </w:rPr>
      </w:pP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2"/>
        <w:gridCol w:w="709"/>
        <w:gridCol w:w="3402"/>
        <w:gridCol w:w="992"/>
        <w:gridCol w:w="851"/>
        <w:gridCol w:w="874"/>
        <w:gridCol w:w="891"/>
        <w:gridCol w:w="985"/>
        <w:gridCol w:w="374"/>
      </w:tblGrid>
      <w:tr w:rsidR="00BF5974" w14:paraId="44F6DF73" w14:textId="77777777" w:rsidTr="00BF5974">
        <w:trPr>
          <w:gridBefore w:val="1"/>
          <w:wBefore w:w="132" w:type="dxa"/>
          <w:trHeight w:val="20"/>
          <w:tblHeader/>
        </w:trPr>
        <w:tc>
          <w:tcPr>
            <w:tcW w:w="9078" w:type="dxa"/>
            <w:gridSpan w:val="8"/>
            <w:tcBorders>
              <w:top w:val="nil"/>
              <w:left w:val="nil"/>
              <w:bottom w:val="nil"/>
              <w:right w:val="nil"/>
            </w:tcBorders>
            <w:noWrap/>
            <w:vAlign w:val="center"/>
            <w:hideMark/>
          </w:tcPr>
          <w:p w14:paraId="027B0837" w14:textId="77777777" w:rsidR="00BF5974" w:rsidRDefault="00BF5974">
            <w:pPr>
              <w:spacing w:line="256" w:lineRule="auto"/>
              <w:jc w:val="center"/>
              <w:rPr>
                <w:rFonts w:eastAsia="Times New Roman" w:cs="Arial"/>
                <w:color w:val="000000"/>
                <w:sz w:val="16"/>
                <w:szCs w:val="16"/>
                <w:lang w:val="es-ES" w:eastAsia="en-US"/>
              </w:rPr>
            </w:pPr>
            <w:r>
              <w:rPr>
                <w:rFonts w:eastAsia="Times New Roman" w:cs="Arial"/>
                <w:b/>
                <w:sz w:val="20"/>
                <w:szCs w:val="20"/>
                <w:lang w:val="es-ES" w:eastAsia="en-US"/>
              </w:rPr>
              <w:t xml:space="preserve">Tabla 46. Erogaciones Previstas para Deuda Pública </w:t>
            </w:r>
            <w:r>
              <w:rPr>
                <w:rFonts w:eastAsia="Times New Roman" w:cs="Arial"/>
                <w:b/>
                <w:sz w:val="20"/>
                <w:szCs w:val="20"/>
                <w:lang w:val="es-ES" w:eastAsia="en-US"/>
              </w:rPr>
              <w:br/>
            </w:r>
            <w:r>
              <w:rPr>
                <w:rFonts w:eastAsia="Times New Roman" w:cs="Arial"/>
                <w:b/>
                <w:sz w:val="18"/>
                <w:szCs w:val="18"/>
                <w:lang w:val="es-ES" w:eastAsia="en-US"/>
              </w:rPr>
              <w:t>(Clasificación por Objeto del Gasto)</w:t>
            </w:r>
          </w:p>
        </w:tc>
      </w:tr>
      <w:tr w:rsidR="00BF5974" w14:paraId="7EA1E823" w14:textId="77777777" w:rsidTr="00BF5974">
        <w:trPr>
          <w:gridAfter w:val="1"/>
          <w:wAfter w:w="374" w:type="dxa"/>
          <w:trHeight w:val="20"/>
          <w:tblHeader/>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DE724D5" w14:textId="77777777" w:rsidR="00BF5974" w:rsidRDefault="00BF5974">
            <w:pPr>
              <w:spacing w:line="256" w:lineRule="auto"/>
              <w:jc w:val="center"/>
              <w:rPr>
                <w:rFonts w:eastAsia="Times New Roman" w:cs="Arial"/>
                <w:b/>
                <w:bCs/>
                <w:color w:val="000000"/>
                <w:sz w:val="12"/>
                <w:szCs w:val="12"/>
                <w:lang w:val="es-ES" w:eastAsia="en-US"/>
              </w:rPr>
            </w:pPr>
            <w:r>
              <w:rPr>
                <w:rFonts w:eastAsia="Times New Roman" w:cs="Arial"/>
                <w:b/>
                <w:bCs/>
                <w:color w:val="000000"/>
                <w:sz w:val="12"/>
                <w:szCs w:val="12"/>
                <w:lang w:val="es-ES" w:eastAsia="en-US"/>
              </w:rPr>
              <w:t>Clave</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77CD8FE" w14:textId="77777777" w:rsidR="00BF5974" w:rsidRDefault="00BF5974">
            <w:pPr>
              <w:spacing w:line="256" w:lineRule="auto"/>
              <w:jc w:val="center"/>
              <w:rPr>
                <w:rFonts w:eastAsia="Times New Roman" w:cs="Arial"/>
                <w:b/>
                <w:bCs/>
                <w:color w:val="000000"/>
                <w:sz w:val="12"/>
                <w:szCs w:val="12"/>
                <w:lang w:val="es-ES" w:eastAsia="en-US"/>
              </w:rPr>
            </w:pPr>
            <w:r>
              <w:rPr>
                <w:rFonts w:eastAsia="Times New Roman" w:cs="Arial"/>
                <w:b/>
                <w:bCs/>
                <w:color w:val="000000"/>
                <w:sz w:val="12"/>
                <w:szCs w:val="12"/>
                <w:lang w:val="es-ES" w:eastAsia="en-US"/>
              </w:rPr>
              <w:t>Descripción</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B9D6B67" w14:textId="77777777" w:rsidR="00BF5974" w:rsidRDefault="00BF5974">
            <w:pPr>
              <w:spacing w:line="256" w:lineRule="auto"/>
              <w:jc w:val="center"/>
              <w:rPr>
                <w:rFonts w:eastAsia="Times New Roman" w:cs="Arial"/>
                <w:b/>
                <w:bCs/>
                <w:color w:val="000000"/>
                <w:sz w:val="12"/>
                <w:szCs w:val="12"/>
                <w:lang w:val="es-ES" w:eastAsia="en-US"/>
              </w:rPr>
            </w:pPr>
            <w:r>
              <w:rPr>
                <w:rFonts w:eastAsia="Times New Roman" w:cs="Arial"/>
                <w:b/>
                <w:bCs/>
                <w:color w:val="000000"/>
                <w:sz w:val="12"/>
                <w:szCs w:val="12"/>
                <w:lang w:val="es-ES" w:eastAsia="en-US"/>
              </w:rPr>
              <w:t>Primer Trimestre</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2E342B" w14:textId="77777777" w:rsidR="00BF5974" w:rsidRDefault="00BF5974">
            <w:pPr>
              <w:spacing w:line="256" w:lineRule="auto"/>
              <w:jc w:val="center"/>
              <w:rPr>
                <w:rFonts w:eastAsia="Times New Roman" w:cs="Arial"/>
                <w:b/>
                <w:bCs/>
                <w:color w:val="000000"/>
                <w:sz w:val="12"/>
                <w:szCs w:val="12"/>
                <w:lang w:val="es-ES" w:eastAsia="en-US"/>
              </w:rPr>
            </w:pPr>
            <w:r>
              <w:rPr>
                <w:rFonts w:eastAsia="Times New Roman" w:cs="Arial"/>
                <w:b/>
                <w:bCs/>
                <w:color w:val="000000"/>
                <w:sz w:val="12"/>
                <w:szCs w:val="12"/>
                <w:lang w:val="es-ES" w:eastAsia="en-US"/>
              </w:rPr>
              <w:t>Segundo Trimestre</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944917" w14:textId="77777777" w:rsidR="00BF5974" w:rsidRDefault="00BF5974">
            <w:pPr>
              <w:spacing w:line="256" w:lineRule="auto"/>
              <w:jc w:val="center"/>
              <w:rPr>
                <w:rFonts w:eastAsia="Times New Roman" w:cs="Arial"/>
                <w:b/>
                <w:bCs/>
                <w:color w:val="000000"/>
                <w:sz w:val="12"/>
                <w:szCs w:val="12"/>
                <w:lang w:val="es-ES" w:eastAsia="en-US"/>
              </w:rPr>
            </w:pPr>
            <w:r>
              <w:rPr>
                <w:rFonts w:eastAsia="Times New Roman" w:cs="Arial"/>
                <w:b/>
                <w:bCs/>
                <w:color w:val="000000"/>
                <w:sz w:val="12"/>
                <w:szCs w:val="12"/>
                <w:lang w:val="es-ES" w:eastAsia="en-US"/>
              </w:rPr>
              <w:t>Tercer Trimestre</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7C4A763" w14:textId="77777777" w:rsidR="00BF5974" w:rsidRDefault="00BF5974">
            <w:pPr>
              <w:spacing w:line="256" w:lineRule="auto"/>
              <w:jc w:val="center"/>
              <w:rPr>
                <w:rFonts w:eastAsia="Times New Roman" w:cs="Arial"/>
                <w:b/>
                <w:bCs/>
                <w:color w:val="000000"/>
                <w:sz w:val="12"/>
                <w:szCs w:val="12"/>
                <w:lang w:val="es-ES" w:eastAsia="en-US"/>
              </w:rPr>
            </w:pPr>
            <w:r>
              <w:rPr>
                <w:rFonts w:eastAsia="Times New Roman" w:cs="Arial"/>
                <w:b/>
                <w:bCs/>
                <w:color w:val="000000"/>
                <w:sz w:val="12"/>
                <w:szCs w:val="12"/>
                <w:lang w:val="es-ES" w:eastAsia="en-US"/>
              </w:rPr>
              <w:t>Cuarto Trimestre</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5644FF" w14:textId="77777777" w:rsidR="00BF5974" w:rsidRDefault="00BF5974">
            <w:pPr>
              <w:spacing w:line="256" w:lineRule="auto"/>
              <w:jc w:val="center"/>
              <w:rPr>
                <w:rFonts w:eastAsia="Times New Roman" w:cs="Arial"/>
                <w:b/>
                <w:bCs/>
                <w:color w:val="000000"/>
                <w:sz w:val="12"/>
                <w:szCs w:val="12"/>
                <w:lang w:val="es-ES" w:eastAsia="en-US"/>
              </w:rPr>
            </w:pPr>
            <w:r>
              <w:rPr>
                <w:rFonts w:eastAsia="Times New Roman" w:cs="Arial"/>
                <w:b/>
                <w:bCs/>
                <w:color w:val="000000"/>
                <w:sz w:val="12"/>
                <w:szCs w:val="12"/>
                <w:lang w:val="es-ES" w:eastAsia="en-US"/>
              </w:rPr>
              <w:t>Asignación Presupuestal</w:t>
            </w:r>
          </w:p>
        </w:tc>
      </w:tr>
      <w:tr w:rsidR="00BF5974" w14:paraId="36D7FA25"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4539083" w14:textId="77777777" w:rsidR="00BF5974" w:rsidRDefault="00BF5974">
            <w:pPr>
              <w:spacing w:line="256" w:lineRule="auto"/>
              <w:jc w:val="center"/>
              <w:rPr>
                <w:rFonts w:eastAsia="Times New Roman" w:cs="Arial"/>
                <w:b/>
                <w:bCs/>
                <w:color w:val="000000"/>
                <w:sz w:val="12"/>
                <w:szCs w:val="12"/>
                <w:lang w:val="es-ES" w:eastAsia="en-US"/>
              </w:rPr>
            </w:pPr>
            <w:r>
              <w:rPr>
                <w:rFonts w:eastAsia="Times New Roman" w:cs="Arial"/>
                <w:b/>
                <w:bCs/>
                <w:color w:val="000000"/>
                <w:sz w:val="12"/>
                <w:szCs w:val="12"/>
                <w:lang w:val="es-ES" w:eastAsia="en-US"/>
              </w:rPr>
              <w:t>090000000</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4DBA691" w14:textId="77777777" w:rsidR="00BF5974" w:rsidRDefault="00BF5974">
            <w:pPr>
              <w:spacing w:line="256" w:lineRule="auto"/>
              <w:jc w:val="left"/>
              <w:rPr>
                <w:rFonts w:eastAsia="Times New Roman" w:cs="Arial"/>
                <w:b/>
                <w:bCs/>
                <w:color w:val="000000"/>
                <w:sz w:val="12"/>
                <w:szCs w:val="12"/>
                <w:lang w:val="es-ES" w:eastAsia="en-US"/>
              </w:rPr>
            </w:pPr>
            <w:r>
              <w:rPr>
                <w:rFonts w:eastAsia="Times New Roman" w:cs="Arial"/>
                <w:b/>
                <w:bCs/>
                <w:color w:val="000000"/>
                <w:sz w:val="12"/>
                <w:szCs w:val="12"/>
                <w:lang w:val="es-ES" w:eastAsia="en-US"/>
              </w:rPr>
              <w:t>Deuda Pública</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991CC42"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235,040,465</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55FA0A"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234,983,811</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6600FE"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232,647,740</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40BBF4"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220,719,542</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777BDF"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923,391,558</w:t>
            </w:r>
          </w:p>
        </w:tc>
      </w:tr>
      <w:tr w:rsidR="00BF5974" w14:paraId="4CE0778B"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6A43902" w14:textId="77777777" w:rsidR="00BF5974" w:rsidRDefault="00BF5974">
            <w:pPr>
              <w:spacing w:line="256" w:lineRule="auto"/>
              <w:jc w:val="center"/>
              <w:rPr>
                <w:rFonts w:eastAsia="Times New Roman" w:cs="Arial"/>
                <w:b/>
                <w:bCs/>
                <w:color w:val="000000"/>
                <w:sz w:val="12"/>
                <w:szCs w:val="12"/>
                <w:lang w:val="es-ES" w:eastAsia="en-US"/>
              </w:rPr>
            </w:pPr>
            <w:r>
              <w:rPr>
                <w:rFonts w:eastAsia="Times New Roman" w:cs="Arial"/>
                <w:b/>
                <w:bCs/>
                <w:color w:val="000000"/>
                <w:sz w:val="12"/>
                <w:szCs w:val="12"/>
                <w:lang w:val="es-ES" w:eastAsia="en-US"/>
              </w:rPr>
              <w:t>090100000</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52BB3DB" w14:textId="77777777" w:rsidR="00BF5974" w:rsidRDefault="00BF5974">
            <w:pPr>
              <w:spacing w:line="256" w:lineRule="auto"/>
              <w:jc w:val="left"/>
              <w:rPr>
                <w:rFonts w:eastAsia="Times New Roman" w:cs="Arial"/>
                <w:b/>
                <w:bCs/>
                <w:color w:val="000000"/>
                <w:sz w:val="12"/>
                <w:szCs w:val="12"/>
                <w:lang w:val="es-ES" w:eastAsia="en-US"/>
              </w:rPr>
            </w:pPr>
            <w:r>
              <w:rPr>
                <w:rFonts w:eastAsia="Times New Roman" w:cs="Arial"/>
                <w:b/>
                <w:bCs/>
                <w:color w:val="000000"/>
                <w:sz w:val="12"/>
                <w:szCs w:val="12"/>
                <w:lang w:val="es-ES" w:eastAsia="en-US"/>
              </w:rPr>
              <w:t>Amortización de la Deuda Pública</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89F9FE3"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79,410,140</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C5C4AB"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81,085,042</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16C1F8"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81,531,060</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1C0582"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80,748,038</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0C31D4"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322,774,280</w:t>
            </w:r>
          </w:p>
        </w:tc>
      </w:tr>
      <w:tr w:rsidR="00BF5974" w14:paraId="49FE168A"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A56EE21" w14:textId="77777777" w:rsidR="00BF5974" w:rsidRDefault="00BF5974">
            <w:pPr>
              <w:spacing w:line="256" w:lineRule="auto"/>
              <w:jc w:val="center"/>
              <w:rPr>
                <w:rFonts w:eastAsia="Times New Roman" w:cs="Arial"/>
                <w:b/>
                <w:bCs/>
                <w:color w:val="000000"/>
                <w:sz w:val="12"/>
                <w:szCs w:val="12"/>
                <w:lang w:val="es-ES" w:eastAsia="en-US"/>
              </w:rPr>
            </w:pPr>
            <w:r>
              <w:rPr>
                <w:rFonts w:eastAsia="Times New Roman" w:cs="Arial"/>
                <w:b/>
                <w:bCs/>
                <w:color w:val="000000"/>
                <w:sz w:val="12"/>
                <w:szCs w:val="12"/>
                <w:lang w:val="es-ES" w:eastAsia="en-US"/>
              </w:rPr>
              <w:t>090101000</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3FA51A3" w14:textId="77777777" w:rsidR="00BF5974" w:rsidRDefault="00BF5974">
            <w:pPr>
              <w:spacing w:line="256" w:lineRule="auto"/>
              <w:jc w:val="left"/>
              <w:rPr>
                <w:rFonts w:eastAsia="Times New Roman" w:cs="Arial"/>
                <w:b/>
                <w:bCs/>
                <w:color w:val="000000"/>
                <w:sz w:val="12"/>
                <w:szCs w:val="12"/>
                <w:lang w:val="es-ES" w:eastAsia="en-US"/>
              </w:rPr>
            </w:pPr>
            <w:r>
              <w:rPr>
                <w:rFonts w:eastAsia="Times New Roman" w:cs="Arial"/>
                <w:b/>
                <w:bCs/>
                <w:color w:val="000000"/>
                <w:sz w:val="12"/>
                <w:szCs w:val="12"/>
                <w:lang w:val="es-ES" w:eastAsia="en-US"/>
              </w:rPr>
              <w:t>Amortización de la Deuda Interna con Instituciones de Crédito</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51AB866"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79,410,140</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210742"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81,085,042</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203F86"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81,531,060</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31DBA2"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80,748,038</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C3BB88"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322,774,280</w:t>
            </w:r>
          </w:p>
        </w:tc>
      </w:tr>
      <w:tr w:rsidR="00BF5974" w14:paraId="33FF6938"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3B38693" w14:textId="77777777" w:rsidR="00BF5974" w:rsidRDefault="00BF5974">
            <w:pPr>
              <w:spacing w:line="256" w:lineRule="auto"/>
              <w:jc w:val="center"/>
              <w:rPr>
                <w:rFonts w:eastAsia="Times New Roman" w:cs="Arial"/>
                <w:color w:val="000000"/>
                <w:sz w:val="12"/>
                <w:szCs w:val="12"/>
                <w:lang w:val="es-ES" w:eastAsia="en-US"/>
              </w:rPr>
            </w:pPr>
            <w:r>
              <w:rPr>
                <w:rFonts w:eastAsia="Times New Roman" w:cs="Arial"/>
                <w:color w:val="000000"/>
                <w:sz w:val="12"/>
                <w:szCs w:val="12"/>
                <w:lang w:val="es-ES" w:eastAsia="en-US"/>
              </w:rPr>
              <w:t>090101001</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93E7219" w14:textId="77777777" w:rsidR="00BF5974" w:rsidRDefault="00BF5974">
            <w:pPr>
              <w:spacing w:line="256" w:lineRule="auto"/>
              <w:jc w:val="left"/>
              <w:rPr>
                <w:rFonts w:eastAsia="Times New Roman" w:cs="Arial"/>
                <w:color w:val="000000"/>
                <w:sz w:val="12"/>
                <w:szCs w:val="12"/>
                <w:lang w:val="es-ES" w:eastAsia="en-US"/>
              </w:rPr>
            </w:pPr>
            <w:r>
              <w:rPr>
                <w:rFonts w:eastAsia="Times New Roman" w:cs="Arial"/>
                <w:color w:val="000000"/>
                <w:sz w:val="12"/>
                <w:szCs w:val="12"/>
                <w:lang w:val="es-ES" w:eastAsia="en-US"/>
              </w:rPr>
              <w:t>Financiamiento Banobras 7225,7226</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BABE181"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6,085,641</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F6E316"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6,211,521</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7298EF"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6,340,005</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61EFC7"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6,471,146</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386ECB"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25,108,313</w:t>
            </w:r>
          </w:p>
        </w:tc>
      </w:tr>
      <w:tr w:rsidR="00BF5974" w14:paraId="51FA78A3"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8744C67" w14:textId="77777777" w:rsidR="00BF5974" w:rsidRDefault="00BF5974">
            <w:pPr>
              <w:spacing w:line="256" w:lineRule="auto"/>
              <w:jc w:val="center"/>
              <w:rPr>
                <w:rFonts w:eastAsia="Times New Roman" w:cs="Arial"/>
                <w:color w:val="000000"/>
                <w:sz w:val="12"/>
                <w:szCs w:val="12"/>
                <w:lang w:val="es-ES" w:eastAsia="en-US"/>
              </w:rPr>
            </w:pPr>
            <w:r>
              <w:rPr>
                <w:rFonts w:eastAsia="Times New Roman" w:cs="Arial"/>
                <w:color w:val="000000"/>
                <w:sz w:val="12"/>
                <w:szCs w:val="12"/>
                <w:lang w:val="es-ES" w:eastAsia="en-US"/>
              </w:rPr>
              <w:t>090101007</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0A3FB0F" w14:textId="77777777" w:rsidR="00BF5974" w:rsidRDefault="00BF5974">
            <w:pPr>
              <w:spacing w:line="256" w:lineRule="auto"/>
              <w:jc w:val="left"/>
              <w:rPr>
                <w:rFonts w:eastAsia="Times New Roman" w:cs="Arial"/>
                <w:color w:val="000000"/>
                <w:sz w:val="12"/>
                <w:szCs w:val="12"/>
                <w:lang w:val="es-ES" w:eastAsia="en-US"/>
              </w:rPr>
            </w:pPr>
            <w:r>
              <w:rPr>
                <w:rFonts w:eastAsia="Times New Roman" w:cs="Arial"/>
                <w:color w:val="000000"/>
                <w:sz w:val="12"/>
                <w:szCs w:val="12"/>
                <w:lang w:val="es-ES" w:eastAsia="en-US"/>
              </w:rPr>
              <w:t>Financiamiento Banobras 13451</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DE36104"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2,546,947</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70DA5E0"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2,624,122</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1A170E5"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2,703,636</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74D7F5"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2,785,559</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8DB8E1"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10,660,264</w:t>
            </w:r>
          </w:p>
        </w:tc>
      </w:tr>
      <w:tr w:rsidR="00BF5974" w14:paraId="070077DF"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0F2EA72" w14:textId="77777777" w:rsidR="00BF5974" w:rsidRDefault="00BF5974">
            <w:pPr>
              <w:spacing w:line="256" w:lineRule="auto"/>
              <w:jc w:val="center"/>
              <w:rPr>
                <w:rFonts w:eastAsia="Times New Roman" w:cs="Arial"/>
                <w:color w:val="000000"/>
                <w:sz w:val="12"/>
                <w:szCs w:val="12"/>
                <w:lang w:val="es-ES" w:eastAsia="en-US"/>
              </w:rPr>
            </w:pPr>
            <w:r>
              <w:rPr>
                <w:rFonts w:eastAsia="Times New Roman" w:cs="Arial"/>
                <w:color w:val="000000"/>
                <w:sz w:val="12"/>
                <w:szCs w:val="12"/>
                <w:lang w:val="es-ES" w:eastAsia="en-US"/>
              </w:rPr>
              <w:t>090101016</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218DA19" w14:textId="77777777" w:rsidR="00BF5974" w:rsidRDefault="00BF5974">
            <w:pPr>
              <w:spacing w:line="256" w:lineRule="auto"/>
              <w:jc w:val="left"/>
              <w:rPr>
                <w:rFonts w:eastAsia="Times New Roman" w:cs="Arial"/>
                <w:color w:val="000000"/>
                <w:sz w:val="12"/>
                <w:szCs w:val="12"/>
                <w:lang w:val="es-ES" w:eastAsia="en-US"/>
              </w:rPr>
            </w:pPr>
            <w:r>
              <w:rPr>
                <w:rFonts w:eastAsia="Times New Roman" w:cs="Arial"/>
                <w:color w:val="000000"/>
                <w:sz w:val="12"/>
                <w:szCs w:val="12"/>
                <w:lang w:val="es-ES" w:eastAsia="en-US"/>
              </w:rPr>
              <w:t>Financiamiento Banorte 89180391</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E73E440"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1,491,423</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0825B1"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1,550,339</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9AEB37"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1,611,635</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3E76BF"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1,675,238</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5E4817"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6,328,635</w:t>
            </w:r>
          </w:p>
        </w:tc>
      </w:tr>
      <w:tr w:rsidR="00BF5974" w14:paraId="5B28DB7B"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8034D80" w14:textId="77777777" w:rsidR="00BF5974" w:rsidRDefault="00BF5974">
            <w:pPr>
              <w:spacing w:line="256" w:lineRule="auto"/>
              <w:jc w:val="center"/>
              <w:rPr>
                <w:rFonts w:eastAsia="Times New Roman" w:cs="Arial"/>
                <w:color w:val="000000"/>
                <w:sz w:val="12"/>
                <w:szCs w:val="12"/>
                <w:lang w:val="es-ES" w:eastAsia="en-US"/>
              </w:rPr>
            </w:pPr>
            <w:r>
              <w:rPr>
                <w:rFonts w:eastAsia="Times New Roman" w:cs="Arial"/>
                <w:color w:val="000000"/>
                <w:sz w:val="12"/>
                <w:szCs w:val="12"/>
                <w:lang w:val="es-ES" w:eastAsia="en-US"/>
              </w:rPr>
              <w:t>090101017</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1C0F6C5" w14:textId="77777777" w:rsidR="00BF5974" w:rsidRDefault="00BF5974">
            <w:pPr>
              <w:spacing w:line="256" w:lineRule="auto"/>
              <w:jc w:val="left"/>
              <w:rPr>
                <w:rFonts w:eastAsia="Times New Roman" w:cs="Arial"/>
                <w:color w:val="000000"/>
                <w:sz w:val="12"/>
                <w:szCs w:val="12"/>
                <w:lang w:val="es-ES" w:eastAsia="en-US"/>
              </w:rPr>
            </w:pPr>
            <w:r>
              <w:rPr>
                <w:rFonts w:eastAsia="Times New Roman" w:cs="Arial"/>
                <w:color w:val="000000"/>
                <w:sz w:val="12"/>
                <w:szCs w:val="12"/>
                <w:lang w:val="es-ES" w:eastAsia="en-US"/>
              </w:rPr>
              <w:t>Financiamiento Santander 5015288868</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2C7EA84"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1,526,633</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7C82AD"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1,586,939</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ADED95"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1,649,682</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803296"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1,714,787</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218CF2"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6,478,041</w:t>
            </w:r>
          </w:p>
        </w:tc>
      </w:tr>
      <w:tr w:rsidR="00BF5974" w14:paraId="1609087C"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978E708" w14:textId="77777777" w:rsidR="00BF5974" w:rsidRDefault="00BF5974">
            <w:pPr>
              <w:spacing w:line="256" w:lineRule="auto"/>
              <w:jc w:val="center"/>
              <w:rPr>
                <w:rFonts w:eastAsia="Times New Roman" w:cs="Arial"/>
                <w:color w:val="000000"/>
                <w:sz w:val="12"/>
                <w:szCs w:val="12"/>
                <w:lang w:val="es-ES" w:eastAsia="en-US"/>
              </w:rPr>
            </w:pPr>
            <w:r>
              <w:rPr>
                <w:rFonts w:eastAsia="Times New Roman" w:cs="Arial"/>
                <w:color w:val="000000"/>
                <w:sz w:val="12"/>
                <w:szCs w:val="12"/>
                <w:lang w:val="es-ES" w:eastAsia="en-US"/>
              </w:rPr>
              <w:t>090101018</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E440695" w14:textId="77777777" w:rsidR="00BF5974" w:rsidRDefault="00BF5974">
            <w:pPr>
              <w:spacing w:line="256" w:lineRule="auto"/>
              <w:jc w:val="left"/>
              <w:rPr>
                <w:rFonts w:eastAsia="Times New Roman" w:cs="Arial"/>
                <w:color w:val="000000"/>
                <w:sz w:val="12"/>
                <w:szCs w:val="12"/>
                <w:lang w:val="es-ES" w:eastAsia="en-US"/>
              </w:rPr>
            </w:pPr>
            <w:r>
              <w:rPr>
                <w:rFonts w:eastAsia="Times New Roman" w:cs="Arial"/>
                <w:color w:val="000000"/>
                <w:sz w:val="12"/>
                <w:szCs w:val="12"/>
                <w:lang w:val="es-ES" w:eastAsia="en-US"/>
              </w:rPr>
              <w:t>Financiamiento Banco del Bajío 16163782</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2BD5274"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1,995,519</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10FB31"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2,074,348</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81527A"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2,156,362</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45FDB2"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2,241,461</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22544E"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8,467,690</w:t>
            </w:r>
          </w:p>
        </w:tc>
      </w:tr>
      <w:tr w:rsidR="00BF5974" w14:paraId="5B29B0FF"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3972FD8" w14:textId="77777777" w:rsidR="00BF5974" w:rsidRDefault="00BF5974">
            <w:pPr>
              <w:spacing w:line="256" w:lineRule="auto"/>
              <w:jc w:val="center"/>
              <w:rPr>
                <w:rFonts w:eastAsia="Times New Roman" w:cs="Arial"/>
                <w:color w:val="000000"/>
                <w:sz w:val="12"/>
                <w:szCs w:val="12"/>
                <w:lang w:val="es-ES" w:eastAsia="en-US"/>
              </w:rPr>
            </w:pPr>
            <w:r>
              <w:rPr>
                <w:rFonts w:eastAsia="Times New Roman" w:cs="Arial"/>
                <w:color w:val="000000"/>
                <w:sz w:val="12"/>
                <w:szCs w:val="12"/>
                <w:lang w:val="es-ES" w:eastAsia="en-US"/>
              </w:rPr>
              <w:t>090101019</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A137785" w14:textId="77777777" w:rsidR="00BF5974" w:rsidRDefault="00BF5974">
            <w:pPr>
              <w:spacing w:line="256" w:lineRule="auto"/>
              <w:jc w:val="left"/>
              <w:rPr>
                <w:rFonts w:eastAsia="Times New Roman" w:cs="Arial"/>
                <w:color w:val="000000"/>
                <w:sz w:val="12"/>
                <w:szCs w:val="12"/>
                <w:lang w:val="es-ES" w:eastAsia="en-US"/>
              </w:rPr>
            </w:pPr>
            <w:r>
              <w:rPr>
                <w:rFonts w:eastAsia="Times New Roman" w:cs="Arial"/>
                <w:color w:val="000000"/>
                <w:sz w:val="12"/>
                <w:szCs w:val="12"/>
                <w:lang w:val="es-ES" w:eastAsia="en-US"/>
              </w:rPr>
              <w:t>Financiamiento BBVA 9668594671</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7DCDB25"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777,840</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CFEC43"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808,567</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A7ADAA"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840,534</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BE3F1A"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873,706</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87BB4F"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3,300,647</w:t>
            </w:r>
          </w:p>
        </w:tc>
      </w:tr>
      <w:tr w:rsidR="00BF5974" w14:paraId="29A21B00"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97804AB" w14:textId="77777777" w:rsidR="00BF5974" w:rsidRDefault="00BF5974">
            <w:pPr>
              <w:spacing w:line="256" w:lineRule="auto"/>
              <w:jc w:val="center"/>
              <w:rPr>
                <w:rFonts w:eastAsia="Times New Roman" w:cs="Arial"/>
                <w:color w:val="000000"/>
                <w:sz w:val="12"/>
                <w:szCs w:val="12"/>
                <w:lang w:val="es-ES" w:eastAsia="en-US"/>
              </w:rPr>
            </w:pPr>
            <w:r>
              <w:rPr>
                <w:rFonts w:eastAsia="Times New Roman" w:cs="Arial"/>
                <w:color w:val="000000"/>
                <w:sz w:val="12"/>
                <w:szCs w:val="12"/>
                <w:lang w:val="es-ES" w:eastAsia="en-US"/>
              </w:rPr>
              <w:t>090101023</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C5812C0" w14:textId="77777777" w:rsidR="00BF5974" w:rsidRDefault="00BF5974">
            <w:pPr>
              <w:spacing w:line="256" w:lineRule="auto"/>
              <w:jc w:val="left"/>
              <w:rPr>
                <w:rFonts w:eastAsia="Times New Roman" w:cs="Arial"/>
                <w:color w:val="000000"/>
                <w:sz w:val="12"/>
                <w:szCs w:val="12"/>
                <w:lang w:val="es-ES" w:eastAsia="en-US"/>
              </w:rPr>
            </w:pPr>
            <w:r>
              <w:rPr>
                <w:rFonts w:eastAsia="Times New Roman" w:cs="Arial"/>
                <w:color w:val="000000"/>
                <w:sz w:val="12"/>
                <w:szCs w:val="12"/>
                <w:lang w:val="es-ES" w:eastAsia="en-US"/>
              </w:rPr>
              <w:t>Financiamiento Corto Plazo</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9D4288B"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62,499,999</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241956"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62,499,999</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ECE4F7"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62,499,999</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18A0C9"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62,500,003</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DD1CAE"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250,000,000</w:t>
            </w:r>
          </w:p>
        </w:tc>
      </w:tr>
      <w:tr w:rsidR="00BF5974" w14:paraId="2413D458"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AF29608" w14:textId="77777777" w:rsidR="00BF5974" w:rsidRDefault="00BF5974">
            <w:pPr>
              <w:spacing w:line="256" w:lineRule="auto"/>
              <w:jc w:val="center"/>
              <w:rPr>
                <w:rFonts w:eastAsia="Times New Roman" w:cs="Arial"/>
                <w:color w:val="000000"/>
                <w:sz w:val="12"/>
                <w:szCs w:val="12"/>
                <w:lang w:val="es-ES" w:eastAsia="en-US"/>
              </w:rPr>
            </w:pPr>
            <w:r>
              <w:rPr>
                <w:rFonts w:eastAsia="Times New Roman" w:cs="Arial"/>
                <w:color w:val="000000"/>
                <w:sz w:val="12"/>
                <w:szCs w:val="12"/>
                <w:lang w:val="es-ES" w:eastAsia="en-US"/>
              </w:rPr>
              <w:t>090101050</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772923D" w14:textId="77777777" w:rsidR="00BF5974" w:rsidRDefault="00BF5974">
            <w:pPr>
              <w:spacing w:line="256" w:lineRule="auto"/>
              <w:jc w:val="left"/>
              <w:rPr>
                <w:rFonts w:eastAsia="Times New Roman" w:cs="Arial"/>
                <w:color w:val="000000"/>
                <w:sz w:val="12"/>
                <w:szCs w:val="12"/>
                <w:lang w:val="es-ES" w:eastAsia="en-US"/>
              </w:rPr>
            </w:pPr>
            <w:r>
              <w:rPr>
                <w:rFonts w:eastAsia="Times New Roman" w:cs="Arial"/>
                <w:color w:val="000000"/>
                <w:sz w:val="12"/>
                <w:szCs w:val="12"/>
                <w:lang w:val="es-ES" w:eastAsia="en-US"/>
              </w:rPr>
              <w:t>Financiamiento Banobras FISE 15211</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1610620"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2,486,138</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34DCE7"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3,729,207</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0B7D9C"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3,729,207</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DE8E88"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2,486,138</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0ECE7A"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12,430,690</w:t>
            </w:r>
          </w:p>
        </w:tc>
      </w:tr>
      <w:tr w:rsidR="00BF5974" w14:paraId="485659CA"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7C60C63" w14:textId="77777777" w:rsidR="00BF5974" w:rsidRDefault="00BF5974">
            <w:pPr>
              <w:spacing w:line="256" w:lineRule="auto"/>
              <w:jc w:val="center"/>
              <w:rPr>
                <w:rFonts w:eastAsia="Times New Roman" w:cs="Arial"/>
                <w:b/>
                <w:bCs/>
                <w:color w:val="000000"/>
                <w:sz w:val="12"/>
                <w:szCs w:val="12"/>
                <w:lang w:val="es-ES" w:eastAsia="en-US"/>
              </w:rPr>
            </w:pPr>
            <w:r>
              <w:rPr>
                <w:rFonts w:eastAsia="Times New Roman" w:cs="Arial"/>
                <w:b/>
                <w:bCs/>
                <w:color w:val="000000"/>
                <w:sz w:val="12"/>
                <w:szCs w:val="12"/>
                <w:lang w:val="es-ES" w:eastAsia="en-US"/>
              </w:rPr>
              <w:t>090200000</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3D5F253" w14:textId="77777777" w:rsidR="00BF5974" w:rsidRDefault="00BF5974">
            <w:pPr>
              <w:spacing w:line="256" w:lineRule="auto"/>
              <w:jc w:val="left"/>
              <w:rPr>
                <w:rFonts w:eastAsia="Times New Roman" w:cs="Arial"/>
                <w:b/>
                <w:bCs/>
                <w:color w:val="000000"/>
                <w:sz w:val="12"/>
                <w:szCs w:val="12"/>
                <w:lang w:val="es-ES" w:eastAsia="en-US"/>
              </w:rPr>
            </w:pPr>
            <w:r>
              <w:rPr>
                <w:rFonts w:eastAsia="Times New Roman" w:cs="Arial"/>
                <w:b/>
                <w:bCs/>
                <w:color w:val="000000"/>
                <w:sz w:val="12"/>
                <w:szCs w:val="12"/>
                <w:lang w:val="es-ES" w:eastAsia="en-US"/>
              </w:rPr>
              <w:t>Intereses de la Deuda Pública</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1BE5B7A"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117,730,325</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C844F1"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110,938,290</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09A180"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109,896,680</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857E13"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102,070,840</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4258D2"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440,636,135</w:t>
            </w:r>
          </w:p>
        </w:tc>
      </w:tr>
      <w:tr w:rsidR="00BF5974" w14:paraId="17FB41EF"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3BF6AA2" w14:textId="77777777" w:rsidR="00BF5974" w:rsidRDefault="00BF5974">
            <w:pPr>
              <w:spacing w:line="256" w:lineRule="auto"/>
              <w:jc w:val="center"/>
              <w:rPr>
                <w:rFonts w:eastAsia="Times New Roman" w:cs="Arial"/>
                <w:b/>
                <w:bCs/>
                <w:color w:val="000000"/>
                <w:sz w:val="12"/>
                <w:szCs w:val="12"/>
                <w:lang w:val="es-ES" w:eastAsia="en-US"/>
              </w:rPr>
            </w:pPr>
            <w:r>
              <w:rPr>
                <w:rFonts w:eastAsia="Times New Roman" w:cs="Arial"/>
                <w:b/>
                <w:bCs/>
                <w:color w:val="000000"/>
                <w:sz w:val="12"/>
                <w:szCs w:val="12"/>
                <w:lang w:val="es-ES" w:eastAsia="en-US"/>
              </w:rPr>
              <w:t>090201000</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16A90EF" w14:textId="77777777" w:rsidR="00BF5974" w:rsidRDefault="00BF5974">
            <w:pPr>
              <w:spacing w:line="256" w:lineRule="auto"/>
              <w:jc w:val="left"/>
              <w:rPr>
                <w:rFonts w:eastAsia="Times New Roman" w:cs="Arial"/>
                <w:b/>
                <w:bCs/>
                <w:color w:val="000000"/>
                <w:sz w:val="12"/>
                <w:szCs w:val="12"/>
                <w:lang w:val="es-ES" w:eastAsia="en-US"/>
              </w:rPr>
            </w:pPr>
            <w:r>
              <w:rPr>
                <w:rFonts w:eastAsia="Times New Roman" w:cs="Arial"/>
                <w:b/>
                <w:bCs/>
                <w:color w:val="000000"/>
                <w:sz w:val="12"/>
                <w:szCs w:val="12"/>
                <w:lang w:val="es-ES" w:eastAsia="en-US"/>
              </w:rPr>
              <w:t>Intereses de la Deuda Interna con Instituciones de Crédito</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046F0A1"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117,730,325</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89EEC3"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110,938,290</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997102"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109,896,680</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910423"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102,070,840</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588537"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440,636,135</w:t>
            </w:r>
          </w:p>
        </w:tc>
      </w:tr>
      <w:tr w:rsidR="00BF5974" w14:paraId="1E4ABF2A"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D1D3515" w14:textId="77777777" w:rsidR="00BF5974" w:rsidRDefault="00BF5974">
            <w:pPr>
              <w:spacing w:line="256" w:lineRule="auto"/>
              <w:jc w:val="center"/>
              <w:rPr>
                <w:rFonts w:eastAsia="Times New Roman" w:cs="Arial"/>
                <w:color w:val="000000"/>
                <w:sz w:val="12"/>
                <w:szCs w:val="12"/>
                <w:lang w:val="es-ES" w:eastAsia="en-US"/>
              </w:rPr>
            </w:pPr>
            <w:r>
              <w:rPr>
                <w:rFonts w:eastAsia="Times New Roman" w:cs="Arial"/>
                <w:color w:val="000000"/>
                <w:sz w:val="12"/>
                <w:szCs w:val="12"/>
                <w:lang w:val="es-ES" w:eastAsia="en-US"/>
              </w:rPr>
              <w:t>090201001</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48A3682" w14:textId="77777777" w:rsidR="00BF5974" w:rsidRDefault="00BF5974">
            <w:pPr>
              <w:spacing w:line="256" w:lineRule="auto"/>
              <w:jc w:val="left"/>
              <w:rPr>
                <w:rFonts w:eastAsia="Times New Roman" w:cs="Arial"/>
                <w:color w:val="000000"/>
                <w:sz w:val="12"/>
                <w:szCs w:val="12"/>
                <w:lang w:val="es-ES" w:eastAsia="en-US"/>
              </w:rPr>
            </w:pPr>
            <w:r>
              <w:rPr>
                <w:rFonts w:eastAsia="Times New Roman" w:cs="Arial"/>
                <w:color w:val="000000"/>
                <w:sz w:val="12"/>
                <w:szCs w:val="12"/>
                <w:lang w:val="es-ES" w:eastAsia="en-US"/>
              </w:rPr>
              <w:t>Intereses Financiamiento Banobras 7225,7226</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559BE77"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8,238,821</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ECBFA3"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8,147,564</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8092F9"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8,049,149</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935498"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7,855,918</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2101B1"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32,291,452</w:t>
            </w:r>
          </w:p>
        </w:tc>
      </w:tr>
      <w:tr w:rsidR="00BF5974" w14:paraId="39F2549B"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4947C42" w14:textId="77777777" w:rsidR="00BF5974" w:rsidRDefault="00BF5974">
            <w:pPr>
              <w:spacing w:line="256" w:lineRule="auto"/>
              <w:jc w:val="center"/>
              <w:rPr>
                <w:rFonts w:eastAsia="Times New Roman" w:cs="Arial"/>
                <w:color w:val="000000"/>
                <w:sz w:val="12"/>
                <w:szCs w:val="12"/>
                <w:lang w:val="es-ES" w:eastAsia="en-US"/>
              </w:rPr>
            </w:pPr>
            <w:r>
              <w:rPr>
                <w:rFonts w:eastAsia="Times New Roman" w:cs="Arial"/>
                <w:color w:val="000000"/>
                <w:sz w:val="12"/>
                <w:szCs w:val="12"/>
                <w:lang w:val="es-ES" w:eastAsia="en-US"/>
              </w:rPr>
              <w:lastRenderedPageBreak/>
              <w:t>090201007</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F6FCD30" w14:textId="77777777" w:rsidR="00BF5974" w:rsidRDefault="00BF5974">
            <w:pPr>
              <w:spacing w:line="256" w:lineRule="auto"/>
              <w:jc w:val="left"/>
              <w:rPr>
                <w:rFonts w:eastAsia="Times New Roman" w:cs="Arial"/>
                <w:color w:val="000000"/>
                <w:sz w:val="12"/>
                <w:szCs w:val="12"/>
                <w:lang w:val="es-ES" w:eastAsia="en-US"/>
              </w:rPr>
            </w:pPr>
            <w:r>
              <w:rPr>
                <w:rFonts w:eastAsia="Times New Roman" w:cs="Arial"/>
                <w:color w:val="000000"/>
                <w:sz w:val="12"/>
                <w:szCs w:val="12"/>
                <w:lang w:val="es-ES" w:eastAsia="en-US"/>
              </w:rPr>
              <w:t>Intereses Financiamiento Banobras 13451</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F1F82C7"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11,215,222</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E8EC0D"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11,135,421</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B48DCF"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11,174,967</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B104EE"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11,089,015</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170A49"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44,614,625</w:t>
            </w:r>
          </w:p>
        </w:tc>
      </w:tr>
      <w:tr w:rsidR="00BF5974" w14:paraId="0FE1FC73"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0A4A018" w14:textId="77777777" w:rsidR="00BF5974" w:rsidRDefault="00BF5974">
            <w:pPr>
              <w:spacing w:line="256" w:lineRule="auto"/>
              <w:jc w:val="center"/>
              <w:rPr>
                <w:rFonts w:eastAsia="Times New Roman" w:cs="Arial"/>
                <w:color w:val="000000"/>
                <w:sz w:val="12"/>
                <w:szCs w:val="12"/>
                <w:lang w:val="es-ES" w:eastAsia="en-US"/>
              </w:rPr>
            </w:pPr>
            <w:r>
              <w:rPr>
                <w:rFonts w:eastAsia="Times New Roman" w:cs="Arial"/>
                <w:color w:val="000000"/>
                <w:sz w:val="12"/>
                <w:szCs w:val="12"/>
                <w:lang w:val="es-ES" w:eastAsia="en-US"/>
              </w:rPr>
              <w:t>090201016</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69E6DC4" w14:textId="77777777" w:rsidR="00BF5974" w:rsidRDefault="00BF5974">
            <w:pPr>
              <w:spacing w:line="256" w:lineRule="auto"/>
              <w:jc w:val="left"/>
              <w:rPr>
                <w:rFonts w:eastAsia="Times New Roman" w:cs="Arial"/>
                <w:color w:val="000000"/>
                <w:sz w:val="12"/>
                <w:szCs w:val="12"/>
                <w:lang w:val="es-ES" w:eastAsia="en-US"/>
              </w:rPr>
            </w:pPr>
            <w:r>
              <w:rPr>
                <w:rFonts w:eastAsia="Times New Roman" w:cs="Arial"/>
                <w:color w:val="000000"/>
                <w:sz w:val="12"/>
                <w:szCs w:val="12"/>
                <w:lang w:val="es-ES" w:eastAsia="en-US"/>
              </w:rPr>
              <w:t>Intereses Financiamiento Banorte 89180391</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6E5E91E"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27,034,335</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2D19D7"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21,845,444</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44FCD5"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22,037,225</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A46C43"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16,843,889</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DA5454"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87,760,893</w:t>
            </w:r>
          </w:p>
        </w:tc>
      </w:tr>
      <w:tr w:rsidR="00BF5974" w14:paraId="198C6EBB"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B9E8AC3" w14:textId="77777777" w:rsidR="00BF5974" w:rsidRDefault="00BF5974">
            <w:pPr>
              <w:spacing w:line="256" w:lineRule="auto"/>
              <w:jc w:val="center"/>
              <w:rPr>
                <w:rFonts w:eastAsia="Times New Roman" w:cs="Arial"/>
                <w:color w:val="000000"/>
                <w:sz w:val="12"/>
                <w:szCs w:val="12"/>
                <w:lang w:val="es-ES" w:eastAsia="en-US"/>
              </w:rPr>
            </w:pPr>
            <w:r>
              <w:rPr>
                <w:rFonts w:eastAsia="Times New Roman" w:cs="Arial"/>
                <w:color w:val="000000"/>
                <w:sz w:val="12"/>
                <w:szCs w:val="12"/>
                <w:lang w:val="es-ES" w:eastAsia="en-US"/>
              </w:rPr>
              <w:t>090201017</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C3E4384" w14:textId="77777777" w:rsidR="00BF5974" w:rsidRDefault="00BF5974">
            <w:pPr>
              <w:spacing w:line="256" w:lineRule="auto"/>
              <w:jc w:val="left"/>
              <w:rPr>
                <w:rFonts w:eastAsia="Times New Roman" w:cs="Arial"/>
                <w:color w:val="000000"/>
                <w:sz w:val="12"/>
                <w:szCs w:val="12"/>
                <w:lang w:val="es-ES" w:eastAsia="en-US"/>
              </w:rPr>
            </w:pPr>
            <w:r>
              <w:rPr>
                <w:rFonts w:eastAsia="Times New Roman" w:cs="Arial"/>
                <w:color w:val="000000"/>
                <w:sz w:val="12"/>
                <w:szCs w:val="12"/>
                <w:lang w:val="es-ES" w:eastAsia="en-US"/>
              </w:rPr>
              <w:t>Intereses Financiamiento Santander 5015288868</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BB0EF5A"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22,556,855</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DB25B7"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22,509,348</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42A50A"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22,706,959</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C23604"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22,654,874</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9F18EF"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90,428,036</w:t>
            </w:r>
          </w:p>
        </w:tc>
      </w:tr>
      <w:tr w:rsidR="00BF5974" w14:paraId="281AC6CA"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B80B09C" w14:textId="77777777" w:rsidR="00BF5974" w:rsidRDefault="00BF5974">
            <w:pPr>
              <w:spacing w:line="256" w:lineRule="auto"/>
              <w:jc w:val="center"/>
              <w:rPr>
                <w:rFonts w:eastAsia="Times New Roman" w:cs="Arial"/>
                <w:color w:val="000000"/>
                <w:sz w:val="12"/>
                <w:szCs w:val="12"/>
                <w:lang w:val="es-ES" w:eastAsia="en-US"/>
              </w:rPr>
            </w:pPr>
            <w:r>
              <w:rPr>
                <w:rFonts w:eastAsia="Times New Roman" w:cs="Arial"/>
                <w:color w:val="000000"/>
                <w:sz w:val="12"/>
                <w:szCs w:val="12"/>
                <w:lang w:val="es-ES" w:eastAsia="en-US"/>
              </w:rPr>
              <w:t>090201018</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3041EBF" w14:textId="77777777" w:rsidR="00BF5974" w:rsidRDefault="00BF5974">
            <w:pPr>
              <w:spacing w:line="256" w:lineRule="auto"/>
              <w:jc w:val="left"/>
              <w:rPr>
                <w:rFonts w:eastAsia="Times New Roman" w:cs="Arial"/>
                <w:color w:val="000000"/>
                <w:sz w:val="12"/>
                <w:szCs w:val="12"/>
                <w:lang w:val="es-ES" w:eastAsia="en-US"/>
              </w:rPr>
            </w:pPr>
            <w:r>
              <w:rPr>
                <w:rFonts w:eastAsia="Times New Roman" w:cs="Arial"/>
                <w:color w:val="000000"/>
                <w:sz w:val="12"/>
                <w:szCs w:val="12"/>
                <w:lang w:val="es-ES" w:eastAsia="en-US"/>
              </w:rPr>
              <w:t>Intereses Financiamiento Banco del Bajío 16163782</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01C6990"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29,824,578</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0AB3E5"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29,761,765</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A43853"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30,023,046</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11A3B7"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29,954,176</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C27BF9"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119,563,565</w:t>
            </w:r>
          </w:p>
        </w:tc>
      </w:tr>
      <w:tr w:rsidR="00BF5974" w14:paraId="0C0FD529"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6490A3A" w14:textId="77777777" w:rsidR="00BF5974" w:rsidRDefault="00BF5974">
            <w:pPr>
              <w:spacing w:line="256" w:lineRule="auto"/>
              <w:jc w:val="center"/>
              <w:rPr>
                <w:rFonts w:eastAsia="Times New Roman" w:cs="Arial"/>
                <w:color w:val="000000"/>
                <w:sz w:val="12"/>
                <w:szCs w:val="12"/>
                <w:lang w:val="es-ES" w:eastAsia="en-US"/>
              </w:rPr>
            </w:pPr>
            <w:r>
              <w:rPr>
                <w:rFonts w:eastAsia="Times New Roman" w:cs="Arial"/>
                <w:color w:val="000000"/>
                <w:sz w:val="12"/>
                <w:szCs w:val="12"/>
                <w:lang w:val="es-ES" w:eastAsia="en-US"/>
              </w:rPr>
              <w:t>090201019</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B1A1A8D" w14:textId="77777777" w:rsidR="00BF5974" w:rsidRDefault="00BF5974">
            <w:pPr>
              <w:spacing w:line="256" w:lineRule="auto"/>
              <w:jc w:val="left"/>
              <w:rPr>
                <w:rFonts w:eastAsia="Times New Roman" w:cs="Arial"/>
                <w:color w:val="000000"/>
                <w:sz w:val="12"/>
                <w:szCs w:val="12"/>
                <w:lang w:val="es-ES" w:eastAsia="en-US"/>
              </w:rPr>
            </w:pPr>
            <w:r>
              <w:rPr>
                <w:rFonts w:eastAsia="Times New Roman" w:cs="Arial"/>
                <w:color w:val="000000"/>
                <w:sz w:val="12"/>
                <w:szCs w:val="12"/>
                <w:lang w:val="es-ES" w:eastAsia="en-US"/>
              </w:rPr>
              <w:t>Intereses Financiamiento BBVA 9668594671</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3797801"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11,615,959</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FD7D9B"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11,591,495</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C86279"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11,693,257</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769A85"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11,666,435</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129CA2"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46,567,146</w:t>
            </w:r>
          </w:p>
        </w:tc>
      </w:tr>
      <w:tr w:rsidR="00BF5974" w14:paraId="323A46E6"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671455C" w14:textId="77777777" w:rsidR="00BF5974" w:rsidRDefault="00BF5974">
            <w:pPr>
              <w:spacing w:line="256" w:lineRule="auto"/>
              <w:jc w:val="center"/>
              <w:rPr>
                <w:rFonts w:eastAsia="Times New Roman" w:cs="Arial"/>
                <w:color w:val="000000"/>
                <w:sz w:val="12"/>
                <w:szCs w:val="12"/>
                <w:lang w:val="es-ES" w:eastAsia="en-US"/>
              </w:rPr>
            </w:pPr>
            <w:r>
              <w:rPr>
                <w:rFonts w:eastAsia="Times New Roman" w:cs="Arial"/>
                <w:color w:val="000000"/>
                <w:sz w:val="12"/>
                <w:szCs w:val="12"/>
                <w:lang w:val="es-ES" w:eastAsia="en-US"/>
              </w:rPr>
              <w:t>090201023</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27EAE7E" w14:textId="77777777" w:rsidR="00BF5974" w:rsidRDefault="00BF5974">
            <w:pPr>
              <w:spacing w:line="256" w:lineRule="auto"/>
              <w:jc w:val="left"/>
              <w:rPr>
                <w:rFonts w:eastAsia="Times New Roman" w:cs="Arial"/>
                <w:color w:val="000000"/>
                <w:sz w:val="12"/>
                <w:szCs w:val="12"/>
                <w:lang w:val="es-ES" w:eastAsia="en-US"/>
              </w:rPr>
            </w:pPr>
            <w:r>
              <w:rPr>
                <w:rFonts w:eastAsia="Times New Roman" w:cs="Arial"/>
                <w:color w:val="000000"/>
                <w:sz w:val="12"/>
                <w:szCs w:val="12"/>
                <w:lang w:val="es-ES" w:eastAsia="en-US"/>
              </w:rPr>
              <w:t>Intereses Financiamiento Corto Plazo</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0F8E9F8"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6,433,797</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34B2E6"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4,731,116</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BFF94C"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2,995,940</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CBA6FB"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1,195,775</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D1EB3D"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15,356,628</w:t>
            </w:r>
          </w:p>
        </w:tc>
      </w:tr>
      <w:tr w:rsidR="00BF5974" w14:paraId="3CF56E1B"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0BEA0D4" w14:textId="77777777" w:rsidR="00BF5974" w:rsidRDefault="00BF5974">
            <w:pPr>
              <w:spacing w:line="256" w:lineRule="auto"/>
              <w:jc w:val="center"/>
              <w:rPr>
                <w:rFonts w:eastAsia="Times New Roman" w:cs="Arial"/>
                <w:color w:val="000000"/>
                <w:sz w:val="12"/>
                <w:szCs w:val="12"/>
                <w:lang w:val="es-ES" w:eastAsia="en-US"/>
              </w:rPr>
            </w:pPr>
            <w:r>
              <w:rPr>
                <w:rFonts w:eastAsia="Times New Roman" w:cs="Arial"/>
                <w:color w:val="000000"/>
                <w:sz w:val="12"/>
                <w:szCs w:val="12"/>
                <w:lang w:val="es-ES" w:eastAsia="en-US"/>
              </w:rPr>
              <w:t>090201050</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C2C8C21" w14:textId="77777777" w:rsidR="00BF5974" w:rsidRDefault="00BF5974">
            <w:pPr>
              <w:spacing w:line="256" w:lineRule="auto"/>
              <w:jc w:val="left"/>
              <w:rPr>
                <w:rFonts w:eastAsia="Times New Roman" w:cs="Arial"/>
                <w:color w:val="000000"/>
                <w:sz w:val="12"/>
                <w:szCs w:val="12"/>
                <w:lang w:val="es-ES" w:eastAsia="en-US"/>
              </w:rPr>
            </w:pPr>
            <w:r>
              <w:rPr>
                <w:rFonts w:eastAsia="Times New Roman" w:cs="Arial"/>
                <w:color w:val="000000"/>
                <w:sz w:val="12"/>
                <w:szCs w:val="12"/>
                <w:lang w:val="es-ES" w:eastAsia="en-US"/>
              </w:rPr>
              <w:t>Intereses Financiamiento Banobras FISE 15211</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408A0C9"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810,758</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0D1959"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1,216,137</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9230B8"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1,216,137</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63BDF7"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810,758</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7B6C44"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4,053,790</w:t>
            </w:r>
          </w:p>
        </w:tc>
      </w:tr>
      <w:tr w:rsidR="00BF5974" w14:paraId="1DCE2306"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E8DCFF6" w14:textId="77777777" w:rsidR="00BF5974" w:rsidRDefault="00BF5974">
            <w:pPr>
              <w:spacing w:line="256" w:lineRule="auto"/>
              <w:jc w:val="center"/>
              <w:rPr>
                <w:rFonts w:eastAsia="Times New Roman" w:cs="Arial"/>
                <w:b/>
                <w:bCs/>
                <w:color w:val="000000"/>
                <w:sz w:val="12"/>
                <w:szCs w:val="12"/>
                <w:lang w:val="es-ES" w:eastAsia="en-US"/>
              </w:rPr>
            </w:pPr>
            <w:r>
              <w:rPr>
                <w:rFonts w:eastAsia="Times New Roman" w:cs="Arial"/>
                <w:b/>
                <w:bCs/>
                <w:color w:val="000000"/>
                <w:sz w:val="12"/>
                <w:szCs w:val="12"/>
                <w:lang w:val="es-ES" w:eastAsia="en-US"/>
              </w:rPr>
              <w:t>090400000</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16FD528" w14:textId="77777777" w:rsidR="00BF5974" w:rsidRDefault="00BF5974">
            <w:pPr>
              <w:spacing w:line="256" w:lineRule="auto"/>
              <w:jc w:val="left"/>
              <w:rPr>
                <w:rFonts w:eastAsia="Times New Roman" w:cs="Arial"/>
                <w:b/>
                <w:bCs/>
                <w:color w:val="000000"/>
                <w:sz w:val="12"/>
                <w:szCs w:val="12"/>
                <w:lang w:val="es-ES" w:eastAsia="en-US"/>
              </w:rPr>
            </w:pPr>
            <w:r>
              <w:rPr>
                <w:rFonts w:eastAsia="Times New Roman" w:cs="Arial"/>
                <w:b/>
                <w:bCs/>
                <w:color w:val="000000"/>
                <w:sz w:val="12"/>
                <w:szCs w:val="12"/>
                <w:lang w:val="es-ES" w:eastAsia="en-US"/>
              </w:rPr>
              <w:t>Gastos de la Deuda Pública</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A510945"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0</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DD5636"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0</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412DA9"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2,620,000</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817047"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0</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BD435D"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2,620,000</w:t>
            </w:r>
          </w:p>
        </w:tc>
      </w:tr>
      <w:tr w:rsidR="00BF5974" w14:paraId="5B710294"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82267AA" w14:textId="77777777" w:rsidR="00BF5974" w:rsidRDefault="00BF5974">
            <w:pPr>
              <w:spacing w:line="256" w:lineRule="auto"/>
              <w:jc w:val="center"/>
              <w:rPr>
                <w:rFonts w:eastAsia="Times New Roman" w:cs="Arial"/>
                <w:b/>
                <w:bCs/>
                <w:color w:val="000000"/>
                <w:sz w:val="12"/>
                <w:szCs w:val="12"/>
                <w:lang w:val="es-ES" w:eastAsia="en-US"/>
              </w:rPr>
            </w:pPr>
            <w:r>
              <w:rPr>
                <w:rFonts w:eastAsia="Times New Roman" w:cs="Arial"/>
                <w:b/>
                <w:bCs/>
                <w:color w:val="000000"/>
                <w:sz w:val="12"/>
                <w:szCs w:val="12"/>
                <w:lang w:val="es-ES" w:eastAsia="en-US"/>
              </w:rPr>
              <w:t>090401000</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AEF8700" w14:textId="77777777" w:rsidR="00BF5974" w:rsidRDefault="00BF5974">
            <w:pPr>
              <w:spacing w:line="256" w:lineRule="auto"/>
              <w:jc w:val="left"/>
              <w:rPr>
                <w:rFonts w:eastAsia="Times New Roman" w:cs="Arial"/>
                <w:b/>
                <w:bCs/>
                <w:color w:val="000000"/>
                <w:sz w:val="12"/>
                <w:szCs w:val="12"/>
                <w:lang w:val="es-ES" w:eastAsia="en-US"/>
              </w:rPr>
            </w:pPr>
            <w:r>
              <w:rPr>
                <w:rFonts w:eastAsia="Times New Roman" w:cs="Arial"/>
                <w:b/>
                <w:bCs/>
                <w:color w:val="000000"/>
                <w:sz w:val="12"/>
                <w:szCs w:val="12"/>
                <w:lang w:val="es-ES" w:eastAsia="en-US"/>
              </w:rPr>
              <w:t>Gastos de la Deuda Pública Interna</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21AE537"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0</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D83D22"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0</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AE0623"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2,620,000</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2E3CD0"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0</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DFD812"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2,620,000</w:t>
            </w:r>
          </w:p>
        </w:tc>
      </w:tr>
      <w:tr w:rsidR="00BF5974" w14:paraId="2460A637"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97CD204" w14:textId="77777777" w:rsidR="00BF5974" w:rsidRDefault="00BF5974">
            <w:pPr>
              <w:spacing w:line="256" w:lineRule="auto"/>
              <w:jc w:val="center"/>
              <w:rPr>
                <w:rFonts w:eastAsia="Times New Roman" w:cs="Arial"/>
                <w:color w:val="000000"/>
                <w:sz w:val="12"/>
                <w:szCs w:val="12"/>
                <w:lang w:val="es-ES" w:eastAsia="en-US"/>
              </w:rPr>
            </w:pPr>
            <w:r>
              <w:rPr>
                <w:rFonts w:eastAsia="Times New Roman" w:cs="Arial"/>
                <w:color w:val="000000"/>
                <w:sz w:val="12"/>
                <w:szCs w:val="12"/>
                <w:lang w:val="es-ES" w:eastAsia="en-US"/>
              </w:rPr>
              <w:t>090401001</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491ACA8" w14:textId="77777777" w:rsidR="00BF5974" w:rsidRDefault="00BF5974">
            <w:pPr>
              <w:spacing w:line="256" w:lineRule="auto"/>
              <w:jc w:val="left"/>
              <w:rPr>
                <w:rFonts w:eastAsia="Times New Roman" w:cs="Arial"/>
                <w:color w:val="000000"/>
                <w:sz w:val="12"/>
                <w:szCs w:val="12"/>
                <w:lang w:val="es-ES" w:eastAsia="en-US"/>
              </w:rPr>
            </w:pPr>
            <w:r>
              <w:rPr>
                <w:rFonts w:eastAsia="Times New Roman" w:cs="Arial"/>
                <w:color w:val="000000"/>
                <w:sz w:val="12"/>
                <w:szCs w:val="12"/>
                <w:lang w:val="es-ES" w:eastAsia="en-US"/>
              </w:rPr>
              <w:t>Servicios de Calificación Crediticia</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39994A1"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0</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E7B808"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0</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8BF90D"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2,620,000</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DE4228"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0</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9D01F3"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2,620,000</w:t>
            </w:r>
          </w:p>
        </w:tc>
      </w:tr>
      <w:tr w:rsidR="00BF5974" w14:paraId="51694653"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AD544C7" w14:textId="77777777" w:rsidR="00BF5974" w:rsidRDefault="00BF5974">
            <w:pPr>
              <w:spacing w:line="256" w:lineRule="auto"/>
              <w:jc w:val="center"/>
              <w:rPr>
                <w:rFonts w:eastAsia="Times New Roman" w:cs="Arial"/>
                <w:b/>
                <w:bCs/>
                <w:color w:val="000000"/>
                <w:sz w:val="12"/>
                <w:szCs w:val="12"/>
                <w:lang w:val="es-ES" w:eastAsia="en-US"/>
              </w:rPr>
            </w:pPr>
            <w:r>
              <w:rPr>
                <w:rFonts w:eastAsia="Times New Roman" w:cs="Arial"/>
                <w:b/>
                <w:bCs/>
                <w:color w:val="000000"/>
                <w:sz w:val="12"/>
                <w:szCs w:val="12"/>
                <w:lang w:val="es-ES" w:eastAsia="en-US"/>
              </w:rPr>
              <w:t>090900000</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2BC53FE" w14:textId="77777777" w:rsidR="00BF5974" w:rsidRDefault="00BF5974">
            <w:pPr>
              <w:spacing w:line="256" w:lineRule="auto"/>
              <w:jc w:val="left"/>
              <w:rPr>
                <w:rFonts w:eastAsia="Times New Roman" w:cs="Arial"/>
                <w:b/>
                <w:bCs/>
                <w:color w:val="000000"/>
                <w:sz w:val="12"/>
                <w:szCs w:val="12"/>
                <w:lang w:val="es-ES" w:eastAsia="en-US"/>
              </w:rPr>
            </w:pPr>
            <w:r>
              <w:rPr>
                <w:rFonts w:eastAsia="Times New Roman" w:cs="Arial"/>
                <w:b/>
                <w:bCs/>
                <w:color w:val="000000"/>
                <w:sz w:val="12"/>
                <w:szCs w:val="12"/>
                <w:lang w:val="es-ES" w:eastAsia="en-US"/>
              </w:rPr>
              <w:t>Adeudos De Ejercicios Fiscales Anteriores (ADEFAS)</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DEF1EFA"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37,900,000</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841F47"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42,960,479</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B0EB6A"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38,600,000</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442ED5"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37,900,664</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C55560"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157,361,143</w:t>
            </w:r>
          </w:p>
        </w:tc>
      </w:tr>
      <w:tr w:rsidR="00BF5974" w14:paraId="2F960FDD"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EBBC122" w14:textId="77777777" w:rsidR="00BF5974" w:rsidRDefault="00BF5974">
            <w:pPr>
              <w:spacing w:line="256" w:lineRule="auto"/>
              <w:jc w:val="center"/>
              <w:rPr>
                <w:rFonts w:eastAsia="Times New Roman" w:cs="Arial"/>
                <w:b/>
                <w:bCs/>
                <w:color w:val="000000"/>
                <w:sz w:val="12"/>
                <w:szCs w:val="12"/>
                <w:lang w:val="es-ES" w:eastAsia="en-US"/>
              </w:rPr>
            </w:pPr>
            <w:r>
              <w:rPr>
                <w:rFonts w:eastAsia="Times New Roman" w:cs="Arial"/>
                <w:b/>
                <w:bCs/>
                <w:color w:val="000000"/>
                <w:sz w:val="12"/>
                <w:szCs w:val="12"/>
                <w:lang w:val="es-ES" w:eastAsia="en-US"/>
              </w:rPr>
              <w:t>090901000</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3ED0D2C" w14:textId="77777777" w:rsidR="00BF5974" w:rsidRDefault="00BF5974">
            <w:pPr>
              <w:spacing w:line="256" w:lineRule="auto"/>
              <w:jc w:val="left"/>
              <w:rPr>
                <w:rFonts w:eastAsia="Times New Roman" w:cs="Arial"/>
                <w:b/>
                <w:bCs/>
                <w:color w:val="000000"/>
                <w:sz w:val="12"/>
                <w:szCs w:val="12"/>
                <w:lang w:val="es-ES" w:eastAsia="en-US"/>
              </w:rPr>
            </w:pPr>
            <w:r>
              <w:rPr>
                <w:rFonts w:eastAsia="Times New Roman" w:cs="Arial"/>
                <w:b/>
                <w:bCs/>
                <w:color w:val="000000"/>
                <w:sz w:val="12"/>
                <w:szCs w:val="12"/>
                <w:lang w:val="es-ES" w:eastAsia="en-US"/>
              </w:rPr>
              <w:t>ADEFAS</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81EFFF8"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37,900,000</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4E7C4D"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42,960,479</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035A15"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38,600,000</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A3B5BE"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37,900,664</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7FF2E6" w14:textId="77777777" w:rsidR="00BF5974" w:rsidRDefault="00BF5974">
            <w:pPr>
              <w:spacing w:line="256" w:lineRule="auto"/>
              <w:jc w:val="right"/>
              <w:rPr>
                <w:rFonts w:eastAsia="Times New Roman" w:cs="Arial"/>
                <w:b/>
                <w:bCs/>
                <w:color w:val="000000"/>
                <w:sz w:val="12"/>
                <w:szCs w:val="12"/>
                <w:lang w:val="es-ES" w:eastAsia="en-US"/>
              </w:rPr>
            </w:pPr>
            <w:r>
              <w:rPr>
                <w:rFonts w:eastAsia="Times New Roman" w:cs="Arial"/>
                <w:b/>
                <w:bCs/>
                <w:color w:val="000000"/>
                <w:sz w:val="12"/>
                <w:szCs w:val="12"/>
                <w:lang w:val="es-ES" w:eastAsia="en-US"/>
              </w:rPr>
              <w:t>157,361,143</w:t>
            </w:r>
          </w:p>
        </w:tc>
      </w:tr>
      <w:tr w:rsidR="00BF5974" w14:paraId="2234182B"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AEB4E81" w14:textId="77777777" w:rsidR="00BF5974" w:rsidRDefault="00BF5974">
            <w:pPr>
              <w:spacing w:line="256" w:lineRule="auto"/>
              <w:jc w:val="center"/>
              <w:rPr>
                <w:rFonts w:eastAsia="Times New Roman" w:cs="Arial"/>
                <w:color w:val="000000"/>
                <w:sz w:val="12"/>
                <w:szCs w:val="12"/>
                <w:lang w:val="es-ES" w:eastAsia="en-US"/>
              </w:rPr>
            </w:pPr>
            <w:r>
              <w:rPr>
                <w:rFonts w:eastAsia="Times New Roman" w:cs="Arial"/>
                <w:color w:val="000000"/>
                <w:sz w:val="12"/>
                <w:szCs w:val="12"/>
                <w:lang w:val="es-ES" w:eastAsia="en-US"/>
              </w:rPr>
              <w:t>090901001</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02F6DB4" w14:textId="77777777" w:rsidR="00BF5974" w:rsidRDefault="00BF5974">
            <w:pPr>
              <w:spacing w:line="256" w:lineRule="auto"/>
              <w:jc w:val="left"/>
              <w:rPr>
                <w:rFonts w:eastAsia="Times New Roman" w:cs="Arial"/>
                <w:color w:val="000000"/>
                <w:sz w:val="12"/>
                <w:szCs w:val="12"/>
                <w:lang w:val="es-ES" w:eastAsia="en-US"/>
              </w:rPr>
            </w:pPr>
            <w:r>
              <w:rPr>
                <w:rFonts w:eastAsia="Times New Roman" w:cs="Arial"/>
                <w:color w:val="000000"/>
                <w:sz w:val="12"/>
                <w:szCs w:val="12"/>
                <w:lang w:val="es-ES" w:eastAsia="en-US"/>
              </w:rPr>
              <w:t>Adeudos de Ejercicios Anteriores por Concepto de Servicios Personales Magisterio</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69046C4"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200,000</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F7A5C4"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300,000</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9F44DD"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300,000</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21CB71"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200,000</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86A351"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1,000,000</w:t>
            </w:r>
          </w:p>
        </w:tc>
      </w:tr>
      <w:tr w:rsidR="00BF5974" w14:paraId="34886515"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38FF6DF" w14:textId="77777777" w:rsidR="00BF5974" w:rsidRDefault="00BF5974">
            <w:pPr>
              <w:spacing w:line="256" w:lineRule="auto"/>
              <w:jc w:val="center"/>
              <w:rPr>
                <w:rFonts w:eastAsia="Times New Roman" w:cs="Arial"/>
                <w:color w:val="000000"/>
                <w:sz w:val="12"/>
                <w:szCs w:val="12"/>
                <w:lang w:val="es-ES" w:eastAsia="en-US"/>
              </w:rPr>
            </w:pPr>
            <w:r>
              <w:rPr>
                <w:rFonts w:eastAsia="Times New Roman" w:cs="Arial"/>
                <w:color w:val="000000"/>
                <w:sz w:val="12"/>
                <w:szCs w:val="12"/>
                <w:lang w:val="es-ES" w:eastAsia="en-US"/>
              </w:rPr>
              <w:t>090901002</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4FEAD45" w14:textId="77777777" w:rsidR="00BF5974" w:rsidRDefault="00BF5974">
            <w:pPr>
              <w:spacing w:line="256" w:lineRule="auto"/>
              <w:jc w:val="left"/>
              <w:rPr>
                <w:rFonts w:eastAsia="Times New Roman" w:cs="Arial"/>
                <w:color w:val="000000"/>
                <w:sz w:val="12"/>
                <w:szCs w:val="12"/>
                <w:lang w:val="es-ES" w:eastAsia="en-US"/>
              </w:rPr>
            </w:pPr>
            <w:r>
              <w:rPr>
                <w:rFonts w:eastAsia="Times New Roman" w:cs="Arial"/>
                <w:color w:val="000000"/>
                <w:sz w:val="12"/>
                <w:szCs w:val="12"/>
                <w:lang w:val="es-ES" w:eastAsia="en-US"/>
              </w:rPr>
              <w:t>Adeudos de Ejercicios Anteriores por Concepto de Servicios Personales Burocracia</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949E4E4"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200,000</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DEDAD7"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300,000</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7E460C"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300,000</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51E8F6"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200,000</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6324D2"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1,000,000</w:t>
            </w:r>
          </w:p>
        </w:tc>
      </w:tr>
      <w:tr w:rsidR="00BF5974" w14:paraId="76AB7314"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F9A9378" w14:textId="77777777" w:rsidR="00BF5974" w:rsidRDefault="00BF5974">
            <w:pPr>
              <w:spacing w:line="256" w:lineRule="auto"/>
              <w:jc w:val="center"/>
              <w:rPr>
                <w:rFonts w:eastAsia="Times New Roman" w:cs="Arial"/>
                <w:color w:val="000000"/>
                <w:sz w:val="12"/>
                <w:szCs w:val="12"/>
                <w:lang w:val="es-ES" w:eastAsia="en-US"/>
              </w:rPr>
            </w:pPr>
            <w:r>
              <w:rPr>
                <w:rFonts w:eastAsia="Times New Roman" w:cs="Arial"/>
                <w:color w:val="000000"/>
                <w:sz w:val="12"/>
                <w:szCs w:val="12"/>
                <w:lang w:val="es-ES" w:eastAsia="en-US"/>
              </w:rPr>
              <w:t>090901003</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8184F51" w14:textId="77777777" w:rsidR="00BF5974" w:rsidRDefault="00BF5974">
            <w:pPr>
              <w:spacing w:line="256" w:lineRule="auto"/>
              <w:jc w:val="left"/>
              <w:rPr>
                <w:rFonts w:eastAsia="Times New Roman" w:cs="Arial"/>
                <w:color w:val="000000"/>
                <w:sz w:val="12"/>
                <w:szCs w:val="12"/>
                <w:lang w:val="es-ES" w:eastAsia="en-US"/>
              </w:rPr>
            </w:pPr>
            <w:r>
              <w:rPr>
                <w:rFonts w:eastAsia="Times New Roman" w:cs="Arial"/>
                <w:color w:val="000000"/>
                <w:sz w:val="12"/>
                <w:szCs w:val="12"/>
                <w:lang w:val="es-ES" w:eastAsia="en-US"/>
              </w:rPr>
              <w:t>Adeudos de Ejercicios Anteriores por Conceptos Distintos de Servicios Personales</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7A79F7A"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37,500,000</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9E0F57"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42,360,479</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BF7EE7"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37,500,000</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745F53"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37,500,664</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79D349"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154,861,143</w:t>
            </w:r>
          </w:p>
        </w:tc>
      </w:tr>
      <w:tr w:rsidR="00BF5974" w14:paraId="4C78E892" w14:textId="77777777" w:rsidTr="00BF5974">
        <w:trPr>
          <w:gridAfter w:val="1"/>
          <w:wAfter w:w="374" w:type="dxa"/>
          <w:trHeight w:val="20"/>
        </w:trPr>
        <w:tc>
          <w:tcPr>
            <w:tcW w:w="84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A6AC51F" w14:textId="77777777" w:rsidR="00BF5974" w:rsidRDefault="00BF5974">
            <w:pPr>
              <w:spacing w:line="256" w:lineRule="auto"/>
              <w:jc w:val="center"/>
              <w:rPr>
                <w:rFonts w:eastAsia="Times New Roman" w:cs="Arial"/>
                <w:color w:val="000000"/>
                <w:sz w:val="12"/>
                <w:szCs w:val="12"/>
                <w:lang w:val="es-ES" w:eastAsia="en-US"/>
              </w:rPr>
            </w:pPr>
            <w:r>
              <w:rPr>
                <w:rFonts w:eastAsia="Times New Roman" w:cs="Arial"/>
                <w:color w:val="000000"/>
                <w:sz w:val="12"/>
                <w:szCs w:val="12"/>
                <w:lang w:val="es-ES" w:eastAsia="en-US"/>
              </w:rPr>
              <w:t>090901004</w:t>
            </w:r>
          </w:p>
        </w:tc>
        <w:tc>
          <w:tcPr>
            <w:tcW w:w="340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D18FDAB" w14:textId="77777777" w:rsidR="00BF5974" w:rsidRDefault="00BF5974">
            <w:pPr>
              <w:spacing w:line="256" w:lineRule="auto"/>
              <w:jc w:val="left"/>
              <w:rPr>
                <w:rFonts w:eastAsia="Times New Roman" w:cs="Arial"/>
                <w:color w:val="000000"/>
                <w:sz w:val="12"/>
                <w:szCs w:val="12"/>
                <w:lang w:val="es-ES" w:eastAsia="en-US"/>
              </w:rPr>
            </w:pPr>
            <w:r>
              <w:rPr>
                <w:rFonts w:eastAsia="Times New Roman" w:cs="Arial"/>
                <w:color w:val="000000"/>
                <w:sz w:val="12"/>
                <w:szCs w:val="12"/>
                <w:lang w:val="es-ES" w:eastAsia="en-US"/>
              </w:rPr>
              <w:t>Devolución de Ingresos Percibidos Indebidamente en Ejercicios Fiscales Anteriores</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C866EF"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0</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21A22E"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0</w:t>
            </w:r>
          </w:p>
        </w:tc>
        <w:tc>
          <w:tcPr>
            <w:tcW w:w="8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57CA3B"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500,000</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F5F54D"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0</w:t>
            </w:r>
          </w:p>
        </w:tc>
        <w:tc>
          <w:tcPr>
            <w:tcW w:w="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D069D4" w14:textId="77777777" w:rsidR="00BF5974" w:rsidRDefault="00BF5974">
            <w:pPr>
              <w:spacing w:line="256" w:lineRule="auto"/>
              <w:jc w:val="right"/>
              <w:rPr>
                <w:rFonts w:eastAsia="Times New Roman" w:cs="Arial"/>
                <w:color w:val="000000"/>
                <w:sz w:val="12"/>
                <w:szCs w:val="12"/>
                <w:lang w:val="es-ES" w:eastAsia="en-US"/>
              </w:rPr>
            </w:pPr>
            <w:r>
              <w:rPr>
                <w:rFonts w:eastAsia="Times New Roman" w:cs="Arial"/>
                <w:color w:val="000000"/>
                <w:sz w:val="12"/>
                <w:szCs w:val="12"/>
                <w:lang w:val="es-ES" w:eastAsia="en-US"/>
              </w:rPr>
              <w:t>500,000</w:t>
            </w:r>
          </w:p>
        </w:tc>
      </w:tr>
    </w:tbl>
    <w:p w14:paraId="557EFAEF" w14:textId="77777777" w:rsidR="00BF5974" w:rsidRDefault="00BF5974" w:rsidP="00BF5974"/>
    <w:p w14:paraId="036D911F" w14:textId="77777777" w:rsidR="00BF5974" w:rsidRDefault="00BF5974" w:rsidP="00BF5974">
      <w:pPr>
        <w:rPr>
          <w:rFonts w:cs="Arial"/>
        </w:rPr>
      </w:pPr>
    </w:p>
    <w:p w14:paraId="1D651420" w14:textId="77777777" w:rsidR="00BF5974" w:rsidRDefault="00BF5974" w:rsidP="00BF5974">
      <w:pPr>
        <w:rPr>
          <w:rFonts w:cs="Arial"/>
          <w:lang w:val="es-ES"/>
        </w:rPr>
      </w:pPr>
      <w:r>
        <w:rPr>
          <w:rFonts w:cs="Arial"/>
          <w:b/>
          <w:lang w:val="es-ES"/>
        </w:rPr>
        <w:t>Artículo 51</w:t>
      </w:r>
      <w:r>
        <w:rPr>
          <w:rFonts w:cs="Arial"/>
          <w:lang w:val="es-ES"/>
        </w:rPr>
        <w:t xml:space="preserve">. La asignación presupuestaria para el ejercicio fiscal 2025 para </w:t>
      </w:r>
      <w:r>
        <w:rPr>
          <w:rFonts w:cs="Arial"/>
          <w:bCs/>
          <w:lang w:val="es-ES"/>
        </w:rPr>
        <w:t>Adeudos de Ejercicios Fiscales Anteriores (</w:t>
      </w:r>
      <w:r>
        <w:rPr>
          <w:rFonts w:cs="Arial"/>
          <w:bCs/>
          <w:iCs/>
          <w:lang w:val="es-ES"/>
        </w:rPr>
        <w:t>ADEFAS</w:t>
      </w:r>
      <w:r>
        <w:rPr>
          <w:rFonts w:cs="Arial"/>
          <w:bCs/>
          <w:lang w:val="es-ES"/>
        </w:rPr>
        <w:t xml:space="preserve">), en cumplimiento con lo </w:t>
      </w:r>
      <w:r>
        <w:rPr>
          <w:rFonts w:cs="Arial"/>
          <w:lang w:val="es-ES"/>
        </w:rPr>
        <w:t>establecido en el artículo 12 de la Ley de Disciplina Financiera se integra de la siguiente manera:</w:t>
      </w:r>
    </w:p>
    <w:p w14:paraId="49C1DC80" w14:textId="77777777" w:rsidR="00BF5974" w:rsidRDefault="00BF5974" w:rsidP="00BF5974">
      <w:pPr>
        <w:keepNext/>
        <w:keepLines/>
        <w:outlineLvl w:val="2"/>
        <w:rPr>
          <w:rFonts w:eastAsia="Times New Roman" w:cs="Arial"/>
          <w:b/>
          <w:szCs w:val="24"/>
          <w:lang w:val="es-ES" w:eastAsia="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6379"/>
        <w:gridCol w:w="1270"/>
      </w:tblGrid>
      <w:tr w:rsidR="00BF5974" w14:paraId="65A52739" w14:textId="77777777" w:rsidTr="00BF5974">
        <w:trPr>
          <w:trHeight w:val="170"/>
          <w:tblHeader/>
          <w:jc w:val="right"/>
        </w:trPr>
        <w:tc>
          <w:tcPr>
            <w:tcW w:w="8783" w:type="dxa"/>
            <w:gridSpan w:val="3"/>
            <w:tcBorders>
              <w:top w:val="nil"/>
              <w:left w:val="nil"/>
              <w:bottom w:val="single" w:sz="4" w:space="0" w:color="auto"/>
              <w:right w:val="nil"/>
            </w:tcBorders>
            <w:noWrap/>
            <w:vAlign w:val="center"/>
            <w:hideMark/>
          </w:tcPr>
          <w:p w14:paraId="2D350247" w14:textId="77777777" w:rsidR="00BF5974" w:rsidRDefault="00BF5974">
            <w:pPr>
              <w:spacing w:line="256" w:lineRule="auto"/>
              <w:jc w:val="center"/>
              <w:rPr>
                <w:rFonts w:eastAsia="Times New Roman" w:cs="Arial"/>
                <w:b/>
                <w:bCs/>
                <w:color w:val="000000"/>
                <w:sz w:val="16"/>
                <w:szCs w:val="16"/>
                <w:lang w:val="es-ES" w:eastAsia="en-US"/>
              </w:rPr>
            </w:pPr>
            <w:bookmarkStart w:id="216" w:name="_Toc22983214"/>
            <w:bookmarkStart w:id="217" w:name="_Toc22021961"/>
            <w:bookmarkStart w:id="218" w:name="_Toc526757511"/>
            <w:bookmarkStart w:id="219" w:name="_Toc522869292"/>
            <w:r>
              <w:rPr>
                <w:rFonts w:eastAsia="Times New Roman" w:cs="Arial"/>
                <w:b/>
                <w:sz w:val="20"/>
                <w:lang w:val="es-ES" w:eastAsia="en-US"/>
              </w:rPr>
              <w:t>Tabla 47. Adeudos de Ejercicios Fiscales Anteriores (ADEFAS)</w:t>
            </w:r>
            <w:bookmarkEnd w:id="216"/>
            <w:bookmarkEnd w:id="217"/>
            <w:bookmarkEnd w:id="218"/>
            <w:bookmarkEnd w:id="219"/>
          </w:p>
        </w:tc>
      </w:tr>
      <w:tr w:rsidR="00BF5974" w14:paraId="5F40AA38" w14:textId="77777777" w:rsidTr="00BF5974">
        <w:trPr>
          <w:trHeight w:val="170"/>
          <w:tblHeader/>
          <w:jc w:val="right"/>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0BDE8FD9" w14:textId="77777777" w:rsidR="00BF5974" w:rsidRDefault="00BF5974">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Clave</w:t>
            </w:r>
          </w:p>
        </w:tc>
        <w:tc>
          <w:tcPr>
            <w:tcW w:w="6379" w:type="dxa"/>
            <w:tcBorders>
              <w:top w:val="single" w:sz="4" w:space="0" w:color="auto"/>
              <w:left w:val="single" w:sz="4" w:space="0" w:color="auto"/>
              <w:bottom w:val="single" w:sz="4" w:space="0" w:color="auto"/>
              <w:right w:val="single" w:sz="4" w:space="0" w:color="auto"/>
            </w:tcBorders>
            <w:noWrap/>
            <w:vAlign w:val="center"/>
            <w:hideMark/>
          </w:tcPr>
          <w:p w14:paraId="74413F03" w14:textId="77777777" w:rsidR="00BF5974" w:rsidRDefault="00BF5974">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Descripción</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61B455D" w14:textId="77777777" w:rsidR="00BF5974" w:rsidRDefault="00BF5974">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Asignación Presupuestal</w:t>
            </w:r>
          </w:p>
        </w:tc>
      </w:tr>
      <w:tr w:rsidR="00BF5974" w14:paraId="665DB319" w14:textId="77777777" w:rsidTr="00BF5974">
        <w:trPr>
          <w:trHeight w:val="170"/>
          <w:jc w:val="right"/>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4ECF1157" w14:textId="77777777" w:rsidR="00BF5974" w:rsidRDefault="00BF5974">
            <w:pPr>
              <w:spacing w:line="256" w:lineRule="auto"/>
              <w:jc w:val="center"/>
              <w:rPr>
                <w:rFonts w:eastAsia="Times New Roman" w:cs="Arial"/>
                <w:b/>
                <w:bCs/>
                <w:color w:val="000000"/>
                <w:sz w:val="18"/>
                <w:szCs w:val="18"/>
                <w:lang w:val="es-ES" w:eastAsia="en-US"/>
              </w:rPr>
            </w:pPr>
            <w:r>
              <w:rPr>
                <w:rFonts w:eastAsia="Times New Roman" w:cs="Arial"/>
                <w:b/>
                <w:bCs/>
                <w:color w:val="000000"/>
                <w:sz w:val="18"/>
                <w:szCs w:val="18"/>
                <w:lang w:val="es-ES" w:eastAsia="en-US"/>
              </w:rPr>
              <w:t>090900000</w:t>
            </w:r>
          </w:p>
        </w:tc>
        <w:tc>
          <w:tcPr>
            <w:tcW w:w="6379" w:type="dxa"/>
            <w:tcBorders>
              <w:top w:val="single" w:sz="4" w:space="0" w:color="auto"/>
              <w:left w:val="single" w:sz="4" w:space="0" w:color="auto"/>
              <w:bottom w:val="single" w:sz="4" w:space="0" w:color="auto"/>
              <w:right w:val="single" w:sz="4" w:space="0" w:color="auto"/>
            </w:tcBorders>
            <w:noWrap/>
            <w:vAlign w:val="center"/>
            <w:hideMark/>
          </w:tcPr>
          <w:p w14:paraId="78D91F21" w14:textId="77777777" w:rsidR="00BF5974" w:rsidRDefault="00BF5974">
            <w:pPr>
              <w:spacing w:line="256" w:lineRule="auto"/>
              <w:jc w:val="left"/>
              <w:rPr>
                <w:rFonts w:eastAsia="Times New Roman" w:cs="Arial"/>
                <w:b/>
                <w:bCs/>
                <w:color w:val="000000"/>
                <w:sz w:val="18"/>
                <w:szCs w:val="18"/>
                <w:lang w:val="es-ES" w:eastAsia="en-US"/>
              </w:rPr>
            </w:pPr>
            <w:r>
              <w:rPr>
                <w:rFonts w:eastAsia="Times New Roman" w:cs="Arial"/>
                <w:b/>
                <w:bCs/>
                <w:color w:val="000000"/>
                <w:sz w:val="18"/>
                <w:szCs w:val="18"/>
                <w:lang w:val="es-ES" w:eastAsia="en-US"/>
              </w:rPr>
              <w:t>Adeudos de Ejercicios Fiscales Anteriores (ADEFAS).</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C8C1DBD" w14:textId="77777777" w:rsidR="00BF5974" w:rsidRDefault="00BF5974">
            <w:pPr>
              <w:spacing w:line="256" w:lineRule="auto"/>
              <w:jc w:val="right"/>
              <w:rPr>
                <w:rFonts w:eastAsia="Times New Roman" w:cs="Arial"/>
                <w:b/>
                <w:bCs/>
                <w:color w:val="000000"/>
                <w:sz w:val="18"/>
                <w:szCs w:val="18"/>
                <w:lang w:val="es-ES" w:eastAsia="en-US"/>
              </w:rPr>
            </w:pPr>
            <w:r>
              <w:rPr>
                <w:b/>
                <w:bCs/>
                <w:sz w:val="18"/>
                <w:szCs w:val="18"/>
                <w:lang w:val="es-ES" w:eastAsia="en-US"/>
              </w:rPr>
              <w:t xml:space="preserve">157,361,143 </w:t>
            </w:r>
          </w:p>
        </w:tc>
      </w:tr>
      <w:tr w:rsidR="00BF5974" w14:paraId="02C11065" w14:textId="77777777" w:rsidTr="00BF5974">
        <w:trPr>
          <w:trHeight w:val="170"/>
          <w:jc w:val="right"/>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3ACC550" w14:textId="77777777" w:rsidR="00BF5974" w:rsidRDefault="00BF5974">
            <w:pPr>
              <w:spacing w:line="256" w:lineRule="auto"/>
              <w:jc w:val="center"/>
              <w:rPr>
                <w:rFonts w:eastAsia="Times New Roman" w:cs="Arial"/>
                <w:color w:val="000000"/>
                <w:sz w:val="18"/>
                <w:szCs w:val="18"/>
                <w:lang w:val="es-ES" w:eastAsia="en-US"/>
              </w:rPr>
            </w:pPr>
            <w:r>
              <w:rPr>
                <w:rFonts w:eastAsia="Times New Roman" w:cs="Arial"/>
                <w:color w:val="000000"/>
                <w:sz w:val="18"/>
                <w:szCs w:val="18"/>
                <w:lang w:val="es-ES" w:eastAsia="en-US"/>
              </w:rPr>
              <w:t>090901000</w:t>
            </w:r>
          </w:p>
        </w:tc>
        <w:tc>
          <w:tcPr>
            <w:tcW w:w="6379" w:type="dxa"/>
            <w:tcBorders>
              <w:top w:val="single" w:sz="4" w:space="0" w:color="auto"/>
              <w:left w:val="single" w:sz="4" w:space="0" w:color="auto"/>
              <w:bottom w:val="single" w:sz="4" w:space="0" w:color="auto"/>
              <w:right w:val="single" w:sz="4" w:space="0" w:color="auto"/>
            </w:tcBorders>
            <w:noWrap/>
            <w:vAlign w:val="center"/>
            <w:hideMark/>
          </w:tcPr>
          <w:p w14:paraId="061A51E0" w14:textId="77777777" w:rsidR="00BF5974" w:rsidRDefault="00BF5974">
            <w:pPr>
              <w:spacing w:line="256" w:lineRule="auto"/>
              <w:jc w:val="left"/>
              <w:rPr>
                <w:rFonts w:eastAsia="Times New Roman" w:cs="Arial"/>
                <w:color w:val="000000"/>
                <w:sz w:val="18"/>
                <w:szCs w:val="18"/>
                <w:lang w:val="es-ES" w:eastAsia="en-US"/>
              </w:rPr>
            </w:pPr>
            <w:r>
              <w:rPr>
                <w:rFonts w:eastAsia="Times New Roman" w:cs="Arial"/>
                <w:color w:val="000000"/>
                <w:sz w:val="18"/>
                <w:szCs w:val="18"/>
                <w:lang w:val="es-ES" w:eastAsia="en-US"/>
              </w:rPr>
              <w:t>ADEFAS.</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AC3C09D" w14:textId="77777777" w:rsidR="00BF5974" w:rsidRDefault="00BF5974">
            <w:pPr>
              <w:spacing w:line="256" w:lineRule="auto"/>
              <w:jc w:val="right"/>
              <w:rPr>
                <w:rFonts w:eastAsia="Times New Roman" w:cs="Arial"/>
                <w:b/>
                <w:bCs/>
                <w:color w:val="000000"/>
                <w:sz w:val="18"/>
                <w:szCs w:val="18"/>
                <w:lang w:val="es-ES" w:eastAsia="en-US"/>
              </w:rPr>
            </w:pPr>
            <w:r>
              <w:rPr>
                <w:b/>
                <w:bCs/>
                <w:sz w:val="18"/>
                <w:szCs w:val="18"/>
                <w:lang w:val="es-ES" w:eastAsia="en-US"/>
              </w:rPr>
              <w:t xml:space="preserve">157,361,143 </w:t>
            </w:r>
          </w:p>
        </w:tc>
      </w:tr>
      <w:tr w:rsidR="00BF5974" w14:paraId="7173A8B0" w14:textId="77777777" w:rsidTr="00BF5974">
        <w:trPr>
          <w:trHeight w:val="170"/>
          <w:jc w:val="right"/>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439E9F80" w14:textId="77777777" w:rsidR="00BF5974" w:rsidRDefault="00BF5974">
            <w:pPr>
              <w:spacing w:line="256" w:lineRule="auto"/>
              <w:jc w:val="center"/>
              <w:rPr>
                <w:rFonts w:eastAsia="Times New Roman" w:cs="Arial"/>
                <w:color w:val="000000"/>
                <w:sz w:val="18"/>
                <w:szCs w:val="18"/>
                <w:lang w:val="es-ES" w:eastAsia="en-US"/>
              </w:rPr>
            </w:pPr>
            <w:r>
              <w:rPr>
                <w:rFonts w:eastAsia="Times New Roman" w:cs="Arial"/>
                <w:color w:val="000000"/>
                <w:sz w:val="18"/>
                <w:szCs w:val="18"/>
                <w:lang w:val="es-ES" w:eastAsia="en-US"/>
              </w:rPr>
              <w:t>090901001</w:t>
            </w:r>
          </w:p>
        </w:tc>
        <w:tc>
          <w:tcPr>
            <w:tcW w:w="6379" w:type="dxa"/>
            <w:tcBorders>
              <w:top w:val="single" w:sz="4" w:space="0" w:color="auto"/>
              <w:left w:val="single" w:sz="4" w:space="0" w:color="auto"/>
              <w:bottom w:val="single" w:sz="4" w:space="0" w:color="auto"/>
              <w:right w:val="single" w:sz="4" w:space="0" w:color="auto"/>
            </w:tcBorders>
            <w:noWrap/>
            <w:vAlign w:val="center"/>
            <w:hideMark/>
          </w:tcPr>
          <w:p w14:paraId="3759BCCE" w14:textId="77777777" w:rsidR="00BF5974" w:rsidRDefault="00BF5974">
            <w:pPr>
              <w:spacing w:line="256" w:lineRule="auto"/>
              <w:jc w:val="left"/>
              <w:rPr>
                <w:rFonts w:eastAsia="Times New Roman" w:cs="Arial"/>
                <w:color w:val="000000"/>
                <w:sz w:val="18"/>
                <w:szCs w:val="18"/>
                <w:lang w:val="es-ES" w:eastAsia="en-US"/>
              </w:rPr>
            </w:pPr>
            <w:r>
              <w:rPr>
                <w:rFonts w:eastAsia="Times New Roman" w:cs="Arial"/>
                <w:color w:val="000000"/>
                <w:sz w:val="18"/>
                <w:szCs w:val="18"/>
                <w:lang w:val="es-ES" w:eastAsia="en-US"/>
              </w:rPr>
              <w:t>Adeudos de Ejercicios Anteriores por Concepto de Servicios Personales Magisterio.</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8AD0A60" w14:textId="77777777" w:rsidR="00BF5974" w:rsidRDefault="00BF5974">
            <w:pPr>
              <w:spacing w:line="256" w:lineRule="auto"/>
              <w:jc w:val="right"/>
              <w:rPr>
                <w:rFonts w:eastAsia="Times New Roman" w:cs="Arial"/>
                <w:color w:val="000000"/>
                <w:sz w:val="18"/>
                <w:szCs w:val="18"/>
                <w:lang w:val="es-ES" w:eastAsia="en-US"/>
              </w:rPr>
            </w:pPr>
            <w:r>
              <w:rPr>
                <w:sz w:val="18"/>
                <w:szCs w:val="18"/>
                <w:lang w:val="es-ES" w:eastAsia="en-US"/>
              </w:rPr>
              <w:t xml:space="preserve">1,000,000 </w:t>
            </w:r>
          </w:p>
        </w:tc>
      </w:tr>
      <w:tr w:rsidR="00BF5974" w14:paraId="7C337BD0" w14:textId="77777777" w:rsidTr="00BF5974">
        <w:trPr>
          <w:trHeight w:val="170"/>
          <w:jc w:val="right"/>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7D1B6165" w14:textId="77777777" w:rsidR="00BF5974" w:rsidRDefault="00BF5974">
            <w:pPr>
              <w:spacing w:line="256" w:lineRule="auto"/>
              <w:jc w:val="center"/>
              <w:rPr>
                <w:rFonts w:eastAsia="Times New Roman" w:cs="Arial"/>
                <w:color w:val="000000"/>
                <w:sz w:val="18"/>
                <w:szCs w:val="18"/>
                <w:lang w:val="es-ES" w:eastAsia="en-US"/>
              </w:rPr>
            </w:pPr>
            <w:r>
              <w:rPr>
                <w:rFonts w:eastAsia="Times New Roman" w:cs="Arial"/>
                <w:color w:val="000000"/>
                <w:sz w:val="18"/>
                <w:szCs w:val="18"/>
                <w:lang w:val="es-ES" w:eastAsia="en-US"/>
              </w:rPr>
              <w:t>090901002</w:t>
            </w:r>
          </w:p>
        </w:tc>
        <w:tc>
          <w:tcPr>
            <w:tcW w:w="6379" w:type="dxa"/>
            <w:tcBorders>
              <w:top w:val="single" w:sz="4" w:space="0" w:color="auto"/>
              <w:left w:val="single" w:sz="4" w:space="0" w:color="auto"/>
              <w:bottom w:val="single" w:sz="4" w:space="0" w:color="auto"/>
              <w:right w:val="single" w:sz="4" w:space="0" w:color="auto"/>
            </w:tcBorders>
            <w:noWrap/>
            <w:vAlign w:val="center"/>
            <w:hideMark/>
          </w:tcPr>
          <w:p w14:paraId="1E744A77" w14:textId="77777777" w:rsidR="00BF5974" w:rsidRDefault="00BF5974">
            <w:pPr>
              <w:spacing w:line="256" w:lineRule="auto"/>
              <w:jc w:val="left"/>
              <w:rPr>
                <w:rFonts w:eastAsia="Times New Roman" w:cs="Arial"/>
                <w:color w:val="000000"/>
                <w:sz w:val="18"/>
                <w:szCs w:val="18"/>
                <w:lang w:val="es-ES" w:eastAsia="en-US"/>
              </w:rPr>
            </w:pPr>
            <w:r>
              <w:rPr>
                <w:rFonts w:eastAsia="Times New Roman" w:cs="Arial"/>
                <w:color w:val="000000"/>
                <w:sz w:val="18"/>
                <w:szCs w:val="18"/>
                <w:lang w:val="es-ES" w:eastAsia="en-US"/>
              </w:rPr>
              <w:t>Adeudos de Ejercicios Anteriores por Concepto de Servicios Personales Burocracia.</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E598AEC" w14:textId="77777777" w:rsidR="00BF5974" w:rsidRDefault="00BF5974">
            <w:pPr>
              <w:spacing w:line="256" w:lineRule="auto"/>
              <w:jc w:val="right"/>
              <w:rPr>
                <w:rFonts w:eastAsia="Times New Roman" w:cs="Arial"/>
                <w:color w:val="000000"/>
                <w:sz w:val="18"/>
                <w:szCs w:val="18"/>
                <w:lang w:val="es-ES" w:eastAsia="en-US"/>
              </w:rPr>
            </w:pPr>
            <w:r>
              <w:rPr>
                <w:sz w:val="18"/>
                <w:szCs w:val="18"/>
                <w:lang w:val="es-ES" w:eastAsia="en-US"/>
              </w:rPr>
              <w:t xml:space="preserve">1,000,000 </w:t>
            </w:r>
          </w:p>
        </w:tc>
      </w:tr>
      <w:tr w:rsidR="00BF5974" w14:paraId="3691763B" w14:textId="77777777" w:rsidTr="00BF5974">
        <w:trPr>
          <w:trHeight w:val="170"/>
          <w:jc w:val="right"/>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5E21D2F9" w14:textId="77777777" w:rsidR="00BF5974" w:rsidRDefault="00BF5974">
            <w:pPr>
              <w:spacing w:line="256" w:lineRule="auto"/>
              <w:jc w:val="center"/>
              <w:rPr>
                <w:rFonts w:eastAsia="Times New Roman" w:cs="Arial"/>
                <w:color w:val="000000"/>
                <w:sz w:val="18"/>
                <w:szCs w:val="18"/>
                <w:lang w:val="es-ES" w:eastAsia="en-US"/>
              </w:rPr>
            </w:pPr>
            <w:r>
              <w:rPr>
                <w:rFonts w:eastAsia="Times New Roman" w:cs="Arial"/>
                <w:color w:val="000000"/>
                <w:sz w:val="18"/>
                <w:szCs w:val="18"/>
                <w:lang w:val="es-ES" w:eastAsia="en-US"/>
              </w:rPr>
              <w:t>090901003</w:t>
            </w:r>
          </w:p>
        </w:tc>
        <w:tc>
          <w:tcPr>
            <w:tcW w:w="6379" w:type="dxa"/>
            <w:tcBorders>
              <w:top w:val="single" w:sz="4" w:space="0" w:color="auto"/>
              <w:left w:val="single" w:sz="4" w:space="0" w:color="auto"/>
              <w:bottom w:val="single" w:sz="4" w:space="0" w:color="auto"/>
              <w:right w:val="single" w:sz="4" w:space="0" w:color="auto"/>
            </w:tcBorders>
            <w:noWrap/>
            <w:vAlign w:val="center"/>
            <w:hideMark/>
          </w:tcPr>
          <w:p w14:paraId="52A77066" w14:textId="77777777" w:rsidR="00BF5974" w:rsidRDefault="00BF5974">
            <w:pPr>
              <w:spacing w:line="256" w:lineRule="auto"/>
              <w:jc w:val="left"/>
              <w:rPr>
                <w:rFonts w:eastAsia="Times New Roman" w:cs="Arial"/>
                <w:color w:val="000000"/>
                <w:sz w:val="18"/>
                <w:szCs w:val="18"/>
                <w:lang w:val="es-ES" w:eastAsia="en-US"/>
              </w:rPr>
            </w:pPr>
            <w:r>
              <w:rPr>
                <w:rFonts w:eastAsia="Times New Roman" w:cs="Arial"/>
                <w:color w:val="000000"/>
                <w:sz w:val="18"/>
                <w:szCs w:val="18"/>
                <w:lang w:val="es-ES" w:eastAsia="en-US"/>
              </w:rPr>
              <w:t>Adeudos de Ejercicios Anteriores por Conceptos Distintos de Servicios Personales.</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C8FE001" w14:textId="77777777" w:rsidR="00BF5974" w:rsidRDefault="00BF5974">
            <w:pPr>
              <w:spacing w:line="256" w:lineRule="auto"/>
              <w:jc w:val="right"/>
              <w:rPr>
                <w:rFonts w:eastAsia="Times New Roman" w:cs="Arial"/>
                <w:color w:val="000000"/>
                <w:sz w:val="18"/>
                <w:szCs w:val="18"/>
                <w:lang w:val="es-ES" w:eastAsia="en-US"/>
              </w:rPr>
            </w:pPr>
            <w:r>
              <w:rPr>
                <w:sz w:val="18"/>
                <w:szCs w:val="18"/>
                <w:lang w:val="es-ES" w:eastAsia="en-US"/>
              </w:rPr>
              <w:t xml:space="preserve">154,861,143 </w:t>
            </w:r>
          </w:p>
        </w:tc>
      </w:tr>
      <w:tr w:rsidR="00BF5974" w14:paraId="4B3C6BEA" w14:textId="77777777" w:rsidTr="00BF5974">
        <w:trPr>
          <w:trHeight w:val="170"/>
          <w:jc w:val="right"/>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0571969F" w14:textId="77777777" w:rsidR="00BF5974" w:rsidRDefault="00BF5974">
            <w:pPr>
              <w:spacing w:line="256" w:lineRule="auto"/>
              <w:jc w:val="center"/>
              <w:rPr>
                <w:rFonts w:eastAsia="Times New Roman" w:cs="Arial"/>
                <w:color w:val="000000"/>
                <w:sz w:val="18"/>
                <w:szCs w:val="18"/>
                <w:lang w:val="es-ES" w:eastAsia="en-US"/>
              </w:rPr>
            </w:pPr>
            <w:r>
              <w:rPr>
                <w:rFonts w:eastAsia="Times New Roman" w:cs="Arial"/>
                <w:color w:val="000000"/>
                <w:sz w:val="18"/>
                <w:szCs w:val="18"/>
                <w:lang w:val="es-ES" w:eastAsia="en-US"/>
              </w:rPr>
              <w:t>090901004</w:t>
            </w:r>
          </w:p>
        </w:tc>
        <w:tc>
          <w:tcPr>
            <w:tcW w:w="6379" w:type="dxa"/>
            <w:tcBorders>
              <w:top w:val="single" w:sz="4" w:space="0" w:color="auto"/>
              <w:left w:val="single" w:sz="4" w:space="0" w:color="auto"/>
              <w:bottom w:val="single" w:sz="4" w:space="0" w:color="auto"/>
              <w:right w:val="single" w:sz="4" w:space="0" w:color="auto"/>
            </w:tcBorders>
            <w:noWrap/>
            <w:vAlign w:val="center"/>
            <w:hideMark/>
          </w:tcPr>
          <w:p w14:paraId="71ABF56D" w14:textId="77777777" w:rsidR="00BF5974" w:rsidRDefault="00BF5974">
            <w:pPr>
              <w:spacing w:line="256" w:lineRule="auto"/>
              <w:jc w:val="left"/>
              <w:rPr>
                <w:rFonts w:eastAsia="Times New Roman" w:cs="Arial"/>
                <w:color w:val="000000"/>
                <w:sz w:val="18"/>
                <w:szCs w:val="18"/>
                <w:lang w:val="es-ES" w:eastAsia="en-US"/>
              </w:rPr>
            </w:pPr>
            <w:r>
              <w:rPr>
                <w:rFonts w:eastAsia="Times New Roman" w:cs="Arial"/>
                <w:color w:val="000000"/>
                <w:sz w:val="18"/>
                <w:szCs w:val="18"/>
                <w:lang w:val="es-ES" w:eastAsia="en-US"/>
              </w:rPr>
              <w:t>Devolución de Ingresos Percibidos Indebidamente en Ejercicios Fiscales Anteriores.</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CF3421E" w14:textId="77777777" w:rsidR="00BF5974" w:rsidRDefault="00BF5974">
            <w:pPr>
              <w:spacing w:line="256" w:lineRule="auto"/>
              <w:jc w:val="right"/>
              <w:rPr>
                <w:rFonts w:eastAsia="Times New Roman" w:cs="Arial"/>
                <w:color w:val="000000"/>
                <w:sz w:val="18"/>
                <w:szCs w:val="18"/>
                <w:lang w:val="es-ES" w:eastAsia="en-US"/>
              </w:rPr>
            </w:pPr>
            <w:r>
              <w:rPr>
                <w:sz w:val="18"/>
                <w:szCs w:val="18"/>
                <w:lang w:val="es-ES" w:eastAsia="en-US"/>
              </w:rPr>
              <w:t xml:space="preserve">500,000 </w:t>
            </w:r>
          </w:p>
        </w:tc>
      </w:tr>
    </w:tbl>
    <w:p w14:paraId="6804C2F4" w14:textId="77777777" w:rsidR="00BF5974" w:rsidRDefault="00BF5974" w:rsidP="00BF5974"/>
    <w:p w14:paraId="19B7E768" w14:textId="77777777" w:rsidR="00BF5974" w:rsidRDefault="00BF5974" w:rsidP="00BF5974">
      <w:pPr>
        <w:rPr>
          <w:rFonts w:cs="Arial"/>
          <w:lang w:val="es-ES"/>
        </w:rPr>
      </w:pPr>
      <w:r>
        <w:rPr>
          <w:rFonts w:cs="Arial"/>
          <w:b/>
          <w:lang w:val="es-ES"/>
        </w:rPr>
        <w:t>Artículo 52</w:t>
      </w:r>
      <w:r>
        <w:rPr>
          <w:rFonts w:cs="Arial"/>
          <w:lang w:val="es-ES"/>
        </w:rPr>
        <w:t xml:space="preserve">. De conformidad con el artículo 46, fracción I, de la Ley de Disciplina Financiera de las Entidades Federativas y los Municipios; y del artículo 14 del Reglamento del Sistema de Alertas; con fecha 28 de junio 2024, la Secretaría de Hacienda y Crédito Público publicó en su página oficial de internet los resultados de los indicadores y niveles de endeudamiento del Sistema de Alertas de las Entidades Federativas, resultando el Estado de Colima con un nivel de </w:t>
      </w:r>
      <w:r>
        <w:rPr>
          <w:rFonts w:cs="Arial"/>
          <w:b/>
          <w:bCs/>
          <w:lang w:val="es-ES"/>
        </w:rPr>
        <w:t>Endeudamiento Sostenible</w:t>
      </w:r>
      <w:r>
        <w:rPr>
          <w:rFonts w:cs="Arial"/>
          <w:lang w:val="es-ES"/>
        </w:rPr>
        <w:t>.</w:t>
      </w:r>
    </w:p>
    <w:p w14:paraId="3F352F50" w14:textId="77777777" w:rsidR="00BF5974" w:rsidRDefault="00BF5974" w:rsidP="00BF5974">
      <w:pPr>
        <w:rPr>
          <w:rFonts w:cs="Arial"/>
          <w:lang w:val="es-ES"/>
        </w:rPr>
      </w:pPr>
    </w:p>
    <w:p w14:paraId="7664E22E" w14:textId="06C7B479" w:rsidR="00BF5974" w:rsidRDefault="00BF5974" w:rsidP="00BF5974">
      <w:pPr>
        <w:rPr>
          <w:rFonts w:cs="Arial"/>
        </w:rPr>
      </w:pPr>
      <w:r>
        <w:rPr>
          <w:rFonts w:cs="Arial"/>
          <w:lang w:val="es-ES"/>
        </w:rPr>
        <w:lastRenderedPageBreak/>
        <w:t xml:space="preserve">En ese sentido, se determina que para el Ejercicio Fiscal 2025, el </w:t>
      </w:r>
      <w:r>
        <w:rPr>
          <w:rFonts w:cs="Arial"/>
          <w:b/>
          <w:bCs/>
          <w:lang w:val="es-ES"/>
        </w:rPr>
        <w:t>Techo de Financiamiento Neto</w:t>
      </w:r>
      <w:r>
        <w:rPr>
          <w:rFonts w:cs="Arial"/>
          <w:lang w:val="es-ES"/>
        </w:rPr>
        <w:t xml:space="preserve"> del Estado de Colima será de </w:t>
      </w:r>
      <w:r>
        <w:rPr>
          <w:rFonts w:cs="Arial"/>
        </w:rPr>
        <w:t xml:space="preserve">el equivalente al </w:t>
      </w:r>
      <w:r>
        <w:rPr>
          <w:rFonts w:cs="Arial"/>
          <w:b/>
          <w:bCs/>
        </w:rPr>
        <w:t>15 por ciento</w:t>
      </w:r>
      <w:r>
        <w:rPr>
          <w:rFonts w:cs="Arial"/>
        </w:rPr>
        <w:t xml:space="preserve"> de los Ingresos de Libre Disposición: </w:t>
      </w:r>
      <w:r w:rsidR="00A12DCC" w:rsidRPr="00A12DCC">
        <w:rPr>
          <w:rFonts w:cs="Arial"/>
          <w:b/>
          <w:bCs/>
        </w:rPr>
        <w:t>1,273,765,344</w:t>
      </w:r>
      <w:r w:rsidR="00A12DCC">
        <w:rPr>
          <w:rFonts w:cs="Arial"/>
          <w:b/>
          <w:bCs/>
        </w:rPr>
        <w:t xml:space="preserve"> </w:t>
      </w:r>
      <w:r>
        <w:rPr>
          <w:rFonts w:cs="Arial"/>
        </w:rPr>
        <w:t>pesos.</w:t>
      </w:r>
    </w:p>
    <w:p w14:paraId="73C42394" w14:textId="77777777" w:rsidR="00BF5974" w:rsidRDefault="00BF5974" w:rsidP="00BF5974">
      <w:pPr>
        <w:jc w:val="center"/>
        <w:rPr>
          <w:rFonts w:eastAsia="Times New Roman" w:cs="Arial"/>
          <w:b/>
          <w:lang w:val="es-ES"/>
        </w:rPr>
      </w:pPr>
      <w:bookmarkStart w:id="220" w:name="_Toc22021962"/>
      <w:bookmarkStart w:id="221" w:name="_Toc22983215"/>
      <w:bookmarkEnd w:id="190"/>
      <w:bookmarkEnd w:id="191"/>
    </w:p>
    <w:p w14:paraId="4695E019" w14:textId="77777777" w:rsidR="00BF5974" w:rsidRDefault="00BF5974" w:rsidP="00BF5974">
      <w:pPr>
        <w:jc w:val="center"/>
        <w:rPr>
          <w:rFonts w:eastAsia="Times New Roman" w:cs="Arial"/>
          <w:b/>
          <w:lang w:val="es-ES"/>
        </w:rPr>
      </w:pPr>
      <w:r>
        <w:rPr>
          <w:rFonts w:eastAsia="Times New Roman" w:cs="Arial"/>
          <w:b/>
          <w:lang w:val="es-ES"/>
        </w:rPr>
        <w:t>CAPÍTULO XI</w:t>
      </w:r>
      <w:bookmarkEnd w:id="220"/>
      <w:bookmarkEnd w:id="221"/>
      <w:r>
        <w:rPr>
          <w:rFonts w:eastAsia="Times New Roman" w:cs="Arial"/>
          <w:b/>
          <w:lang w:val="es-ES"/>
        </w:rPr>
        <w:t>I</w:t>
      </w:r>
    </w:p>
    <w:p w14:paraId="7EC2F851" w14:textId="77777777" w:rsidR="00BF5974" w:rsidRDefault="00BF5974" w:rsidP="00BF5974">
      <w:pPr>
        <w:keepNext/>
        <w:keepLines/>
        <w:jc w:val="center"/>
        <w:outlineLvl w:val="0"/>
        <w:rPr>
          <w:rFonts w:eastAsia="Times New Roman" w:cs="Arial"/>
          <w:b/>
          <w:szCs w:val="32"/>
          <w:lang w:val="es-ES"/>
        </w:rPr>
      </w:pPr>
      <w:bookmarkStart w:id="222" w:name="_Toc22021963"/>
      <w:bookmarkStart w:id="223" w:name="_Toc22983216"/>
      <w:r>
        <w:rPr>
          <w:rFonts w:eastAsia="Times New Roman" w:cs="Arial"/>
          <w:b/>
          <w:szCs w:val="32"/>
          <w:lang w:val="es-ES"/>
        </w:rPr>
        <w:t>DE LOS SUBSIDIOS</w:t>
      </w:r>
      <w:bookmarkEnd w:id="222"/>
      <w:bookmarkEnd w:id="223"/>
    </w:p>
    <w:p w14:paraId="18BD4872" w14:textId="77777777" w:rsidR="00BF5974" w:rsidRDefault="00BF5974" w:rsidP="00BF5974">
      <w:pPr>
        <w:rPr>
          <w:rFonts w:cs="Arial"/>
          <w:b/>
          <w:lang w:val="es-ES"/>
        </w:rPr>
      </w:pPr>
    </w:p>
    <w:p w14:paraId="3090EB32" w14:textId="77777777" w:rsidR="00BF5974" w:rsidRDefault="00BF5974" w:rsidP="00BF5974">
      <w:pPr>
        <w:rPr>
          <w:rFonts w:cs="Arial"/>
          <w:lang w:val="es-ES"/>
        </w:rPr>
      </w:pPr>
      <w:r>
        <w:rPr>
          <w:rFonts w:cs="Arial"/>
          <w:b/>
          <w:lang w:val="es-ES"/>
        </w:rPr>
        <w:t>Artículo 53</w:t>
      </w:r>
      <w:r>
        <w:rPr>
          <w:rFonts w:cs="Arial"/>
          <w:lang w:val="es-ES"/>
        </w:rPr>
        <w:t>. La persona Titular del Poder Ejecutivo, por conducto de la Secretaría, autorizará la ministración, reducción, suspensión y en su caso, terminación de las transferencias y subsidios que se prevén en el presente Decreto.</w:t>
      </w:r>
    </w:p>
    <w:p w14:paraId="429BB654" w14:textId="77777777" w:rsidR="00BF5974" w:rsidRDefault="00BF5974" w:rsidP="00BF5974">
      <w:pPr>
        <w:rPr>
          <w:rFonts w:cs="Arial"/>
          <w:lang w:val="es-ES"/>
        </w:rPr>
      </w:pPr>
    </w:p>
    <w:p w14:paraId="6AAE9432" w14:textId="77777777" w:rsidR="00BF5974" w:rsidRDefault="00BF5974" w:rsidP="00BF5974">
      <w:pPr>
        <w:rPr>
          <w:rFonts w:cs="Arial"/>
          <w:lang w:val="es-ES"/>
        </w:rPr>
      </w:pPr>
      <w:r>
        <w:rPr>
          <w:rFonts w:cs="Arial"/>
          <w:b/>
          <w:lang w:val="es-ES"/>
        </w:rPr>
        <w:t>Artículo 54</w:t>
      </w:r>
      <w:r>
        <w:rPr>
          <w:rFonts w:cs="Arial"/>
          <w:lang w:val="es-ES"/>
        </w:rPr>
        <w:t xml:space="preserve">. </w:t>
      </w:r>
      <w:r>
        <w:rPr>
          <w:rFonts w:eastAsia="Times New Roman" w:cs="Arial"/>
        </w:rPr>
        <w:t>Las personas titulares de la Administración Pública Centralizada</w:t>
      </w:r>
      <w:r>
        <w:rPr>
          <w:rFonts w:cs="Arial"/>
          <w:lang w:val="es-ES"/>
        </w:rPr>
        <w:t xml:space="preserve">, </w:t>
      </w:r>
      <w:r>
        <w:rPr>
          <w:rFonts w:eastAsia="Times New Roman" w:cs="Arial"/>
        </w:rPr>
        <w:t>de la Administración Pública Paraestatal</w:t>
      </w:r>
      <w:r>
        <w:rPr>
          <w:rFonts w:cs="Arial"/>
          <w:lang w:val="es-ES"/>
        </w:rPr>
        <w:t xml:space="preserve"> y </w:t>
      </w:r>
      <w:r>
        <w:rPr>
          <w:rFonts w:eastAsia="Times New Roman" w:cs="Arial"/>
        </w:rPr>
        <w:t>Órganos Autónomos del Estado</w:t>
      </w:r>
      <w:r>
        <w:rPr>
          <w:rFonts w:cs="Arial"/>
          <w:lang w:val="es-ES"/>
        </w:rPr>
        <w:t xml:space="preserve"> a los que se autorice la asignación de transferencias y subsidios con cargo al Presupuesto, serán responsables de su correcta aplicación conforme a lo establecido en este Presupuesto y las demás disposiciones aplicables.</w:t>
      </w:r>
    </w:p>
    <w:p w14:paraId="467840A5" w14:textId="77777777" w:rsidR="00BF5974" w:rsidRDefault="00BF5974" w:rsidP="00BF5974">
      <w:pPr>
        <w:rPr>
          <w:rFonts w:cs="Arial"/>
          <w:lang w:val="es-ES"/>
        </w:rPr>
      </w:pPr>
    </w:p>
    <w:p w14:paraId="0E54C4CC" w14:textId="77777777" w:rsidR="00BF5974" w:rsidRDefault="00BF5974" w:rsidP="00BF5974">
      <w:pPr>
        <w:rPr>
          <w:rFonts w:cs="Arial"/>
          <w:lang w:val="es-ES"/>
        </w:rPr>
      </w:pPr>
      <w:r>
        <w:rPr>
          <w:rFonts w:cs="Arial"/>
          <w:b/>
          <w:lang w:val="es-ES"/>
        </w:rPr>
        <w:t>Artículo 55</w:t>
      </w:r>
      <w:r>
        <w:rPr>
          <w:rFonts w:cs="Arial"/>
          <w:lang w:val="es-ES"/>
        </w:rPr>
        <w:t xml:space="preserve">. La Secretaría podrá emitir, durante el Ejercicio Fiscal, disposiciones sobre la operación, evaluación y ejercicio del gasto relacionado con el otorgamiento y aplicación de las transferencias y subsidios, así como de las economías presupuestarias. </w:t>
      </w:r>
    </w:p>
    <w:p w14:paraId="650E8B31" w14:textId="77777777" w:rsidR="00BF5974" w:rsidRDefault="00BF5974" w:rsidP="00BF5974">
      <w:pPr>
        <w:rPr>
          <w:rFonts w:cs="Arial"/>
          <w:lang w:val="es-ES"/>
        </w:rPr>
      </w:pPr>
    </w:p>
    <w:p w14:paraId="79FEC2C5" w14:textId="77777777" w:rsidR="00BF5974" w:rsidRDefault="00BF5974" w:rsidP="00BF5974">
      <w:pPr>
        <w:rPr>
          <w:rFonts w:cs="Arial"/>
          <w:lang w:val="es-ES"/>
        </w:rPr>
      </w:pPr>
      <w:r>
        <w:rPr>
          <w:rFonts w:cs="Arial"/>
          <w:b/>
          <w:lang w:val="es-ES"/>
        </w:rPr>
        <w:t>Artículo 56</w:t>
      </w:r>
      <w:r>
        <w:rPr>
          <w:rFonts w:cs="Arial"/>
          <w:lang w:val="es-ES"/>
        </w:rPr>
        <w:t>. Las erogaciones por concepto de transferencias y subsidios con cargo al Presupuesto, se sujetarán a los objetivos y las metas de los Programas Presupuestarios que realizan los Entes Públicos y a las necesidades de planeación y administración financiera del Gobierno del Estado, apegándose además a los siguientes criterios:</w:t>
      </w:r>
    </w:p>
    <w:p w14:paraId="3D82F5F4" w14:textId="77777777" w:rsidR="00BF5974" w:rsidRDefault="00BF5974" w:rsidP="00BF5974">
      <w:pPr>
        <w:rPr>
          <w:rFonts w:cs="Arial"/>
          <w:lang w:val="es-ES"/>
        </w:rPr>
      </w:pPr>
    </w:p>
    <w:p w14:paraId="64226B2E" w14:textId="77777777" w:rsidR="00BF5974" w:rsidRDefault="00BF5974" w:rsidP="00BF5974">
      <w:pPr>
        <w:numPr>
          <w:ilvl w:val="0"/>
          <w:numId w:val="6"/>
        </w:numPr>
        <w:ind w:hanging="720"/>
        <w:contextualSpacing/>
        <w:rPr>
          <w:rFonts w:eastAsia="Times New Roman" w:cs="Arial"/>
        </w:rPr>
      </w:pPr>
      <w:r>
        <w:rPr>
          <w:rFonts w:eastAsia="Times New Roman" w:cs="Arial"/>
        </w:rPr>
        <w:t>Se requerirá la autorización previa y por escrito de la Secretaría para otorgar transferencias que pretendan destinarse a inversiones financieras; y</w:t>
      </w:r>
    </w:p>
    <w:p w14:paraId="17769FE0" w14:textId="77777777" w:rsidR="00BF5974" w:rsidRDefault="00BF5974" w:rsidP="00BF5974">
      <w:pPr>
        <w:numPr>
          <w:ilvl w:val="0"/>
          <w:numId w:val="6"/>
        </w:numPr>
        <w:ind w:hanging="720"/>
        <w:contextualSpacing/>
        <w:rPr>
          <w:rFonts w:eastAsia="Times New Roman" w:cs="Arial"/>
        </w:rPr>
      </w:pPr>
      <w:r>
        <w:rPr>
          <w:rFonts w:eastAsia="Times New Roman" w:cs="Arial"/>
        </w:rPr>
        <w:t>Se considerarán preferenciales las transferencias destinadas a las Dependencias de la Administración Pública Centralizada y Entidades de la Administración Pública Paraestatal cuya función esté orientada a: la prestación de servicios educativos, al desarrollo social y a la formación de capital en las ramas y sectores básicos de la economía, la promoción del desarrollo de la ciencia y la tecnología, y a la seguridad pública.</w:t>
      </w:r>
    </w:p>
    <w:p w14:paraId="3CE017E3" w14:textId="77777777" w:rsidR="00BF5974" w:rsidRDefault="00BF5974" w:rsidP="00BF5974">
      <w:pPr>
        <w:rPr>
          <w:rFonts w:cs="Arial"/>
          <w:lang w:val="es-ES"/>
        </w:rPr>
      </w:pPr>
    </w:p>
    <w:p w14:paraId="7C012C30" w14:textId="77777777" w:rsidR="00BF5974" w:rsidRDefault="00BF5974" w:rsidP="00BF5974">
      <w:pPr>
        <w:rPr>
          <w:rFonts w:cs="Arial"/>
          <w:lang w:val="es-ES"/>
        </w:rPr>
      </w:pPr>
      <w:r>
        <w:rPr>
          <w:rFonts w:cs="Arial"/>
          <w:b/>
          <w:lang w:val="es-ES"/>
        </w:rPr>
        <w:t>Artículo 57</w:t>
      </w:r>
      <w:r>
        <w:rPr>
          <w:rFonts w:cs="Arial"/>
          <w:lang w:val="es-ES"/>
        </w:rPr>
        <w:t>. La Secretaría podrá reducir, suspender o terminar las Transferencias, Asignaciones, Subsidios y Otras Ayudas cuando:</w:t>
      </w:r>
    </w:p>
    <w:p w14:paraId="54092DA4" w14:textId="77777777" w:rsidR="00BF5974" w:rsidRDefault="00BF5974" w:rsidP="00BF5974">
      <w:pPr>
        <w:rPr>
          <w:rFonts w:cs="Arial"/>
          <w:lang w:val="es-ES"/>
        </w:rPr>
      </w:pPr>
    </w:p>
    <w:p w14:paraId="7F28BE52" w14:textId="77777777" w:rsidR="00BF5974" w:rsidRDefault="00BF5974" w:rsidP="00BF5974">
      <w:pPr>
        <w:numPr>
          <w:ilvl w:val="0"/>
          <w:numId w:val="3"/>
        </w:numPr>
        <w:ind w:hanging="720"/>
        <w:contextualSpacing/>
        <w:rPr>
          <w:rFonts w:eastAsia="Times New Roman" w:cs="Arial"/>
        </w:rPr>
      </w:pPr>
      <w:r>
        <w:rPr>
          <w:rFonts w:eastAsia="Times New Roman" w:cs="Arial"/>
        </w:rPr>
        <w:t>La Administración Pública Centralizada y la Administración Pública Paraestatal, a las que se les otorguen cuenten con autosuficiencia financiera;</w:t>
      </w:r>
    </w:p>
    <w:p w14:paraId="591A5682" w14:textId="77777777" w:rsidR="00BF5974" w:rsidRDefault="00BF5974" w:rsidP="00BF5974">
      <w:pPr>
        <w:numPr>
          <w:ilvl w:val="0"/>
          <w:numId w:val="3"/>
        </w:numPr>
        <w:ind w:hanging="720"/>
        <w:contextualSpacing/>
        <w:rPr>
          <w:rFonts w:eastAsia="Times New Roman" w:cs="Arial"/>
        </w:rPr>
      </w:pPr>
      <w:r>
        <w:rPr>
          <w:rFonts w:eastAsia="Times New Roman" w:cs="Arial"/>
        </w:rPr>
        <w:t xml:space="preserve">Las </w:t>
      </w:r>
      <w:r>
        <w:rPr>
          <w:rFonts w:cs="Arial"/>
          <w:lang w:val="es-ES"/>
        </w:rPr>
        <w:t xml:space="preserve">Transferencias, Asignaciones, Subsidios y Otras Ayudas </w:t>
      </w:r>
      <w:r>
        <w:rPr>
          <w:rFonts w:eastAsia="Times New Roman" w:cs="Arial"/>
        </w:rPr>
        <w:t>ya no cumplan con el objetivo de su otorgamiento;</w:t>
      </w:r>
    </w:p>
    <w:p w14:paraId="6275A9D8" w14:textId="77777777" w:rsidR="00BF5974" w:rsidRDefault="00BF5974" w:rsidP="00BF5974">
      <w:pPr>
        <w:numPr>
          <w:ilvl w:val="0"/>
          <w:numId w:val="3"/>
        </w:numPr>
        <w:ind w:hanging="720"/>
        <w:contextualSpacing/>
        <w:rPr>
          <w:rFonts w:eastAsia="Times New Roman" w:cs="Arial"/>
        </w:rPr>
      </w:pPr>
      <w:r>
        <w:rPr>
          <w:rFonts w:eastAsia="Times New Roman" w:cs="Arial"/>
        </w:rPr>
        <w:lastRenderedPageBreak/>
        <w:t>La Administración Pública Centralizada y la Administración Pública Paraestatal no remitan la información referente a la aplicación de estas transferencias; y</w:t>
      </w:r>
    </w:p>
    <w:p w14:paraId="57019D88" w14:textId="77777777" w:rsidR="00BF5974" w:rsidRDefault="00BF5974" w:rsidP="00BF5974">
      <w:pPr>
        <w:numPr>
          <w:ilvl w:val="0"/>
          <w:numId w:val="3"/>
        </w:numPr>
        <w:ind w:hanging="720"/>
        <w:contextualSpacing/>
        <w:rPr>
          <w:rFonts w:eastAsia="Times New Roman" w:cs="Arial"/>
        </w:rPr>
      </w:pPr>
      <w:r>
        <w:rPr>
          <w:rFonts w:eastAsia="Times New Roman" w:cs="Arial"/>
        </w:rPr>
        <w:t>No existan las condiciones presupuestales y financieras para seguir otorgándolas.</w:t>
      </w:r>
    </w:p>
    <w:p w14:paraId="740550FB" w14:textId="77777777" w:rsidR="00BF5974" w:rsidRDefault="00BF5974" w:rsidP="00BF5974">
      <w:pPr>
        <w:rPr>
          <w:rFonts w:cs="Arial"/>
          <w:lang w:val="es-ES"/>
        </w:rPr>
      </w:pPr>
    </w:p>
    <w:p w14:paraId="0B00A094" w14:textId="77777777" w:rsidR="00BF5974" w:rsidRDefault="00BF5974" w:rsidP="00BF5974">
      <w:pPr>
        <w:rPr>
          <w:rFonts w:cs="Arial"/>
          <w:lang w:val="es-ES"/>
        </w:rPr>
      </w:pPr>
      <w:r>
        <w:rPr>
          <w:rFonts w:cs="Arial"/>
          <w:b/>
          <w:lang w:val="es-ES"/>
        </w:rPr>
        <w:t>Artículo 58</w:t>
      </w:r>
      <w:r>
        <w:rPr>
          <w:rFonts w:cs="Arial"/>
          <w:lang w:val="es-ES"/>
        </w:rPr>
        <w:t xml:space="preserve">. Para el Ejercicio Fiscal 2025, se destinan recursos para subsidiar el Impuesto sobre Tenencia o Uso de Vehículos, por un monto de </w:t>
      </w:r>
      <w:r>
        <w:rPr>
          <w:rFonts w:cs="Arial"/>
          <w:b/>
          <w:bCs/>
          <w:lang w:val="es-ES"/>
        </w:rPr>
        <w:t xml:space="preserve">422,597,834 </w:t>
      </w:r>
      <w:r>
        <w:rPr>
          <w:rFonts w:cs="Arial"/>
          <w:lang w:val="es-ES"/>
        </w:rPr>
        <w:t xml:space="preserve">pesos. </w:t>
      </w:r>
    </w:p>
    <w:p w14:paraId="321CF6C1" w14:textId="77777777" w:rsidR="00BF5974" w:rsidRDefault="00BF5974" w:rsidP="00BF5974">
      <w:pPr>
        <w:rPr>
          <w:rFonts w:cs="Arial"/>
          <w:lang w:val="es-ES"/>
        </w:rPr>
      </w:pPr>
    </w:p>
    <w:p w14:paraId="1C330B4E" w14:textId="77777777" w:rsidR="00BF5974" w:rsidRDefault="00BF5974" w:rsidP="00BF5974">
      <w:pPr>
        <w:rPr>
          <w:rFonts w:cs="Arial"/>
          <w:lang w:val="es-ES"/>
        </w:rPr>
      </w:pPr>
      <w:r>
        <w:rPr>
          <w:rFonts w:cs="Arial"/>
          <w:lang w:val="es-ES"/>
        </w:rPr>
        <w:t>Para tener derecho al Subsidio a la Tenencia se estará a lo señalado en la Ley de Ingresos del Estado de Colima para el Ejercicio Fiscal 2025, y a lo señalado en el artículo 57 del presente Decreto.</w:t>
      </w:r>
    </w:p>
    <w:p w14:paraId="6D4563DC" w14:textId="77777777" w:rsidR="00BF5974" w:rsidRDefault="00BF5974" w:rsidP="00BF5974">
      <w:pPr>
        <w:spacing w:after="160" w:line="256" w:lineRule="auto"/>
        <w:jc w:val="left"/>
        <w:rPr>
          <w:rFonts w:cs="Arial"/>
          <w:b/>
          <w:lang w:val="es-ES"/>
        </w:rPr>
      </w:pPr>
    </w:p>
    <w:p w14:paraId="1A14D56D" w14:textId="77777777" w:rsidR="00BF5974" w:rsidRDefault="00BF5974" w:rsidP="00BF5974">
      <w:pPr>
        <w:jc w:val="center"/>
        <w:rPr>
          <w:rFonts w:cs="Arial"/>
          <w:b/>
          <w:lang w:val="es-ES"/>
        </w:rPr>
      </w:pPr>
      <w:r>
        <w:rPr>
          <w:rFonts w:cs="Arial"/>
          <w:b/>
          <w:lang w:val="es-ES"/>
        </w:rPr>
        <w:t>TÍTULO SEGUNDO</w:t>
      </w:r>
    </w:p>
    <w:p w14:paraId="2C4C7CA8" w14:textId="77777777" w:rsidR="00BF5974" w:rsidRDefault="00BF5974" w:rsidP="00BF5974">
      <w:pPr>
        <w:jc w:val="center"/>
        <w:rPr>
          <w:rFonts w:cs="Arial"/>
          <w:b/>
          <w:lang w:val="es-ES"/>
        </w:rPr>
      </w:pPr>
      <w:r>
        <w:rPr>
          <w:rFonts w:cs="Arial"/>
          <w:b/>
          <w:lang w:val="es-ES"/>
        </w:rPr>
        <w:t xml:space="preserve">DE LOS RECURSOS FEDERALES </w:t>
      </w:r>
    </w:p>
    <w:p w14:paraId="5F8771AD" w14:textId="77777777" w:rsidR="00BF5974" w:rsidRDefault="00BF5974" w:rsidP="00BF5974">
      <w:pPr>
        <w:jc w:val="center"/>
        <w:rPr>
          <w:rFonts w:eastAsia="Times New Roman" w:cs="Arial"/>
          <w:b/>
          <w:lang w:val="es-ES"/>
        </w:rPr>
      </w:pPr>
      <w:bookmarkStart w:id="224" w:name="_Toc22021969"/>
      <w:bookmarkStart w:id="225" w:name="_Toc22983222"/>
      <w:r>
        <w:rPr>
          <w:rFonts w:eastAsia="Times New Roman" w:cs="Arial"/>
          <w:b/>
          <w:lang w:val="es-ES"/>
        </w:rPr>
        <w:t xml:space="preserve">CAPÍTULO </w:t>
      </w:r>
      <w:bookmarkEnd w:id="224"/>
      <w:bookmarkEnd w:id="225"/>
      <w:r>
        <w:rPr>
          <w:rFonts w:eastAsia="Times New Roman" w:cs="Arial"/>
          <w:b/>
          <w:lang w:val="es-ES"/>
        </w:rPr>
        <w:t>I</w:t>
      </w:r>
    </w:p>
    <w:p w14:paraId="6A20D841" w14:textId="77777777" w:rsidR="00BF5974" w:rsidRDefault="00BF5974" w:rsidP="00BF5974">
      <w:pPr>
        <w:keepNext/>
        <w:keepLines/>
        <w:jc w:val="center"/>
        <w:outlineLvl w:val="0"/>
        <w:rPr>
          <w:rFonts w:eastAsia="Times New Roman" w:cs="Arial"/>
          <w:b/>
          <w:szCs w:val="32"/>
          <w:lang w:val="es-ES"/>
        </w:rPr>
      </w:pPr>
      <w:bookmarkStart w:id="226" w:name="_Toc22021970"/>
      <w:bookmarkStart w:id="227" w:name="_Toc22983223"/>
      <w:r>
        <w:rPr>
          <w:rFonts w:eastAsia="Times New Roman" w:cs="Arial"/>
          <w:b/>
          <w:szCs w:val="32"/>
          <w:lang w:val="es-ES"/>
        </w:rPr>
        <w:t>DE LOS RECURSOS FEDERALES TRANSFERIDOS AL ESTADO</w:t>
      </w:r>
      <w:bookmarkEnd w:id="226"/>
      <w:bookmarkEnd w:id="227"/>
    </w:p>
    <w:p w14:paraId="091530B9" w14:textId="77777777" w:rsidR="00BF5974" w:rsidRDefault="00BF5974" w:rsidP="00BF5974">
      <w:pPr>
        <w:jc w:val="left"/>
        <w:rPr>
          <w:rFonts w:eastAsia="Times New Roman" w:cs="Arial"/>
          <w:lang w:val="es-ES" w:eastAsia="es-ES"/>
        </w:rPr>
      </w:pPr>
    </w:p>
    <w:p w14:paraId="0CFAED65" w14:textId="77777777" w:rsidR="00BF5974" w:rsidRDefault="00BF5974" w:rsidP="00BF5974">
      <w:pPr>
        <w:shd w:val="clear" w:color="auto" w:fill="FFFFFF"/>
        <w:rPr>
          <w:rFonts w:cs="Arial"/>
          <w:lang w:val="es-ES"/>
        </w:rPr>
      </w:pPr>
      <w:r>
        <w:rPr>
          <w:rFonts w:eastAsia="Times New Roman" w:cs="Arial"/>
          <w:b/>
          <w:lang w:val="es-ES" w:eastAsia="es-ES"/>
        </w:rPr>
        <w:t xml:space="preserve">Artículo 59. </w:t>
      </w:r>
      <w:r>
        <w:rPr>
          <w:rFonts w:cs="Arial"/>
          <w:lang w:val="es-ES"/>
        </w:rPr>
        <w:t>Las ministraciones de recursos federales transferidos a que se refiere este artículo, se realizarán de conformidad a los calendarios de gasto correspondientes.</w:t>
      </w:r>
    </w:p>
    <w:p w14:paraId="1171FA69" w14:textId="77777777" w:rsidR="00BF5974" w:rsidRDefault="00BF5974" w:rsidP="00BF5974">
      <w:pPr>
        <w:rPr>
          <w:rFonts w:cs="Arial"/>
          <w:lang w:val="es-ES"/>
        </w:rPr>
      </w:pPr>
    </w:p>
    <w:p w14:paraId="5CA042E5" w14:textId="77777777" w:rsidR="00BF5974" w:rsidRDefault="00BF5974" w:rsidP="00BF5974">
      <w:pPr>
        <w:shd w:val="clear" w:color="auto" w:fill="FFFFFF"/>
        <w:rPr>
          <w:rFonts w:eastAsia="Times New Roman" w:cs="Arial"/>
          <w:lang w:val="es-ES" w:eastAsia="es-ES"/>
        </w:rPr>
      </w:pPr>
      <w:r>
        <w:rPr>
          <w:rFonts w:eastAsia="Times New Roman" w:cs="Arial"/>
          <w:lang w:val="es-ES" w:eastAsia="es-ES"/>
        </w:rPr>
        <w:t>Las Participaciones, Aportaciones, Incentivos Derivados de la Colaboración Fiscal, Fondos Distintos de Aportaciones, Convenios y los Subsidios Federales, se percibirán con base a las Leyes, Decretos, Acuerdos y Convenios que los establecen, así como en lo sucesivo se expidieren.</w:t>
      </w:r>
    </w:p>
    <w:p w14:paraId="0B33203D" w14:textId="77777777" w:rsidR="00BF5974" w:rsidRDefault="00BF5974" w:rsidP="00BF5974">
      <w:pPr>
        <w:shd w:val="clear" w:color="auto" w:fill="FFFFFF"/>
        <w:rPr>
          <w:rFonts w:eastAsia="Times New Roman" w:cs="Arial"/>
          <w:lang w:val="es-ES" w:eastAsia="es-ES"/>
        </w:rPr>
      </w:pPr>
    </w:p>
    <w:p w14:paraId="43687DDB" w14:textId="77777777" w:rsidR="00BF5974" w:rsidRDefault="00BF5974" w:rsidP="00BF5974">
      <w:pPr>
        <w:rPr>
          <w:rFonts w:cs="Arial"/>
          <w:lang w:val="es-ES"/>
        </w:rPr>
      </w:pPr>
      <w:r>
        <w:rPr>
          <w:rFonts w:cs="Arial"/>
          <w:b/>
          <w:lang w:val="es-ES"/>
        </w:rPr>
        <w:t>Artículo 60</w:t>
      </w:r>
      <w:r>
        <w:rPr>
          <w:rFonts w:cs="Arial"/>
          <w:lang w:val="es-ES"/>
        </w:rPr>
        <w:t>. L</w:t>
      </w:r>
      <w:r>
        <w:rPr>
          <w:rFonts w:eastAsia="Times New Roman" w:cs="Arial"/>
        </w:rPr>
        <w:t>a Administración Pública Centralizada</w:t>
      </w:r>
      <w:r>
        <w:rPr>
          <w:rFonts w:cs="Arial"/>
          <w:lang w:val="es-ES"/>
        </w:rPr>
        <w:t xml:space="preserve">, </w:t>
      </w:r>
      <w:r>
        <w:rPr>
          <w:rFonts w:eastAsia="Times New Roman" w:cs="Arial"/>
        </w:rPr>
        <w:t>la Administración Pública Paraestatal</w:t>
      </w:r>
      <w:r>
        <w:rPr>
          <w:rFonts w:cs="Arial"/>
          <w:lang w:val="es-ES"/>
        </w:rPr>
        <w:t xml:space="preserve"> y </w:t>
      </w:r>
      <w:r>
        <w:rPr>
          <w:rFonts w:eastAsia="Times New Roman" w:cs="Arial"/>
        </w:rPr>
        <w:t>Órganos Autónomos del Estado</w:t>
      </w:r>
      <w:r>
        <w:rPr>
          <w:rFonts w:cs="Arial"/>
          <w:lang w:val="es-ES"/>
        </w:rPr>
        <w:t>, en el ejercicio de los recursos que les sean transferidos a través del Ramo 33 Aportaciones Federales para Entidades Federativas y Municipios, se sujetarán a las disposiciones aplicables en materia de información, rendición de cuentas, transparencia y evaluación establecidas en los artículos 134 de la Constitución Política de los Estados Unidos Mexicanos; 48 y 49, fracción V, de la Ley de Coordinación Fiscal, 85 y 110 de la Ley Federal de Presupuesto y Responsabilidad Hacendaria, el Acuerdo Nacional para la Modernización de la Educación Básica y Normal, y el Acuerdo Nacional para la Descentralización de los Servicios de Salud.</w:t>
      </w:r>
    </w:p>
    <w:p w14:paraId="1AB10F28" w14:textId="77777777" w:rsidR="00BF5974" w:rsidRDefault="00BF5974" w:rsidP="00BF5974">
      <w:pPr>
        <w:rPr>
          <w:rFonts w:cs="Arial"/>
          <w:lang w:val="es-ES"/>
        </w:rPr>
      </w:pPr>
    </w:p>
    <w:p w14:paraId="159F27C8" w14:textId="77777777" w:rsidR="00BF5974" w:rsidRDefault="00BF5974" w:rsidP="00BF5974">
      <w:pPr>
        <w:rPr>
          <w:rFonts w:cs="Arial"/>
          <w:lang w:val="es-ES"/>
        </w:rPr>
      </w:pPr>
      <w:r>
        <w:rPr>
          <w:rFonts w:cs="Arial"/>
          <w:b/>
          <w:lang w:val="es-ES"/>
        </w:rPr>
        <w:t xml:space="preserve">Artículo 61. </w:t>
      </w:r>
      <w:r>
        <w:rPr>
          <w:rFonts w:cs="Arial"/>
          <w:lang w:val="es-ES"/>
        </w:rPr>
        <w:t>Las Transferencias Federales Etiquetadas que, al 31 de diciembre del Ejercicio Fiscal inmediato anterior, no hayan sido devengadas, se deberá de reintegrar a la Tesorería de la Federación, a más tardar el 15 de enero de cada año, los reintegros deberán incluir los rendimientos financieros.</w:t>
      </w:r>
    </w:p>
    <w:p w14:paraId="15C5EA9E" w14:textId="77777777" w:rsidR="00BF5974" w:rsidRDefault="00BF5974" w:rsidP="00BF5974">
      <w:pPr>
        <w:rPr>
          <w:rFonts w:cs="Arial"/>
          <w:lang w:val="es-ES"/>
        </w:rPr>
      </w:pPr>
    </w:p>
    <w:p w14:paraId="64C66366" w14:textId="77777777" w:rsidR="00BF5974" w:rsidRDefault="00BF5974" w:rsidP="00BF5974">
      <w:pPr>
        <w:rPr>
          <w:rFonts w:cs="Arial"/>
          <w:b/>
          <w:lang w:val="es-ES"/>
        </w:rPr>
      </w:pPr>
      <w:r>
        <w:rPr>
          <w:rFonts w:cs="Arial"/>
          <w:lang w:val="es-ES"/>
        </w:rPr>
        <w:t xml:space="preserve">En el caso que se incumpla con esta disposición, y se generen intereses o cargas financieras por la extemporaneidad de no solicitar o no realizar a tiempo los reintegros a la Tesorería de la Federación a que haya lugar, en los términos del artículo 2, fracción III, con </w:t>
      </w:r>
      <w:r>
        <w:rPr>
          <w:rFonts w:cs="Arial"/>
          <w:lang w:val="es-ES"/>
        </w:rPr>
        <w:lastRenderedPageBreak/>
        <w:t>relación al artículo 23 del Reglamento de la Ley de la Tesorería de la Federación; dicho monto, en su caso, se realizará con cargo al presupuesto aprobado al Ente Público ejecutor de la Transferencia Federal Etiquetada respectiva.</w:t>
      </w:r>
    </w:p>
    <w:p w14:paraId="29E01C25" w14:textId="77777777" w:rsidR="00BF5974" w:rsidRDefault="00BF5974" w:rsidP="00BF5974">
      <w:pPr>
        <w:rPr>
          <w:rFonts w:cs="Arial"/>
          <w:lang w:val="es-ES"/>
        </w:rPr>
      </w:pPr>
    </w:p>
    <w:p w14:paraId="15A473FD" w14:textId="77777777" w:rsidR="00BF5974" w:rsidRDefault="00BF5974" w:rsidP="00BF5974">
      <w:pPr>
        <w:rPr>
          <w:rFonts w:cs="Arial"/>
          <w:lang w:val="es-ES"/>
        </w:rPr>
      </w:pPr>
      <w:r>
        <w:rPr>
          <w:rFonts w:cs="Arial"/>
          <w:b/>
          <w:lang w:val="es-ES"/>
        </w:rPr>
        <w:t>Artículo 62</w:t>
      </w:r>
      <w:r>
        <w:rPr>
          <w:rFonts w:cs="Arial"/>
          <w:lang w:val="es-ES"/>
        </w:rPr>
        <w:t>. Los recursos provenientes del Ramo 33 Aportaciones Federales para Entidades Federativas y Municipios, según el Presupuesto de Egresos del Estado de Colima para el Ejercicio Fiscal 2025 que ejercerá el Gobierno Estatal se estiman en los siguientes montos:</w:t>
      </w:r>
    </w:p>
    <w:p w14:paraId="61025B65" w14:textId="77777777" w:rsidR="00BF5974" w:rsidRDefault="00BF5974" w:rsidP="00BF5974">
      <w:pPr>
        <w:keepNext/>
        <w:keepLines/>
        <w:outlineLvl w:val="1"/>
        <w:rPr>
          <w:rFonts w:eastAsiaTheme="majorEastAsia" w:cs="Arial"/>
          <w:b/>
          <w:lang w:val="es-ES"/>
        </w:rPr>
      </w:pP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568"/>
        <w:gridCol w:w="5136"/>
        <w:gridCol w:w="1384"/>
        <w:gridCol w:w="1418"/>
      </w:tblGrid>
      <w:tr w:rsidR="00BF5974" w14:paraId="68ADD2B9" w14:textId="77777777" w:rsidTr="00105286">
        <w:trPr>
          <w:trHeight w:val="227"/>
          <w:jc w:val="center"/>
        </w:trPr>
        <w:tc>
          <w:tcPr>
            <w:tcW w:w="8789" w:type="dxa"/>
            <w:gridSpan w:val="5"/>
            <w:tcBorders>
              <w:top w:val="nil"/>
              <w:left w:val="nil"/>
              <w:bottom w:val="single" w:sz="4" w:space="0" w:color="auto"/>
              <w:right w:val="nil"/>
            </w:tcBorders>
            <w:vAlign w:val="center"/>
            <w:hideMark/>
          </w:tcPr>
          <w:p w14:paraId="32790B28" w14:textId="77777777" w:rsidR="00BF5974" w:rsidRDefault="00BF5974">
            <w:pPr>
              <w:spacing w:line="256" w:lineRule="auto"/>
              <w:jc w:val="center"/>
              <w:rPr>
                <w:rFonts w:cs="Arial"/>
                <w:b/>
                <w:sz w:val="20"/>
                <w:szCs w:val="18"/>
                <w:lang w:val="es-ES" w:eastAsia="en-US"/>
              </w:rPr>
            </w:pPr>
            <w:bookmarkStart w:id="228" w:name="_Toc22021971"/>
            <w:bookmarkStart w:id="229" w:name="_Toc526757521"/>
            <w:bookmarkStart w:id="230" w:name="_Toc522869302"/>
            <w:r>
              <w:rPr>
                <w:rFonts w:eastAsia="Times New Roman" w:cs="Arial"/>
                <w:b/>
                <w:sz w:val="20"/>
                <w:szCs w:val="18"/>
                <w:lang w:val="es-ES" w:eastAsia="en-US"/>
              </w:rPr>
              <w:t>Tabla 48. Aportaciones Federales para Entidades Federativas y Municipios</w:t>
            </w:r>
            <w:bookmarkEnd w:id="228"/>
            <w:bookmarkEnd w:id="229"/>
            <w:bookmarkEnd w:id="230"/>
          </w:p>
        </w:tc>
      </w:tr>
      <w:tr w:rsidR="00BF5974" w14:paraId="5CA63BF5" w14:textId="77777777" w:rsidTr="00105286">
        <w:trPr>
          <w:trHeight w:val="227"/>
          <w:jc w:val="center"/>
        </w:trPr>
        <w:tc>
          <w:tcPr>
            <w:tcW w:w="5987" w:type="dxa"/>
            <w:gridSpan w:val="3"/>
            <w:tcBorders>
              <w:top w:val="single" w:sz="4" w:space="0" w:color="auto"/>
              <w:left w:val="single" w:sz="4" w:space="0" w:color="auto"/>
              <w:bottom w:val="single" w:sz="4" w:space="0" w:color="auto"/>
              <w:right w:val="single" w:sz="4" w:space="0" w:color="auto"/>
            </w:tcBorders>
            <w:vAlign w:val="center"/>
            <w:hideMark/>
          </w:tcPr>
          <w:p w14:paraId="6F79F133" w14:textId="77777777" w:rsidR="00BF5974" w:rsidRDefault="00BF5974">
            <w:pPr>
              <w:spacing w:line="256" w:lineRule="auto"/>
              <w:jc w:val="center"/>
              <w:rPr>
                <w:rFonts w:cs="Arial"/>
                <w:b/>
                <w:sz w:val="18"/>
                <w:szCs w:val="18"/>
                <w:lang w:val="es-ES" w:eastAsia="en-US"/>
              </w:rPr>
            </w:pPr>
            <w:r>
              <w:rPr>
                <w:rFonts w:cs="Arial"/>
                <w:b/>
                <w:sz w:val="18"/>
                <w:szCs w:val="18"/>
                <w:lang w:val="es-ES" w:eastAsia="en-US"/>
              </w:rPr>
              <w:t>Partida</w:t>
            </w:r>
          </w:p>
        </w:tc>
        <w:tc>
          <w:tcPr>
            <w:tcW w:w="2802" w:type="dxa"/>
            <w:gridSpan w:val="2"/>
            <w:tcBorders>
              <w:top w:val="single" w:sz="4" w:space="0" w:color="auto"/>
              <w:left w:val="single" w:sz="4" w:space="0" w:color="auto"/>
              <w:bottom w:val="single" w:sz="4" w:space="0" w:color="auto"/>
              <w:right w:val="single" w:sz="4" w:space="0" w:color="auto"/>
            </w:tcBorders>
            <w:vAlign w:val="center"/>
            <w:hideMark/>
          </w:tcPr>
          <w:p w14:paraId="3427243E" w14:textId="77777777" w:rsidR="00BF5974" w:rsidRDefault="00BF5974">
            <w:pPr>
              <w:spacing w:line="256" w:lineRule="auto"/>
              <w:jc w:val="center"/>
              <w:rPr>
                <w:rFonts w:cs="Arial"/>
                <w:b/>
                <w:sz w:val="18"/>
                <w:szCs w:val="18"/>
                <w:lang w:val="es-ES" w:eastAsia="en-US"/>
              </w:rPr>
            </w:pPr>
            <w:r>
              <w:rPr>
                <w:rFonts w:cs="Arial"/>
                <w:b/>
                <w:sz w:val="18"/>
                <w:szCs w:val="18"/>
                <w:lang w:val="es-ES" w:eastAsia="en-US"/>
              </w:rPr>
              <w:t>Asignación Presupuestal</w:t>
            </w:r>
          </w:p>
        </w:tc>
      </w:tr>
      <w:tr w:rsidR="00BF5974" w14:paraId="224B6481"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hideMark/>
          </w:tcPr>
          <w:p w14:paraId="7057133F" w14:textId="77777777" w:rsidR="00BF5974" w:rsidRDefault="00BF5974">
            <w:pPr>
              <w:spacing w:line="256" w:lineRule="auto"/>
              <w:rPr>
                <w:rFonts w:cs="Arial"/>
                <w:b/>
                <w:sz w:val="18"/>
                <w:szCs w:val="18"/>
                <w:lang w:val="es-ES" w:eastAsia="en-US"/>
              </w:rPr>
            </w:pPr>
            <w:r>
              <w:rPr>
                <w:rFonts w:cs="Arial"/>
                <w:b/>
                <w:sz w:val="18"/>
                <w:szCs w:val="18"/>
                <w:lang w:val="es-ES" w:eastAsia="en-US"/>
              </w:rPr>
              <w:t>1</w:t>
            </w:r>
          </w:p>
        </w:tc>
        <w:tc>
          <w:tcPr>
            <w:tcW w:w="5703" w:type="dxa"/>
            <w:gridSpan w:val="2"/>
            <w:tcBorders>
              <w:top w:val="single" w:sz="4" w:space="0" w:color="auto"/>
              <w:left w:val="single" w:sz="4" w:space="0" w:color="auto"/>
              <w:bottom w:val="single" w:sz="4" w:space="0" w:color="auto"/>
              <w:right w:val="single" w:sz="4" w:space="0" w:color="auto"/>
            </w:tcBorders>
            <w:vAlign w:val="center"/>
            <w:hideMark/>
          </w:tcPr>
          <w:p w14:paraId="578A51A5" w14:textId="77777777" w:rsidR="00BF5974" w:rsidRDefault="00BF5974">
            <w:pPr>
              <w:spacing w:line="256" w:lineRule="auto"/>
              <w:rPr>
                <w:rFonts w:cs="Arial"/>
                <w:b/>
                <w:sz w:val="18"/>
                <w:szCs w:val="18"/>
                <w:lang w:val="es-ES" w:eastAsia="en-US"/>
              </w:rPr>
            </w:pPr>
            <w:r>
              <w:rPr>
                <w:rFonts w:cs="Arial"/>
                <w:b/>
                <w:sz w:val="18"/>
                <w:szCs w:val="18"/>
                <w:lang w:val="es-ES" w:eastAsia="en-US"/>
              </w:rPr>
              <w:t>Fondo de Aportaciones para la Nómina Educativa y el Gasto Operativo.</w:t>
            </w:r>
          </w:p>
        </w:tc>
        <w:tc>
          <w:tcPr>
            <w:tcW w:w="1384" w:type="dxa"/>
            <w:tcBorders>
              <w:top w:val="single" w:sz="4" w:space="0" w:color="auto"/>
              <w:left w:val="single" w:sz="4" w:space="0" w:color="auto"/>
              <w:bottom w:val="single" w:sz="4" w:space="0" w:color="auto"/>
              <w:right w:val="single" w:sz="4" w:space="0" w:color="auto"/>
            </w:tcBorders>
            <w:vAlign w:val="center"/>
          </w:tcPr>
          <w:p w14:paraId="706B0739" w14:textId="77777777" w:rsidR="00BF5974" w:rsidRDefault="00BF5974">
            <w:pPr>
              <w:spacing w:line="256" w:lineRule="auto"/>
              <w:jc w:val="right"/>
              <w:rPr>
                <w:rFonts w:cs="Arial"/>
                <w:b/>
                <w:sz w:val="18"/>
                <w:szCs w:val="18"/>
                <w:lang w:val="es-ES"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500FF35" w14:textId="77777777" w:rsidR="00BF5974" w:rsidRDefault="00BF5974">
            <w:pPr>
              <w:spacing w:line="256" w:lineRule="auto"/>
              <w:jc w:val="right"/>
              <w:rPr>
                <w:rFonts w:cs="Arial"/>
                <w:b/>
                <w:bCs/>
                <w:sz w:val="18"/>
                <w:szCs w:val="18"/>
                <w:lang w:val="es-ES" w:eastAsia="en-US"/>
              </w:rPr>
            </w:pPr>
            <w:r>
              <w:rPr>
                <w:rFonts w:cs="Arial"/>
                <w:b/>
                <w:bCs/>
                <w:sz w:val="18"/>
                <w:szCs w:val="18"/>
                <w:lang w:val="es-ES" w:eastAsia="en-US"/>
              </w:rPr>
              <w:t>4,589,706,935</w:t>
            </w:r>
          </w:p>
        </w:tc>
      </w:tr>
      <w:tr w:rsidR="00BF5974" w14:paraId="16BC34D2"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tcPr>
          <w:p w14:paraId="415B70F2" w14:textId="77777777" w:rsidR="00BF5974" w:rsidRDefault="00BF5974">
            <w:pPr>
              <w:spacing w:line="256" w:lineRule="auto"/>
              <w:rPr>
                <w:rFonts w:cs="Arial"/>
                <w:sz w:val="18"/>
                <w:szCs w:val="18"/>
                <w:lang w:val="es-ES" w:eastAsia="en-US"/>
              </w:rPr>
            </w:pPr>
          </w:p>
        </w:tc>
        <w:tc>
          <w:tcPr>
            <w:tcW w:w="568" w:type="dxa"/>
            <w:tcBorders>
              <w:top w:val="single" w:sz="4" w:space="0" w:color="auto"/>
              <w:left w:val="single" w:sz="4" w:space="0" w:color="auto"/>
              <w:bottom w:val="single" w:sz="4" w:space="0" w:color="auto"/>
              <w:right w:val="single" w:sz="4" w:space="0" w:color="auto"/>
            </w:tcBorders>
            <w:vAlign w:val="center"/>
            <w:hideMark/>
          </w:tcPr>
          <w:p w14:paraId="6C08C3B6" w14:textId="77777777" w:rsidR="00BF5974" w:rsidRDefault="00BF5974">
            <w:pPr>
              <w:spacing w:line="256" w:lineRule="auto"/>
              <w:rPr>
                <w:rFonts w:cs="Arial"/>
                <w:sz w:val="18"/>
                <w:szCs w:val="18"/>
                <w:lang w:val="es-ES" w:eastAsia="en-US"/>
              </w:rPr>
            </w:pPr>
            <w:r>
              <w:rPr>
                <w:rFonts w:cs="Arial"/>
                <w:sz w:val="18"/>
                <w:szCs w:val="18"/>
                <w:lang w:val="es-ES" w:eastAsia="en-US"/>
              </w:rPr>
              <w:t>1.1</w:t>
            </w:r>
          </w:p>
        </w:tc>
        <w:tc>
          <w:tcPr>
            <w:tcW w:w="5135" w:type="dxa"/>
            <w:tcBorders>
              <w:top w:val="single" w:sz="4" w:space="0" w:color="auto"/>
              <w:left w:val="single" w:sz="4" w:space="0" w:color="auto"/>
              <w:bottom w:val="single" w:sz="4" w:space="0" w:color="auto"/>
              <w:right w:val="single" w:sz="4" w:space="0" w:color="auto"/>
            </w:tcBorders>
            <w:vAlign w:val="center"/>
            <w:hideMark/>
          </w:tcPr>
          <w:p w14:paraId="2749081E" w14:textId="77777777" w:rsidR="00BF5974" w:rsidRDefault="00BF5974">
            <w:pPr>
              <w:spacing w:line="256" w:lineRule="auto"/>
              <w:rPr>
                <w:rFonts w:cs="Arial"/>
                <w:sz w:val="18"/>
                <w:szCs w:val="18"/>
                <w:lang w:val="es-ES" w:eastAsia="en-US"/>
              </w:rPr>
            </w:pPr>
            <w:r>
              <w:rPr>
                <w:rFonts w:cs="Arial"/>
                <w:sz w:val="18"/>
                <w:szCs w:val="18"/>
                <w:lang w:val="es-ES" w:eastAsia="en-US"/>
              </w:rPr>
              <w:t>Servicios Personales.</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7C92910" w14:textId="77777777" w:rsidR="00BF5974" w:rsidRDefault="00BF5974">
            <w:pPr>
              <w:spacing w:line="256" w:lineRule="auto"/>
              <w:jc w:val="right"/>
              <w:rPr>
                <w:rFonts w:cs="Arial"/>
                <w:bCs/>
                <w:sz w:val="18"/>
                <w:szCs w:val="18"/>
                <w:lang w:val="es-ES" w:eastAsia="en-US"/>
              </w:rPr>
            </w:pPr>
            <w:r>
              <w:rPr>
                <w:rFonts w:cs="Arial"/>
                <w:bCs/>
                <w:color w:val="000000"/>
                <w:sz w:val="18"/>
                <w:szCs w:val="18"/>
                <w:lang w:val="es-ES" w:eastAsia="en-US"/>
              </w:rPr>
              <w:t>4,382,938,184</w:t>
            </w:r>
          </w:p>
        </w:tc>
        <w:tc>
          <w:tcPr>
            <w:tcW w:w="1418" w:type="dxa"/>
            <w:tcBorders>
              <w:top w:val="single" w:sz="4" w:space="0" w:color="auto"/>
              <w:left w:val="single" w:sz="4" w:space="0" w:color="auto"/>
              <w:bottom w:val="single" w:sz="4" w:space="0" w:color="auto"/>
              <w:right w:val="single" w:sz="4" w:space="0" w:color="auto"/>
            </w:tcBorders>
            <w:vAlign w:val="center"/>
          </w:tcPr>
          <w:p w14:paraId="3B390D33" w14:textId="77777777" w:rsidR="00BF5974" w:rsidRDefault="00BF5974">
            <w:pPr>
              <w:spacing w:line="256" w:lineRule="auto"/>
              <w:jc w:val="right"/>
              <w:rPr>
                <w:rFonts w:cs="Arial"/>
                <w:b/>
                <w:bCs/>
                <w:sz w:val="18"/>
                <w:szCs w:val="18"/>
                <w:lang w:val="es-ES" w:eastAsia="en-US"/>
              </w:rPr>
            </w:pPr>
          </w:p>
        </w:tc>
      </w:tr>
      <w:tr w:rsidR="00BF5974" w14:paraId="24482B1F"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tcPr>
          <w:p w14:paraId="4D432738" w14:textId="77777777" w:rsidR="00BF5974" w:rsidRDefault="00BF5974">
            <w:pPr>
              <w:spacing w:line="256" w:lineRule="auto"/>
              <w:rPr>
                <w:rFonts w:cs="Arial"/>
                <w:sz w:val="18"/>
                <w:szCs w:val="18"/>
                <w:lang w:val="es-ES" w:eastAsia="en-US"/>
              </w:rPr>
            </w:pPr>
          </w:p>
        </w:tc>
        <w:tc>
          <w:tcPr>
            <w:tcW w:w="568" w:type="dxa"/>
            <w:tcBorders>
              <w:top w:val="single" w:sz="4" w:space="0" w:color="auto"/>
              <w:left w:val="single" w:sz="4" w:space="0" w:color="auto"/>
              <w:bottom w:val="single" w:sz="4" w:space="0" w:color="auto"/>
              <w:right w:val="single" w:sz="4" w:space="0" w:color="auto"/>
            </w:tcBorders>
            <w:vAlign w:val="center"/>
            <w:hideMark/>
          </w:tcPr>
          <w:p w14:paraId="24445B66" w14:textId="77777777" w:rsidR="00BF5974" w:rsidRDefault="00BF5974">
            <w:pPr>
              <w:spacing w:line="256" w:lineRule="auto"/>
              <w:rPr>
                <w:rFonts w:cs="Arial"/>
                <w:sz w:val="18"/>
                <w:szCs w:val="18"/>
                <w:lang w:val="es-ES" w:eastAsia="en-US"/>
              </w:rPr>
            </w:pPr>
            <w:r>
              <w:rPr>
                <w:rFonts w:cs="Arial"/>
                <w:sz w:val="18"/>
                <w:szCs w:val="18"/>
                <w:lang w:val="es-ES" w:eastAsia="en-US"/>
              </w:rPr>
              <w:t>1.2</w:t>
            </w:r>
          </w:p>
        </w:tc>
        <w:tc>
          <w:tcPr>
            <w:tcW w:w="5135" w:type="dxa"/>
            <w:tcBorders>
              <w:top w:val="single" w:sz="4" w:space="0" w:color="auto"/>
              <w:left w:val="single" w:sz="4" w:space="0" w:color="auto"/>
              <w:bottom w:val="single" w:sz="4" w:space="0" w:color="auto"/>
              <w:right w:val="single" w:sz="4" w:space="0" w:color="auto"/>
            </w:tcBorders>
            <w:vAlign w:val="center"/>
            <w:hideMark/>
          </w:tcPr>
          <w:p w14:paraId="6D73198A" w14:textId="77777777" w:rsidR="00BF5974" w:rsidRDefault="00BF5974">
            <w:pPr>
              <w:spacing w:line="256" w:lineRule="auto"/>
              <w:rPr>
                <w:rFonts w:cs="Arial"/>
                <w:sz w:val="18"/>
                <w:szCs w:val="18"/>
                <w:lang w:val="es-ES" w:eastAsia="en-US"/>
              </w:rPr>
            </w:pPr>
            <w:r>
              <w:rPr>
                <w:rFonts w:cs="Arial"/>
                <w:sz w:val="18"/>
                <w:szCs w:val="18"/>
                <w:lang w:val="es-ES" w:eastAsia="en-US"/>
              </w:rPr>
              <w:t>Gastos de Operación.</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3A7B9E4" w14:textId="77777777" w:rsidR="00BF5974" w:rsidRDefault="00BF5974">
            <w:pPr>
              <w:spacing w:line="256" w:lineRule="auto"/>
              <w:jc w:val="right"/>
              <w:rPr>
                <w:rFonts w:cs="Arial"/>
                <w:bCs/>
                <w:sz w:val="18"/>
                <w:szCs w:val="18"/>
                <w:lang w:val="es-ES" w:eastAsia="en-US"/>
              </w:rPr>
            </w:pPr>
            <w:r>
              <w:rPr>
                <w:rFonts w:cs="Arial"/>
                <w:bCs/>
                <w:color w:val="000000"/>
                <w:sz w:val="18"/>
                <w:szCs w:val="18"/>
                <w:lang w:val="es-ES" w:eastAsia="en-US"/>
              </w:rPr>
              <w:t>158,203,860</w:t>
            </w:r>
          </w:p>
        </w:tc>
        <w:tc>
          <w:tcPr>
            <w:tcW w:w="1418" w:type="dxa"/>
            <w:tcBorders>
              <w:top w:val="single" w:sz="4" w:space="0" w:color="auto"/>
              <w:left w:val="single" w:sz="4" w:space="0" w:color="auto"/>
              <w:bottom w:val="single" w:sz="4" w:space="0" w:color="auto"/>
              <w:right w:val="single" w:sz="4" w:space="0" w:color="auto"/>
            </w:tcBorders>
            <w:vAlign w:val="center"/>
          </w:tcPr>
          <w:p w14:paraId="04935C4A" w14:textId="77777777" w:rsidR="00BF5974" w:rsidRDefault="00BF5974">
            <w:pPr>
              <w:spacing w:line="256" w:lineRule="auto"/>
              <w:jc w:val="right"/>
              <w:rPr>
                <w:rFonts w:cs="Arial"/>
                <w:b/>
                <w:bCs/>
                <w:sz w:val="18"/>
                <w:szCs w:val="18"/>
                <w:lang w:val="es-ES" w:eastAsia="en-US"/>
              </w:rPr>
            </w:pPr>
          </w:p>
        </w:tc>
      </w:tr>
      <w:tr w:rsidR="00BF5974" w14:paraId="55FAD043"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tcPr>
          <w:p w14:paraId="7FAB0C7D" w14:textId="77777777" w:rsidR="00BF5974" w:rsidRDefault="00BF5974">
            <w:pPr>
              <w:spacing w:line="256" w:lineRule="auto"/>
              <w:rPr>
                <w:rFonts w:cs="Arial"/>
                <w:sz w:val="18"/>
                <w:szCs w:val="18"/>
                <w:lang w:val="es-ES" w:eastAsia="en-US"/>
              </w:rPr>
            </w:pPr>
          </w:p>
        </w:tc>
        <w:tc>
          <w:tcPr>
            <w:tcW w:w="568" w:type="dxa"/>
            <w:tcBorders>
              <w:top w:val="single" w:sz="4" w:space="0" w:color="auto"/>
              <w:left w:val="single" w:sz="4" w:space="0" w:color="auto"/>
              <w:bottom w:val="single" w:sz="4" w:space="0" w:color="auto"/>
              <w:right w:val="single" w:sz="4" w:space="0" w:color="auto"/>
            </w:tcBorders>
            <w:vAlign w:val="center"/>
            <w:hideMark/>
          </w:tcPr>
          <w:p w14:paraId="600B1B82" w14:textId="77777777" w:rsidR="00BF5974" w:rsidRDefault="00BF5974">
            <w:pPr>
              <w:spacing w:line="256" w:lineRule="auto"/>
              <w:rPr>
                <w:rFonts w:cs="Arial"/>
                <w:sz w:val="18"/>
                <w:szCs w:val="18"/>
                <w:lang w:val="es-ES" w:eastAsia="en-US"/>
              </w:rPr>
            </w:pPr>
            <w:r>
              <w:rPr>
                <w:rFonts w:cs="Arial"/>
                <w:sz w:val="18"/>
                <w:szCs w:val="18"/>
                <w:lang w:val="es-ES" w:eastAsia="en-US"/>
              </w:rPr>
              <w:t>1.3</w:t>
            </w:r>
          </w:p>
        </w:tc>
        <w:tc>
          <w:tcPr>
            <w:tcW w:w="5135" w:type="dxa"/>
            <w:tcBorders>
              <w:top w:val="single" w:sz="4" w:space="0" w:color="auto"/>
              <w:left w:val="single" w:sz="4" w:space="0" w:color="auto"/>
              <w:bottom w:val="single" w:sz="4" w:space="0" w:color="auto"/>
              <w:right w:val="single" w:sz="4" w:space="0" w:color="auto"/>
            </w:tcBorders>
            <w:vAlign w:val="center"/>
            <w:hideMark/>
          </w:tcPr>
          <w:p w14:paraId="252B2D0F" w14:textId="77777777" w:rsidR="00BF5974" w:rsidRDefault="00BF5974">
            <w:pPr>
              <w:spacing w:line="256" w:lineRule="auto"/>
              <w:rPr>
                <w:rFonts w:cs="Arial"/>
                <w:sz w:val="18"/>
                <w:szCs w:val="18"/>
                <w:lang w:val="es-ES" w:eastAsia="en-US"/>
              </w:rPr>
            </w:pPr>
            <w:r>
              <w:rPr>
                <w:rFonts w:cs="Arial"/>
                <w:sz w:val="18"/>
                <w:szCs w:val="18"/>
                <w:lang w:val="es-ES" w:eastAsia="en-US"/>
              </w:rPr>
              <w:t>Otros de Gasto Corriente.</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46C6255" w14:textId="77777777" w:rsidR="00BF5974" w:rsidRDefault="00BF5974">
            <w:pPr>
              <w:spacing w:line="256" w:lineRule="auto"/>
              <w:jc w:val="right"/>
              <w:rPr>
                <w:rFonts w:cs="Arial"/>
                <w:bCs/>
                <w:sz w:val="18"/>
                <w:szCs w:val="18"/>
                <w:lang w:val="es-ES" w:eastAsia="en-US"/>
              </w:rPr>
            </w:pPr>
            <w:r>
              <w:rPr>
                <w:rFonts w:cs="Arial"/>
                <w:bCs/>
                <w:color w:val="000000"/>
                <w:sz w:val="18"/>
                <w:szCs w:val="18"/>
                <w:lang w:val="es-ES" w:eastAsia="en-US"/>
              </w:rPr>
              <w:t>48,564,891</w:t>
            </w:r>
          </w:p>
        </w:tc>
        <w:tc>
          <w:tcPr>
            <w:tcW w:w="1418" w:type="dxa"/>
            <w:tcBorders>
              <w:top w:val="single" w:sz="4" w:space="0" w:color="auto"/>
              <w:left w:val="single" w:sz="4" w:space="0" w:color="auto"/>
              <w:bottom w:val="single" w:sz="4" w:space="0" w:color="auto"/>
              <w:right w:val="single" w:sz="4" w:space="0" w:color="auto"/>
            </w:tcBorders>
            <w:vAlign w:val="center"/>
          </w:tcPr>
          <w:p w14:paraId="4D050E1A" w14:textId="77777777" w:rsidR="00BF5974" w:rsidRDefault="00BF5974">
            <w:pPr>
              <w:spacing w:line="256" w:lineRule="auto"/>
              <w:jc w:val="right"/>
              <w:rPr>
                <w:rFonts w:cs="Arial"/>
                <w:b/>
                <w:bCs/>
                <w:sz w:val="18"/>
                <w:szCs w:val="18"/>
                <w:lang w:val="es-ES" w:eastAsia="en-US"/>
              </w:rPr>
            </w:pPr>
          </w:p>
        </w:tc>
      </w:tr>
      <w:tr w:rsidR="00BF5974" w14:paraId="390F82DB"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hideMark/>
          </w:tcPr>
          <w:p w14:paraId="12148BDC" w14:textId="77777777" w:rsidR="00BF5974" w:rsidRDefault="00BF5974">
            <w:pPr>
              <w:spacing w:line="256" w:lineRule="auto"/>
              <w:rPr>
                <w:rFonts w:cs="Arial"/>
                <w:b/>
                <w:sz w:val="18"/>
                <w:szCs w:val="18"/>
                <w:lang w:val="es-ES" w:eastAsia="en-US"/>
              </w:rPr>
            </w:pPr>
            <w:r>
              <w:rPr>
                <w:rFonts w:cs="Arial"/>
                <w:b/>
                <w:sz w:val="18"/>
                <w:szCs w:val="18"/>
                <w:lang w:val="es-ES" w:eastAsia="en-US"/>
              </w:rPr>
              <w:t>2</w:t>
            </w:r>
          </w:p>
        </w:tc>
        <w:tc>
          <w:tcPr>
            <w:tcW w:w="5703" w:type="dxa"/>
            <w:gridSpan w:val="2"/>
            <w:tcBorders>
              <w:top w:val="single" w:sz="4" w:space="0" w:color="auto"/>
              <w:left w:val="single" w:sz="4" w:space="0" w:color="auto"/>
              <w:bottom w:val="single" w:sz="4" w:space="0" w:color="auto"/>
              <w:right w:val="single" w:sz="4" w:space="0" w:color="auto"/>
            </w:tcBorders>
            <w:vAlign w:val="center"/>
            <w:hideMark/>
          </w:tcPr>
          <w:p w14:paraId="39463184" w14:textId="77777777" w:rsidR="00BF5974" w:rsidRDefault="00BF5974">
            <w:pPr>
              <w:spacing w:line="256" w:lineRule="auto"/>
              <w:rPr>
                <w:rFonts w:cs="Arial"/>
                <w:b/>
                <w:sz w:val="18"/>
                <w:szCs w:val="18"/>
                <w:lang w:val="es-ES" w:eastAsia="en-US"/>
              </w:rPr>
            </w:pPr>
            <w:r>
              <w:rPr>
                <w:rFonts w:cs="Arial"/>
                <w:b/>
                <w:sz w:val="18"/>
                <w:szCs w:val="18"/>
                <w:lang w:val="es-ES" w:eastAsia="en-US"/>
              </w:rPr>
              <w:t>Fondo de Aportaciones para los Servicios de Salud.</w:t>
            </w:r>
          </w:p>
        </w:tc>
        <w:tc>
          <w:tcPr>
            <w:tcW w:w="1384" w:type="dxa"/>
            <w:tcBorders>
              <w:top w:val="single" w:sz="4" w:space="0" w:color="auto"/>
              <w:left w:val="single" w:sz="4" w:space="0" w:color="auto"/>
              <w:bottom w:val="single" w:sz="4" w:space="0" w:color="auto"/>
              <w:right w:val="single" w:sz="4" w:space="0" w:color="auto"/>
            </w:tcBorders>
            <w:vAlign w:val="center"/>
          </w:tcPr>
          <w:p w14:paraId="54E67071" w14:textId="77777777" w:rsidR="00BF5974" w:rsidRDefault="00BF5974">
            <w:pPr>
              <w:spacing w:line="256" w:lineRule="auto"/>
              <w:jc w:val="right"/>
              <w:rPr>
                <w:rFonts w:cs="Arial"/>
                <w:b/>
                <w:sz w:val="18"/>
                <w:szCs w:val="18"/>
                <w:lang w:val="es-ES"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7747093" w14:textId="77777777" w:rsidR="00BF5974" w:rsidRDefault="00BF5974">
            <w:pPr>
              <w:spacing w:line="256" w:lineRule="auto"/>
              <w:jc w:val="right"/>
              <w:rPr>
                <w:rFonts w:cs="Arial"/>
                <w:b/>
                <w:bCs/>
                <w:sz w:val="18"/>
                <w:szCs w:val="18"/>
                <w:lang w:val="es-ES" w:eastAsia="en-US"/>
              </w:rPr>
            </w:pPr>
            <w:r>
              <w:rPr>
                <w:rFonts w:cs="Arial"/>
                <w:b/>
                <w:bCs/>
                <w:sz w:val="18"/>
                <w:szCs w:val="18"/>
                <w:lang w:val="es-ES" w:eastAsia="en-US"/>
              </w:rPr>
              <w:t>2,006,734,578</w:t>
            </w:r>
          </w:p>
        </w:tc>
      </w:tr>
      <w:tr w:rsidR="00BF5974" w14:paraId="720079A4"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tcPr>
          <w:p w14:paraId="231BE207" w14:textId="77777777" w:rsidR="00BF5974" w:rsidRDefault="00BF5974">
            <w:pPr>
              <w:spacing w:line="256" w:lineRule="auto"/>
              <w:rPr>
                <w:rFonts w:cs="Arial"/>
                <w:sz w:val="18"/>
                <w:szCs w:val="18"/>
                <w:lang w:val="es-ES" w:eastAsia="en-US"/>
              </w:rPr>
            </w:pPr>
          </w:p>
        </w:tc>
        <w:tc>
          <w:tcPr>
            <w:tcW w:w="568" w:type="dxa"/>
            <w:tcBorders>
              <w:top w:val="single" w:sz="4" w:space="0" w:color="auto"/>
              <w:left w:val="single" w:sz="4" w:space="0" w:color="auto"/>
              <w:bottom w:val="single" w:sz="4" w:space="0" w:color="auto"/>
              <w:right w:val="single" w:sz="4" w:space="0" w:color="auto"/>
            </w:tcBorders>
            <w:vAlign w:val="center"/>
            <w:hideMark/>
          </w:tcPr>
          <w:p w14:paraId="7FBAF18B" w14:textId="77777777" w:rsidR="00BF5974" w:rsidRDefault="00BF5974">
            <w:pPr>
              <w:spacing w:line="256" w:lineRule="auto"/>
              <w:rPr>
                <w:rFonts w:cs="Arial"/>
                <w:sz w:val="18"/>
                <w:szCs w:val="18"/>
                <w:lang w:val="es-ES" w:eastAsia="en-US"/>
              </w:rPr>
            </w:pPr>
            <w:r>
              <w:rPr>
                <w:rFonts w:cs="Arial"/>
                <w:sz w:val="18"/>
                <w:szCs w:val="18"/>
                <w:lang w:val="es-ES" w:eastAsia="en-US"/>
              </w:rPr>
              <w:t>2.1</w:t>
            </w:r>
          </w:p>
        </w:tc>
        <w:tc>
          <w:tcPr>
            <w:tcW w:w="5135" w:type="dxa"/>
            <w:tcBorders>
              <w:top w:val="single" w:sz="4" w:space="0" w:color="auto"/>
              <w:left w:val="single" w:sz="4" w:space="0" w:color="auto"/>
              <w:bottom w:val="single" w:sz="4" w:space="0" w:color="auto"/>
              <w:right w:val="single" w:sz="4" w:space="0" w:color="auto"/>
            </w:tcBorders>
            <w:vAlign w:val="center"/>
            <w:hideMark/>
          </w:tcPr>
          <w:p w14:paraId="41D15AE1" w14:textId="77777777" w:rsidR="00BF5974" w:rsidRDefault="00BF5974">
            <w:pPr>
              <w:spacing w:line="256" w:lineRule="auto"/>
              <w:rPr>
                <w:rFonts w:cs="Arial"/>
                <w:sz w:val="18"/>
                <w:szCs w:val="18"/>
                <w:lang w:val="es-ES" w:eastAsia="en-US"/>
              </w:rPr>
            </w:pPr>
            <w:r>
              <w:rPr>
                <w:rFonts w:cs="Arial"/>
                <w:sz w:val="18"/>
                <w:szCs w:val="18"/>
                <w:lang w:val="es-ES" w:eastAsia="en-US"/>
              </w:rPr>
              <w:t>Fondo de Aportaciones para los Servicios de Salud</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7984D78" w14:textId="77777777" w:rsidR="00BF5974" w:rsidRDefault="00BF5974">
            <w:pPr>
              <w:spacing w:line="256" w:lineRule="auto"/>
              <w:jc w:val="right"/>
              <w:rPr>
                <w:rFonts w:cs="Arial"/>
                <w:bCs/>
                <w:sz w:val="18"/>
                <w:szCs w:val="18"/>
                <w:lang w:val="es-ES" w:eastAsia="en-US"/>
              </w:rPr>
            </w:pPr>
            <w:r>
              <w:rPr>
                <w:rFonts w:cs="Arial"/>
                <w:bCs/>
                <w:color w:val="000000"/>
                <w:sz w:val="18"/>
                <w:szCs w:val="18"/>
                <w:lang w:val="es-ES" w:eastAsia="en-US"/>
              </w:rPr>
              <w:t>615,316,386</w:t>
            </w:r>
          </w:p>
        </w:tc>
        <w:tc>
          <w:tcPr>
            <w:tcW w:w="1418" w:type="dxa"/>
            <w:tcBorders>
              <w:top w:val="single" w:sz="4" w:space="0" w:color="auto"/>
              <w:left w:val="single" w:sz="4" w:space="0" w:color="auto"/>
              <w:bottom w:val="single" w:sz="4" w:space="0" w:color="auto"/>
              <w:right w:val="single" w:sz="4" w:space="0" w:color="auto"/>
            </w:tcBorders>
            <w:vAlign w:val="center"/>
          </w:tcPr>
          <w:p w14:paraId="48E0C55E" w14:textId="77777777" w:rsidR="00BF5974" w:rsidRDefault="00BF5974">
            <w:pPr>
              <w:spacing w:line="256" w:lineRule="auto"/>
              <w:jc w:val="right"/>
              <w:rPr>
                <w:rFonts w:cs="Arial"/>
                <w:b/>
                <w:bCs/>
                <w:sz w:val="18"/>
                <w:szCs w:val="18"/>
                <w:lang w:val="es-ES" w:eastAsia="en-US"/>
              </w:rPr>
            </w:pPr>
          </w:p>
        </w:tc>
      </w:tr>
      <w:tr w:rsidR="00BF5974" w14:paraId="382CA1D1"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tcPr>
          <w:p w14:paraId="17478842" w14:textId="77777777" w:rsidR="00BF5974" w:rsidRDefault="00BF5974">
            <w:pPr>
              <w:spacing w:line="256" w:lineRule="auto"/>
              <w:rPr>
                <w:rFonts w:cs="Arial"/>
                <w:sz w:val="18"/>
                <w:szCs w:val="18"/>
                <w:lang w:val="es-ES" w:eastAsia="en-US"/>
              </w:rPr>
            </w:pPr>
          </w:p>
        </w:tc>
        <w:tc>
          <w:tcPr>
            <w:tcW w:w="568" w:type="dxa"/>
            <w:tcBorders>
              <w:top w:val="single" w:sz="4" w:space="0" w:color="auto"/>
              <w:left w:val="single" w:sz="4" w:space="0" w:color="auto"/>
              <w:bottom w:val="single" w:sz="4" w:space="0" w:color="auto"/>
              <w:right w:val="single" w:sz="4" w:space="0" w:color="auto"/>
            </w:tcBorders>
            <w:vAlign w:val="center"/>
            <w:hideMark/>
          </w:tcPr>
          <w:p w14:paraId="2E43133C" w14:textId="77777777" w:rsidR="00BF5974" w:rsidRDefault="00BF5974">
            <w:pPr>
              <w:spacing w:line="256" w:lineRule="auto"/>
              <w:rPr>
                <w:rFonts w:cs="Arial"/>
                <w:sz w:val="18"/>
                <w:szCs w:val="18"/>
                <w:lang w:val="es-ES" w:eastAsia="en-US"/>
              </w:rPr>
            </w:pPr>
            <w:r>
              <w:rPr>
                <w:rFonts w:cs="Arial"/>
                <w:sz w:val="18"/>
                <w:szCs w:val="18"/>
                <w:lang w:val="es-ES" w:eastAsia="en-US"/>
              </w:rPr>
              <w:t>2.2</w:t>
            </w:r>
          </w:p>
        </w:tc>
        <w:tc>
          <w:tcPr>
            <w:tcW w:w="5135" w:type="dxa"/>
            <w:tcBorders>
              <w:top w:val="single" w:sz="4" w:space="0" w:color="auto"/>
              <w:left w:val="single" w:sz="4" w:space="0" w:color="auto"/>
              <w:bottom w:val="single" w:sz="4" w:space="0" w:color="auto"/>
              <w:right w:val="single" w:sz="4" w:space="0" w:color="auto"/>
            </w:tcBorders>
            <w:vAlign w:val="center"/>
            <w:hideMark/>
          </w:tcPr>
          <w:p w14:paraId="5E45B4AB" w14:textId="77777777" w:rsidR="00BF5974" w:rsidRDefault="00BF5974">
            <w:pPr>
              <w:spacing w:line="256" w:lineRule="auto"/>
              <w:rPr>
                <w:rFonts w:cs="Arial"/>
                <w:sz w:val="18"/>
                <w:szCs w:val="18"/>
                <w:lang w:val="es-ES" w:eastAsia="en-US"/>
              </w:rPr>
            </w:pPr>
            <w:r>
              <w:rPr>
                <w:rFonts w:cs="Arial"/>
                <w:sz w:val="18"/>
                <w:szCs w:val="18"/>
                <w:lang w:val="es-ES" w:eastAsia="en-US"/>
              </w:rPr>
              <w:t xml:space="preserve">FASSA – IMSS – BIENESTAR </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330F617" w14:textId="77777777" w:rsidR="00BF5974" w:rsidRDefault="00BF5974">
            <w:pPr>
              <w:spacing w:line="256" w:lineRule="auto"/>
              <w:jc w:val="right"/>
              <w:rPr>
                <w:rFonts w:cs="Arial"/>
                <w:bCs/>
                <w:sz w:val="18"/>
                <w:szCs w:val="18"/>
                <w:lang w:val="es-ES" w:eastAsia="en-US"/>
              </w:rPr>
            </w:pPr>
            <w:r>
              <w:rPr>
                <w:rFonts w:cs="Arial"/>
                <w:bCs/>
                <w:color w:val="000000"/>
                <w:sz w:val="18"/>
                <w:szCs w:val="18"/>
                <w:lang w:val="es-ES" w:eastAsia="en-US"/>
              </w:rPr>
              <w:t>1,391,418,192</w:t>
            </w:r>
          </w:p>
        </w:tc>
        <w:tc>
          <w:tcPr>
            <w:tcW w:w="1418" w:type="dxa"/>
            <w:tcBorders>
              <w:top w:val="single" w:sz="4" w:space="0" w:color="auto"/>
              <w:left w:val="single" w:sz="4" w:space="0" w:color="auto"/>
              <w:bottom w:val="single" w:sz="4" w:space="0" w:color="auto"/>
              <w:right w:val="single" w:sz="4" w:space="0" w:color="auto"/>
            </w:tcBorders>
            <w:vAlign w:val="center"/>
          </w:tcPr>
          <w:p w14:paraId="785D8E65" w14:textId="77777777" w:rsidR="00BF5974" w:rsidRDefault="00BF5974">
            <w:pPr>
              <w:spacing w:line="256" w:lineRule="auto"/>
              <w:jc w:val="right"/>
              <w:rPr>
                <w:rFonts w:cs="Arial"/>
                <w:b/>
                <w:bCs/>
                <w:sz w:val="18"/>
                <w:szCs w:val="18"/>
                <w:lang w:val="es-ES" w:eastAsia="en-US"/>
              </w:rPr>
            </w:pPr>
          </w:p>
        </w:tc>
      </w:tr>
      <w:tr w:rsidR="00BF5974" w14:paraId="72C9A531"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hideMark/>
          </w:tcPr>
          <w:p w14:paraId="2348A2C6" w14:textId="77777777" w:rsidR="00BF5974" w:rsidRDefault="00BF5974">
            <w:pPr>
              <w:spacing w:line="256" w:lineRule="auto"/>
              <w:rPr>
                <w:rFonts w:cs="Arial"/>
                <w:b/>
                <w:sz w:val="18"/>
                <w:szCs w:val="18"/>
                <w:lang w:val="es-ES" w:eastAsia="en-US"/>
              </w:rPr>
            </w:pPr>
            <w:r>
              <w:rPr>
                <w:rFonts w:cs="Arial"/>
                <w:b/>
                <w:sz w:val="18"/>
                <w:szCs w:val="18"/>
                <w:lang w:val="es-ES" w:eastAsia="en-US"/>
              </w:rPr>
              <w:t>3</w:t>
            </w:r>
          </w:p>
        </w:tc>
        <w:tc>
          <w:tcPr>
            <w:tcW w:w="5703" w:type="dxa"/>
            <w:gridSpan w:val="2"/>
            <w:tcBorders>
              <w:top w:val="single" w:sz="4" w:space="0" w:color="auto"/>
              <w:left w:val="single" w:sz="4" w:space="0" w:color="auto"/>
              <w:bottom w:val="single" w:sz="4" w:space="0" w:color="auto"/>
              <w:right w:val="single" w:sz="4" w:space="0" w:color="auto"/>
            </w:tcBorders>
            <w:vAlign w:val="center"/>
            <w:hideMark/>
          </w:tcPr>
          <w:p w14:paraId="34994339" w14:textId="77777777" w:rsidR="00BF5974" w:rsidRDefault="00BF5974">
            <w:pPr>
              <w:spacing w:line="256" w:lineRule="auto"/>
              <w:rPr>
                <w:rFonts w:cs="Arial"/>
                <w:b/>
                <w:sz w:val="18"/>
                <w:szCs w:val="18"/>
                <w:lang w:val="es-ES" w:eastAsia="en-US"/>
              </w:rPr>
            </w:pPr>
            <w:r>
              <w:rPr>
                <w:rFonts w:cs="Arial"/>
                <w:b/>
                <w:sz w:val="18"/>
                <w:szCs w:val="18"/>
                <w:lang w:val="es-ES" w:eastAsia="en-US"/>
              </w:rPr>
              <w:t>Fondo de Aportaciones para la Infraestructura Social.</w:t>
            </w:r>
          </w:p>
        </w:tc>
        <w:tc>
          <w:tcPr>
            <w:tcW w:w="1384" w:type="dxa"/>
            <w:tcBorders>
              <w:top w:val="single" w:sz="4" w:space="0" w:color="auto"/>
              <w:left w:val="single" w:sz="4" w:space="0" w:color="auto"/>
              <w:bottom w:val="single" w:sz="4" w:space="0" w:color="auto"/>
              <w:right w:val="single" w:sz="4" w:space="0" w:color="auto"/>
            </w:tcBorders>
            <w:vAlign w:val="center"/>
          </w:tcPr>
          <w:p w14:paraId="76B4AB82" w14:textId="77777777" w:rsidR="00BF5974" w:rsidRDefault="00BF5974">
            <w:pPr>
              <w:spacing w:line="256" w:lineRule="auto"/>
              <w:jc w:val="right"/>
              <w:rPr>
                <w:rFonts w:cs="Arial"/>
                <w:b/>
                <w:sz w:val="18"/>
                <w:szCs w:val="18"/>
                <w:lang w:val="es-ES"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C249736" w14:textId="77777777" w:rsidR="00BF5974" w:rsidRDefault="00BF5974">
            <w:pPr>
              <w:spacing w:line="256" w:lineRule="auto"/>
              <w:jc w:val="right"/>
              <w:rPr>
                <w:rFonts w:cs="Arial"/>
                <w:b/>
                <w:bCs/>
                <w:sz w:val="18"/>
                <w:szCs w:val="18"/>
                <w:lang w:val="es-ES" w:eastAsia="en-US"/>
              </w:rPr>
            </w:pPr>
            <w:r>
              <w:rPr>
                <w:rFonts w:cs="Arial"/>
                <w:b/>
                <w:bCs/>
                <w:sz w:val="18"/>
                <w:szCs w:val="18"/>
                <w:lang w:val="es-ES" w:eastAsia="en-US"/>
              </w:rPr>
              <w:t>543,977,077</w:t>
            </w:r>
          </w:p>
        </w:tc>
      </w:tr>
      <w:tr w:rsidR="00BF5974" w14:paraId="6B3B4D58"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tcPr>
          <w:p w14:paraId="3CD339F1" w14:textId="77777777" w:rsidR="00BF5974" w:rsidRDefault="00BF5974">
            <w:pPr>
              <w:spacing w:line="256" w:lineRule="auto"/>
              <w:rPr>
                <w:rFonts w:cs="Arial"/>
                <w:sz w:val="18"/>
                <w:szCs w:val="18"/>
                <w:lang w:val="es-ES" w:eastAsia="en-US"/>
              </w:rPr>
            </w:pPr>
          </w:p>
        </w:tc>
        <w:tc>
          <w:tcPr>
            <w:tcW w:w="568" w:type="dxa"/>
            <w:tcBorders>
              <w:top w:val="single" w:sz="4" w:space="0" w:color="auto"/>
              <w:left w:val="single" w:sz="4" w:space="0" w:color="auto"/>
              <w:bottom w:val="single" w:sz="4" w:space="0" w:color="auto"/>
              <w:right w:val="single" w:sz="4" w:space="0" w:color="auto"/>
            </w:tcBorders>
            <w:vAlign w:val="center"/>
            <w:hideMark/>
          </w:tcPr>
          <w:p w14:paraId="0E62B72F" w14:textId="77777777" w:rsidR="00BF5974" w:rsidRDefault="00BF5974">
            <w:pPr>
              <w:spacing w:line="256" w:lineRule="auto"/>
              <w:rPr>
                <w:rFonts w:cs="Arial"/>
                <w:sz w:val="18"/>
                <w:szCs w:val="18"/>
                <w:lang w:val="es-ES" w:eastAsia="en-US"/>
              </w:rPr>
            </w:pPr>
            <w:r>
              <w:rPr>
                <w:rFonts w:cs="Arial"/>
                <w:sz w:val="18"/>
                <w:szCs w:val="18"/>
                <w:lang w:val="es-ES" w:eastAsia="en-US"/>
              </w:rPr>
              <w:t>3.1</w:t>
            </w:r>
          </w:p>
        </w:tc>
        <w:tc>
          <w:tcPr>
            <w:tcW w:w="5135" w:type="dxa"/>
            <w:tcBorders>
              <w:top w:val="single" w:sz="4" w:space="0" w:color="auto"/>
              <w:left w:val="single" w:sz="4" w:space="0" w:color="auto"/>
              <w:bottom w:val="single" w:sz="4" w:space="0" w:color="auto"/>
              <w:right w:val="single" w:sz="4" w:space="0" w:color="auto"/>
            </w:tcBorders>
            <w:vAlign w:val="center"/>
            <w:hideMark/>
          </w:tcPr>
          <w:p w14:paraId="7C1A3760" w14:textId="77777777" w:rsidR="00BF5974" w:rsidRDefault="00BF5974">
            <w:pPr>
              <w:spacing w:line="256" w:lineRule="auto"/>
              <w:rPr>
                <w:rFonts w:cs="Arial"/>
                <w:sz w:val="18"/>
                <w:szCs w:val="18"/>
                <w:lang w:val="es-ES" w:eastAsia="en-US"/>
              </w:rPr>
            </w:pPr>
            <w:r>
              <w:rPr>
                <w:rFonts w:cs="Arial"/>
                <w:sz w:val="18"/>
                <w:szCs w:val="18"/>
                <w:lang w:val="es-ES" w:eastAsia="en-US"/>
              </w:rPr>
              <w:t>Fondo de Aportaciones para la Infraestructura Social Estatal.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4CB4BA6" w14:textId="77777777" w:rsidR="00BF5974" w:rsidRDefault="00BF5974">
            <w:pPr>
              <w:spacing w:line="256" w:lineRule="auto"/>
              <w:jc w:val="right"/>
              <w:rPr>
                <w:rFonts w:cs="Arial"/>
                <w:bCs/>
                <w:sz w:val="18"/>
                <w:szCs w:val="18"/>
                <w:lang w:val="es-ES" w:eastAsia="en-US"/>
              </w:rPr>
            </w:pPr>
            <w:r>
              <w:rPr>
                <w:rFonts w:cs="Arial"/>
                <w:bCs/>
                <w:color w:val="000000"/>
                <w:sz w:val="18"/>
                <w:szCs w:val="18"/>
                <w:lang w:val="es-ES" w:eastAsia="en-US"/>
              </w:rPr>
              <w:t>49,453,439</w:t>
            </w:r>
          </w:p>
        </w:tc>
        <w:tc>
          <w:tcPr>
            <w:tcW w:w="1418" w:type="dxa"/>
            <w:tcBorders>
              <w:top w:val="single" w:sz="4" w:space="0" w:color="auto"/>
              <w:left w:val="single" w:sz="4" w:space="0" w:color="auto"/>
              <w:bottom w:val="single" w:sz="4" w:space="0" w:color="auto"/>
              <w:right w:val="single" w:sz="4" w:space="0" w:color="auto"/>
            </w:tcBorders>
            <w:vAlign w:val="center"/>
          </w:tcPr>
          <w:p w14:paraId="5621D6D3" w14:textId="77777777" w:rsidR="00BF5974" w:rsidRDefault="00BF5974">
            <w:pPr>
              <w:spacing w:line="256" w:lineRule="auto"/>
              <w:jc w:val="right"/>
              <w:rPr>
                <w:rFonts w:cs="Arial"/>
                <w:b/>
                <w:bCs/>
                <w:sz w:val="18"/>
                <w:szCs w:val="18"/>
                <w:lang w:val="es-ES" w:eastAsia="en-US"/>
              </w:rPr>
            </w:pPr>
          </w:p>
        </w:tc>
      </w:tr>
      <w:tr w:rsidR="00BF5974" w14:paraId="22B460E7"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tcPr>
          <w:p w14:paraId="5D130A00" w14:textId="77777777" w:rsidR="00BF5974" w:rsidRDefault="00BF5974">
            <w:pPr>
              <w:spacing w:line="256" w:lineRule="auto"/>
              <w:rPr>
                <w:rFonts w:cs="Arial"/>
                <w:sz w:val="18"/>
                <w:szCs w:val="18"/>
                <w:lang w:val="es-ES" w:eastAsia="en-US"/>
              </w:rPr>
            </w:pPr>
          </w:p>
        </w:tc>
        <w:tc>
          <w:tcPr>
            <w:tcW w:w="568" w:type="dxa"/>
            <w:tcBorders>
              <w:top w:val="single" w:sz="4" w:space="0" w:color="auto"/>
              <w:left w:val="single" w:sz="4" w:space="0" w:color="auto"/>
              <w:bottom w:val="single" w:sz="4" w:space="0" w:color="auto"/>
              <w:right w:val="single" w:sz="4" w:space="0" w:color="auto"/>
            </w:tcBorders>
            <w:vAlign w:val="center"/>
            <w:hideMark/>
          </w:tcPr>
          <w:p w14:paraId="3E738488" w14:textId="77777777" w:rsidR="00BF5974" w:rsidRDefault="00BF5974">
            <w:pPr>
              <w:spacing w:line="256" w:lineRule="auto"/>
              <w:rPr>
                <w:rFonts w:cs="Arial"/>
                <w:sz w:val="18"/>
                <w:szCs w:val="18"/>
                <w:lang w:val="es-ES" w:eastAsia="en-US"/>
              </w:rPr>
            </w:pPr>
            <w:r>
              <w:rPr>
                <w:rFonts w:cs="Arial"/>
                <w:sz w:val="18"/>
                <w:szCs w:val="18"/>
                <w:lang w:val="es-ES" w:eastAsia="en-US"/>
              </w:rPr>
              <w:t>3.2</w:t>
            </w:r>
          </w:p>
        </w:tc>
        <w:tc>
          <w:tcPr>
            <w:tcW w:w="5135" w:type="dxa"/>
            <w:tcBorders>
              <w:top w:val="single" w:sz="4" w:space="0" w:color="auto"/>
              <w:left w:val="single" w:sz="4" w:space="0" w:color="auto"/>
              <w:bottom w:val="single" w:sz="4" w:space="0" w:color="auto"/>
              <w:right w:val="single" w:sz="4" w:space="0" w:color="auto"/>
            </w:tcBorders>
            <w:vAlign w:val="center"/>
            <w:hideMark/>
          </w:tcPr>
          <w:p w14:paraId="70B029C6" w14:textId="77777777" w:rsidR="00BF5974" w:rsidRDefault="00BF5974">
            <w:pPr>
              <w:spacing w:line="256" w:lineRule="auto"/>
              <w:rPr>
                <w:rFonts w:cs="Arial"/>
                <w:sz w:val="18"/>
                <w:szCs w:val="18"/>
                <w:lang w:val="es-ES" w:eastAsia="en-US"/>
              </w:rPr>
            </w:pPr>
            <w:r>
              <w:rPr>
                <w:rFonts w:cs="Arial"/>
                <w:sz w:val="18"/>
                <w:szCs w:val="18"/>
                <w:lang w:val="es-ES" w:eastAsia="en-US"/>
              </w:rPr>
              <w:t>Fondo de Aportaciones para la Infraestructura Social Municipal.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13F7F00" w14:textId="77777777" w:rsidR="00BF5974" w:rsidRDefault="00BF5974">
            <w:pPr>
              <w:spacing w:line="256" w:lineRule="auto"/>
              <w:jc w:val="right"/>
              <w:rPr>
                <w:rFonts w:cs="Arial"/>
                <w:bCs/>
                <w:sz w:val="18"/>
                <w:szCs w:val="18"/>
                <w:lang w:val="es-ES" w:eastAsia="en-US"/>
              </w:rPr>
            </w:pPr>
            <w:r>
              <w:rPr>
                <w:rFonts w:cs="Arial"/>
                <w:bCs/>
                <w:color w:val="000000"/>
                <w:sz w:val="18"/>
                <w:szCs w:val="18"/>
                <w:lang w:val="es-ES" w:eastAsia="en-US"/>
              </w:rPr>
              <w:t>478,039,158</w:t>
            </w:r>
          </w:p>
        </w:tc>
        <w:tc>
          <w:tcPr>
            <w:tcW w:w="1418" w:type="dxa"/>
            <w:tcBorders>
              <w:top w:val="single" w:sz="4" w:space="0" w:color="auto"/>
              <w:left w:val="single" w:sz="4" w:space="0" w:color="auto"/>
              <w:bottom w:val="single" w:sz="4" w:space="0" w:color="auto"/>
              <w:right w:val="single" w:sz="4" w:space="0" w:color="auto"/>
            </w:tcBorders>
            <w:vAlign w:val="center"/>
          </w:tcPr>
          <w:p w14:paraId="6BF7F665" w14:textId="77777777" w:rsidR="00BF5974" w:rsidRDefault="00BF5974">
            <w:pPr>
              <w:spacing w:line="256" w:lineRule="auto"/>
              <w:jc w:val="right"/>
              <w:rPr>
                <w:rFonts w:cs="Arial"/>
                <w:b/>
                <w:bCs/>
                <w:sz w:val="18"/>
                <w:szCs w:val="18"/>
                <w:lang w:val="es-ES" w:eastAsia="en-US"/>
              </w:rPr>
            </w:pPr>
          </w:p>
        </w:tc>
      </w:tr>
      <w:tr w:rsidR="00BF5974" w14:paraId="6622D890"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tcPr>
          <w:p w14:paraId="7CF63A15" w14:textId="77777777" w:rsidR="00BF5974" w:rsidRDefault="00BF5974">
            <w:pPr>
              <w:spacing w:line="256" w:lineRule="auto"/>
              <w:rPr>
                <w:rFonts w:cs="Arial"/>
                <w:sz w:val="18"/>
                <w:szCs w:val="18"/>
                <w:lang w:val="es-ES" w:eastAsia="en-US"/>
              </w:rPr>
            </w:pPr>
          </w:p>
        </w:tc>
        <w:tc>
          <w:tcPr>
            <w:tcW w:w="568" w:type="dxa"/>
            <w:tcBorders>
              <w:top w:val="single" w:sz="4" w:space="0" w:color="auto"/>
              <w:left w:val="single" w:sz="4" w:space="0" w:color="auto"/>
              <w:bottom w:val="single" w:sz="4" w:space="0" w:color="auto"/>
              <w:right w:val="single" w:sz="4" w:space="0" w:color="auto"/>
            </w:tcBorders>
            <w:vAlign w:val="center"/>
            <w:hideMark/>
          </w:tcPr>
          <w:p w14:paraId="0D1F325D" w14:textId="77777777" w:rsidR="00BF5974" w:rsidRDefault="00BF5974">
            <w:pPr>
              <w:spacing w:line="256" w:lineRule="auto"/>
              <w:rPr>
                <w:rFonts w:cs="Arial"/>
                <w:sz w:val="18"/>
                <w:szCs w:val="18"/>
                <w:lang w:val="es-ES" w:eastAsia="en-US"/>
              </w:rPr>
            </w:pPr>
            <w:r>
              <w:rPr>
                <w:rFonts w:cs="Arial"/>
                <w:sz w:val="18"/>
                <w:szCs w:val="18"/>
                <w:lang w:val="es-ES" w:eastAsia="en-US"/>
              </w:rPr>
              <w:t>3.3</w:t>
            </w:r>
          </w:p>
        </w:tc>
        <w:tc>
          <w:tcPr>
            <w:tcW w:w="5135" w:type="dxa"/>
            <w:tcBorders>
              <w:top w:val="single" w:sz="4" w:space="0" w:color="auto"/>
              <w:left w:val="single" w:sz="4" w:space="0" w:color="auto"/>
              <w:bottom w:val="single" w:sz="4" w:space="0" w:color="auto"/>
              <w:right w:val="single" w:sz="4" w:space="0" w:color="auto"/>
            </w:tcBorders>
            <w:vAlign w:val="center"/>
            <w:hideMark/>
          </w:tcPr>
          <w:p w14:paraId="00DBE1A5" w14:textId="77777777" w:rsidR="00BF5974" w:rsidRDefault="00BF5974">
            <w:pPr>
              <w:spacing w:line="256" w:lineRule="auto"/>
              <w:rPr>
                <w:rFonts w:cs="Arial"/>
                <w:sz w:val="18"/>
                <w:szCs w:val="18"/>
                <w:lang w:val="es-ES" w:eastAsia="en-US"/>
              </w:rPr>
            </w:pPr>
            <w:r>
              <w:rPr>
                <w:rFonts w:cs="Arial"/>
                <w:sz w:val="18"/>
                <w:szCs w:val="18"/>
                <w:lang w:val="es-ES" w:eastAsia="en-US"/>
              </w:rPr>
              <w:t>Fondo de Aportaciones para la Infraestructura Social FISE-FIEICOMISO</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E6C31D7" w14:textId="77777777" w:rsidR="00BF5974" w:rsidRDefault="00BF5974">
            <w:pPr>
              <w:spacing w:line="256" w:lineRule="auto"/>
              <w:jc w:val="right"/>
              <w:rPr>
                <w:rFonts w:cs="Arial"/>
                <w:bCs/>
                <w:color w:val="000000"/>
                <w:sz w:val="18"/>
                <w:szCs w:val="18"/>
                <w:lang w:val="es-ES" w:eastAsia="en-US"/>
              </w:rPr>
            </w:pPr>
            <w:r>
              <w:rPr>
                <w:rFonts w:cs="Arial"/>
                <w:bCs/>
                <w:color w:val="000000"/>
                <w:sz w:val="18"/>
                <w:szCs w:val="18"/>
                <w:lang w:val="es-ES" w:eastAsia="en-US"/>
              </w:rPr>
              <w:t>16,484,480</w:t>
            </w:r>
          </w:p>
        </w:tc>
        <w:tc>
          <w:tcPr>
            <w:tcW w:w="1418" w:type="dxa"/>
            <w:tcBorders>
              <w:top w:val="single" w:sz="4" w:space="0" w:color="auto"/>
              <w:left w:val="single" w:sz="4" w:space="0" w:color="auto"/>
              <w:bottom w:val="single" w:sz="4" w:space="0" w:color="auto"/>
              <w:right w:val="single" w:sz="4" w:space="0" w:color="auto"/>
            </w:tcBorders>
            <w:vAlign w:val="center"/>
          </w:tcPr>
          <w:p w14:paraId="67C0AFBD" w14:textId="77777777" w:rsidR="00BF5974" w:rsidRDefault="00BF5974">
            <w:pPr>
              <w:spacing w:line="256" w:lineRule="auto"/>
              <w:jc w:val="right"/>
              <w:rPr>
                <w:rFonts w:cs="Arial"/>
                <w:b/>
                <w:bCs/>
                <w:sz w:val="18"/>
                <w:szCs w:val="18"/>
                <w:lang w:val="es-ES" w:eastAsia="en-US"/>
              </w:rPr>
            </w:pPr>
          </w:p>
        </w:tc>
      </w:tr>
      <w:tr w:rsidR="00BF5974" w14:paraId="2F773F07"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hideMark/>
          </w:tcPr>
          <w:p w14:paraId="61DAE7E0" w14:textId="77777777" w:rsidR="00BF5974" w:rsidRDefault="00BF5974">
            <w:pPr>
              <w:spacing w:line="256" w:lineRule="auto"/>
              <w:rPr>
                <w:rFonts w:cs="Arial"/>
                <w:b/>
                <w:sz w:val="18"/>
                <w:szCs w:val="18"/>
                <w:lang w:val="es-ES" w:eastAsia="en-US"/>
              </w:rPr>
            </w:pPr>
            <w:r>
              <w:rPr>
                <w:rFonts w:cs="Arial"/>
                <w:b/>
                <w:sz w:val="18"/>
                <w:szCs w:val="18"/>
                <w:lang w:val="es-ES" w:eastAsia="en-US"/>
              </w:rPr>
              <w:t>4</w:t>
            </w:r>
          </w:p>
        </w:tc>
        <w:tc>
          <w:tcPr>
            <w:tcW w:w="5703" w:type="dxa"/>
            <w:gridSpan w:val="2"/>
            <w:tcBorders>
              <w:top w:val="single" w:sz="4" w:space="0" w:color="auto"/>
              <w:left w:val="single" w:sz="4" w:space="0" w:color="auto"/>
              <w:bottom w:val="single" w:sz="4" w:space="0" w:color="auto"/>
              <w:right w:val="single" w:sz="4" w:space="0" w:color="auto"/>
            </w:tcBorders>
            <w:vAlign w:val="center"/>
            <w:hideMark/>
          </w:tcPr>
          <w:p w14:paraId="25FE54DE" w14:textId="77777777" w:rsidR="00BF5974" w:rsidRDefault="00BF5974">
            <w:pPr>
              <w:spacing w:line="256" w:lineRule="auto"/>
              <w:rPr>
                <w:rFonts w:cs="Arial"/>
                <w:b/>
                <w:sz w:val="18"/>
                <w:szCs w:val="18"/>
                <w:lang w:val="es-ES" w:eastAsia="en-US"/>
              </w:rPr>
            </w:pPr>
            <w:r>
              <w:rPr>
                <w:rFonts w:cs="Arial"/>
                <w:b/>
                <w:sz w:val="18"/>
                <w:szCs w:val="18"/>
                <w:lang w:val="es-ES" w:eastAsia="en-US"/>
              </w:rPr>
              <w:t>Fondo de Aportaciones para el Fortalecimiento de los Municipios y de las Demarcaciones Territoriales del Distrito Federal.</w:t>
            </w:r>
          </w:p>
        </w:tc>
        <w:tc>
          <w:tcPr>
            <w:tcW w:w="1384" w:type="dxa"/>
            <w:tcBorders>
              <w:top w:val="single" w:sz="4" w:space="0" w:color="auto"/>
              <w:left w:val="single" w:sz="4" w:space="0" w:color="auto"/>
              <w:bottom w:val="single" w:sz="4" w:space="0" w:color="auto"/>
              <w:right w:val="single" w:sz="4" w:space="0" w:color="auto"/>
            </w:tcBorders>
            <w:vAlign w:val="center"/>
          </w:tcPr>
          <w:p w14:paraId="290A8FFB" w14:textId="77777777" w:rsidR="00BF5974" w:rsidRDefault="00BF5974">
            <w:pPr>
              <w:spacing w:line="256" w:lineRule="auto"/>
              <w:jc w:val="right"/>
              <w:rPr>
                <w:rFonts w:cs="Arial"/>
                <w:sz w:val="18"/>
                <w:szCs w:val="18"/>
                <w:lang w:val="es-ES"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5426707" w14:textId="77777777" w:rsidR="00BF5974" w:rsidRDefault="00BF5974">
            <w:pPr>
              <w:spacing w:line="256" w:lineRule="auto"/>
              <w:jc w:val="right"/>
              <w:rPr>
                <w:rFonts w:cs="Arial"/>
                <w:b/>
                <w:bCs/>
                <w:sz w:val="18"/>
                <w:szCs w:val="18"/>
                <w:lang w:val="es-ES" w:eastAsia="en-US"/>
              </w:rPr>
            </w:pPr>
            <w:r>
              <w:rPr>
                <w:rFonts w:cs="Arial"/>
                <w:b/>
                <w:bCs/>
                <w:sz w:val="18"/>
                <w:szCs w:val="18"/>
                <w:lang w:val="es-ES" w:eastAsia="en-US"/>
              </w:rPr>
              <w:t>687,030,357</w:t>
            </w:r>
          </w:p>
        </w:tc>
      </w:tr>
      <w:tr w:rsidR="00BF5974" w14:paraId="57543CCD"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hideMark/>
          </w:tcPr>
          <w:p w14:paraId="0CB9ADF6" w14:textId="77777777" w:rsidR="00BF5974" w:rsidRDefault="00BF5974">
            <w:pPr>
              <w:spacing w:line="256" w:lineRule="auto"/>
              <w:rPr>
                <w:rFonts w:cs="Arial"/>
                <w:b/>
                <w:sz w:val="18"/>
                <w:szCs w:val="18"/>
                <w:lang w:val="es-ES" w:eastAsia="en-US"/>
              </w:rPr>
            </w:pPr>
            <w:r>
              <w:rPr>
                <w:rFonts w:cs="Arial"/>
                <w:b/>
                <w:sz w:val="18"/>
                <w:szCs w:val="18"/>
                <w:lang w:val="es-ES" w:eastAsia="en-US"/>
              </w:rPr>
              <w:t>5</w:t>
            </w:r>
          </w:p>
        </w:tc>
        <w:tc>
          <w:tcPr>
            <w:tcW w:w="5703" w:type="dxa"/>
            <w:gridSpan w:val="2"/>
            <w:tcBorders>
              <w:top w:val="single" w:sz="4" w:space="0" w:color="auto"/>
              <w:left w:val="single" w:sz="4" w:space="0" w:color="auto"/>
              <w:bottom w:val="single" w:sz="4" w:space="0" w:color="auto"/>
              <w:right w:val="single" w:sz="4" w:space="0" w:color="auto"/>
            </w:tcBorders>
            <w:vAlign w:val="center"/>
            <w:hideMark/>
          </w:tcPr>
          <w:p w14:paraId="4A53759B" w14:textId="77777777" w:rsidR="00BF5974" w:rsidRDefault="00BF5974">
            <w:pPr>
              <w:spacing w:line="256" w:lineRule="auto"/>
              <w:rPr>
                <w:rFonts w:cs="Arial"/>
                <w:b/>
                <w:sz w:val="18"/>
                <w:szCs w:val="18"/>
                <w:lang w:val="es-ES" w:eastAsia="en-US"/>
              </w:rPr>
            </w:pPr>
            <w:r>
              <w:rPr>
                <w:rFonts w:cs="Arial"/>
                <w:b/>
                <w:sz w:val="18"/>
                <w:szCs w:val="18"/>
                <w:lang w:val="es-ES" w:eastAsia="en-US"/>
              </w:rPr>
              <w:t>Fondo de Aportaciones Múltiples.*</w:t>
            </w:r>
          </w:p>
        </w:tc>
        <w:tc>
          <w:tcPr>
            <w:tcW w:w="1384" w:type="dxa"/>
            <w:tcBorders>
              <w:top w:val="single" w:sz="4" w:space="0" w:color="auto"/>
              <w:left w:val="single" w:sz="4" w:space="0" w:color="auto"/>
              <w:bottom w:val="single" w:sz="4" w:space="0" w:color="auto"/>
              <w:right w:val="single" w:sz="4" w:space="0" w:color="auto"/>
            </w:tcBorders>
            <w:vAlign w:val="center"/>
          </w:tcPr>
          <w:p w14:paraId="7ED3A0D5" w14:textId="77777777" w:rsidR="00BF5974" w:rsidRDefault="00BF5974">
            <w:pPr>
              <w:spacing w:line="256" w:lineRule="auto"/>
              <w:jc w:val="right"/>
              <w:rPr>
                <w:rFonts w:cs="Arial"/>
                <w:b/>
                <w:sz w:val="18"/>
                <w:szCs w:val="18"/>
                <w:lang w:val="es-ES"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7CE104E" w14:textId="77777777" w:rsidR="00BF5974" w:rsidRDefault="00BF5974">
            <w:pPr>
              <w:spacing w:line="256" w:lineRule="auto"/>
              <w:jc w:val="right"/>
              <w:rPr>
                <w:rFonts w:cs="Arial"/>
                <w:b/>
                <w:bCs/>
                <w:sz w:val="18"/>
                <w:szCs w:val="18"/>
                <w:lang w:val="es-ES" w:eastAsia="en-US"/>
              </w:rPr>
            </w:pPr>
            <w:r>
              <w:rPr>
                <w:rFonts w:cs="Arial"/>
                <w:b/>
                <w:bCs/>
                <w:sz w:val="18"/>
                <w:szCs w:val="18"/>
                <w:lang w:val="es-ES" w:eastAsia="en-US"/>
              </w:rPr>
              <w:t>402,729,240</w:t>
            </w:r>
          </w:p>
        </w:tc>
      </w:tr>
      <w:tr w:rsidR="00BF5974" w14:paraId="79EF2A17"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tcPr>
          <w:p w14:paraId="55AD74B7" w14:textId="77777777" w:rsidR="00BF5974" w:rsidRDefault="00BF5974">
            <w:pPr>
              <w:spacing w:line="256" w:lineRule="auto"/>
              <w:rPr>
                <w:rFonts w:cs="Arial"/>
                <w:sz w:val="18"/>
                <w:szCs w:val="18"/>
                <w:lang w:val="es-ES" w:eastAsia="en-US"/>
              </w:rPr>
            </w:pPr>
          </w:p>
        </w:tc>
        <w:tc>
          <w:tcPr>
            <w:tcW w:w="568" w:type="dxa"/>
            <w:tcBorders>
              <w:top w:val="single" w:sz="4" w:space="0" w:color="auto"/>
              <w:left w:val="single" w:sz="4" w:space="0" w:color="auto"/>
              <w:bottom w:val="single" w:sz="4" w:space="0" w:color="auto"/>
              <w:right w:val="single" w:sz="4" w:space="0" w:color="auto"/>
            </w:tcBorders>
            <w:vAlign w:val="center"/>
            <w:hideMark/>
          </w:tcPr>
          <w:p w14:paraId="7A636E10" w14:textId="77777777" w:rsidR="00BF5974" w:rsidRDefault="00BF5974">
            <w:pPr>
              <w:spacing w:line="256" w:lineRule="auto"/>
              <w:rPr>
                <w:rFonts w:cs="Arial"/>
                <w:sz w:val="18"/>
                <w:szCs w:val="18"/>
                <w:lang w:val="es-ES" w:eastAsia="en-US"/>
              </w:rPr>
            </w:pPr>
            <w:r>
              <w:rPr>
                <w:rFonts w:cs="Arial"/>
                <w:sz w:val="18"/>
                <w:szCs w:val="18"/>
                <w:lang w:val="es-ES" w:eastAsia="en-US"/>
              </w:rPr>
              <w:t>5.1</w:t>
            </w:r>
          </w:p>
        </w:tc>
        <w:tc>
          <w:tcPr>
            <w:tcW w:w="5135" w:type="dxa"/>
            <w:tcBorders>
              <w:top w:val="single" w:sz="4" w:space="0" w:color="auto"/>
              <w:left w:val="single" w:sz="4" w:space="0" w:color="auto"/>
              <w:bottom w:val="single" w:sz="4" w:space="0" w:color="auto"/>
              <w:right w:val="single" w:sz="4" w:space="0" w:color="auto"/>
            </w:tcBorders>
            <w:vAlign w:val="center"/>
            <w:hideMark/>
          </w:tcPr>
          <w:p w14:paraId="538256FE" w14:textId="77777777" w:rsidR="00BF5974" w:rsidRDefault="00BF5974">
            <w:pPr>
              <w:spacing w:line="256" w:lineRule="auto"/>
              <w:rPr>
                <w:rFonts w:cs="Arial"/>
                <w:sz w:val="18"/>
                <w:szCs w:val="18"/>
                <w:lang w:val="es-ES" w:eastAsia="en-US"/>
              </w:rPr>
            </w:pPr>
            <w:r>
              <w:rPr>
                <w:rFonts w:cs="Arial"/>
                <w:sz w:val="18"/>
                <w:szCs w:val="18"/>
                <w:lang w:val="es-ES" w:eastAsia="en-US"/>
              </w:rPr>
              <w:t>Asistencia Social.</w:t>
            </w:r>
          </w:p>
        </w:tc>
        <w:tc>
          <w:tcPr>
            <w:tcW w:w="1384" w:type="dxa"/>
            <w:tcBorders>
              <w:top w:val="single" w:sz="4" w:space="0" w:color="auto"/>
              <w:left w:val="single" w:sz="4" w:space="0" w:color="auto"/>
              <w:bottom w:val="single" w:sz="4" w:space="0" w:color="auto"/>
              <w:right w:val="single" w:sz="4" w:space="0" w:color="auto"/>
            </w:tcBorders>
            <w:vAlign w:val="bottom"/>
            <w:hideMark/>
          </w:tcPr>
          <w:p w14:paraId="4A503FCA" w14:textId="77777777" w:rsidR="00BF5974" w:rsidRDefault="00BF5974">
            <w:pPr>
              <w:spacing w:line="256" w:lineRule="auto"/>
              <w:jc w:val="right"/>
              <w:rPr>
                <w:rFonts w:cs="Arial"/>
                <w:bCs/>
                <w:sz w:val="18"/>
                <w:szCs w:val="18"/>
                <w:lang w:val="es-ES" w:eastAsia="en-US"/>
              </w:rPr>
            </w:pPr>
            <w:r>
              <w:rPr>
                <w:rFonts w:cs="Arial"/>
                <w:bCs/>
                <w:sz w:val="18"/>
                <w:szCs w:val="18"/>
                <w:lang w:val="es-ES" w:eastAsia="en-US"/>
              </w:rPr>
              <w:t>132,220,371</w:t>
            </w:r>
          </w:p>
        </w:tc>
        <w:tc>
          <w:tcPr>
            <w:tcW w:w="1418" w:type="dxa"/>
            <w:tcBorders>
              <w:top w:val="single" w:sz="4" w:space="0" w:color="auto"/>
              <w:left w:val="single" w:sz="4" w:space="0" w:color="auto"/>
              <w:bottom w:val="single" w:sz="4" w:space="0" w:color="auto"/>
              <w:right w:val="single" w:sz="4" w:space="0" w:color="auto"/>
            </w:tcBorders>
            <w:vAlign w:val="center"/>
          </w:tcPr>
          <w:p w14:paraId="03AC0958" w14:textId="77777777" w:rsidR="00BF5974" w:rsidRDefault="00BF5974">
            <w:pPr>
              <w:spacing w:line="256" w:lineRule="auto"/>
              <w:jc w:val="right"/>
              <w:rPr>
                <w:rFonts w:cs="Arial"/>
                <w:sz w:val="18"/>
                <w:szCs w:val="18"/>
                <w:lang w:val="es-ES" w:eastAsia="en-US"/>
              </w:rPr>
            </w:pPr>
          </w:p>
        </w:tc>
      </w:tr>
      <w:tr w:rsidR="00BF5974" w14:paraId="540D1EC7"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tcPr>
          <w:p w14:paraId="672EAC3D" w14:textId="77777777" w:rsidR="00BF5974" w:rsidRDefault="00BF5974">
            <w:pPr>
              <w:spacing w:line="256" w:lineRule="auto"/>
              <w:rPr>
                <w:rFonts w:cs="Arial"/>
                <w:sz w:val="18"/>
                <w:szCs w:val="18"/>
                <w:lang w:val="es-ES" w:eastAsia="en-US"/>
              </w:rPr>
            </w:pPr>
          </w:p>
        </w:tc>
        <w:tc>
          <w:tcPr>
            <w:tcW w:w="568" w:type="dxa"/>
            <w:tcBorders>
              <w:top w:val="single" w:sz="4" w:space="0" w:color="auto"/>
              <w:left w:val="single" w:sz="4" w:space="0" w:color="auto"/>
              <w:bottom w:val="single" w:sz="4" w:space="0" w:color="auto"/>
              <w:right w:val="single" w:sz="4" w:space="0" w:color="auto"/>
            </w:tcBorders>
            <w:vAlign w:val="center"/>
            <w:hideMark/>
          </w:tcPr>
          <w:p w14:paraId="049291FB" w14:textId="77777777" w:rsidR="00BF5974" w:rsidRDefault="00BF5974">
            <w:pPr>
              <w:spacing w:line="256" w:lineRule="auto"/>
              <w:rPr>
                <w:rFonts w:cs="Arial"/>
                <w:sz w:val="18"/>
                <w:szCs w:val="18"/>
                <w:lang w:val="es-ES" w:eastAsia="en-US"/>
              </w:rPr>
            </w:pPr>
            <w:r>
              <w:rPr>
                <w:rFonts w:cs="Arial"/>
                <w:sz w:val="18"/>
                <w:szCs w:val="18"/>
                <w:lang w:val="es-ES" w:eastAsia="en-US"/>
              </w:rPr>
              <w:t>5.2</w:t>
            </w:r>
          </w:p>
        </w:tc>
        <w:tc>
          <w:tcPr>
            <w:tcW w:w="5135" w:type="dxa"/>
            <w:tcBorders>
              <w:top w:val="single" w:sz="4" w:space="0" w:color="auto"/>
              <w:left w:val="single" w:sz="4" w:space="0" w:color="auto"/>
              <w:bottom w:val="single" w:sz="4" w:space="0" w:color="auto"/>
              <w:right w:val="single" w:sz="4" w:space="0" w:color="auto"/>
            </w:tcBorders>
            <w:vAlign w:val="center"/>
            <w:hideMark/>
          </w:tcPr>
          <w:p w14:paraId="05F6FA4B" w14:textId="77777777" w:rsidR="00BF5974" w:rsidRDefault="00BF5974">
            <w:pPr>
              <w:spacing w:line="256" w:lineRule="auto"/>
              <w:rPr>
                <w:rFonts w:cs="Arial"/>
                <w:sz w:val="18"/>
                <w:szCs w:val="18"/>
                <w:lang w:val="es-ES" w:eastAsia="en-US"/>
              </w:rPr>
            </w:pPr>
            <w:r>
              <w:rPr>
                <w:rFonts w:cs="Arial"/>
                <w:sz w:val="18"/>
                <w:szCs w:val="18"/>
                <w:lang w:val="es-ES" w:eastAsia="en-US"/>
              </w:rPr>
              <w:t>Infraestructura Educativa Básica.</w:t>
            </w:r>
          </w:p>
        </w:tc>
        <w:tc>
          <w:tcPr>
            <w:tcW w:w="1384" w:type="dxa"/>
            <w:tcBorders>
              <w:top w:val="single" w:sz="4" w:space="0" w:color="auto"/>
              <w:left w:val="single" w:sz="4" w:space="0" w:color="auto"/>
              <w:bottom w:val="single" w:sz="4" w:space="0" w:color="auto"/>
              <w:right w:val="single" w:sz="4" w:space="0" w:color="auto"/>
            </w:tcBorders>
            <w:vAlign w:val="bottom"/>
            <w:hideMark/>
          </w:tcPr>
          <w:p w14:paraId="6EECB3E2" w14:textId="77777777" w:rsidR="00BF5974" w:rsidRDefault="00BF5974">
            <w:pPr>
              <w:spacing w:line="256" w:lineRule="auto"/>
              <w:jc w:val="right"/>
              <w:rPr>
                <w:rFonts w:cs="Arial"/>
                <w:bCs/>
                <w:sz w:val="18"/>
                <w:szCs w:val="18"/>
                <w:lang w:val="es-ES" w:eastAsia="en-US"/>
              </w:rPr>
            </w:pPr>
            <w:r>
              <w:rPr>
                <w:rFonts w:cs="Arial"/>
                <w:bCs/>
                <w:sz w:val="18"/>
                <w:szCs w:val="18"/>
                <w:lang w:val="es-ES" w:eastAsia="en-US"/>
              </w:rPr>
              <w:t xml:space="preserve">106,704,319 </w:t>
            </w:r>
          </w:p>
        </w:tc>
        <w:tc>
          <w:tcPr>
            <w:tcW w:w="1418" w:type="dxa"/>
            <w:tcBorders>
              <w:top w:val="single" w:sz="4" w:space="0" w:color="auto"/>
              <w:left w:val="single" w:sz="4" w:space="0" w:color="auto"/>
              <w:bottom w:val="single" w:sz="4" w:space="0" w:color="auto"/>
              <w:right w:val="single" w:sz="4" w:space="0" w:color="auto"/>
            </w:tcBorders>
            <w:vAlign w:val="center"/>
          </w:tcPr>
          <w:p w14:paraId="09BDDE7D" w14:textId="77777777" w:rsidR="00BF5974" w:rsidRDefault="00BF5974">
            <w:pPr>
              <w:spacing w:line="256" w:lineRule="auto"/>
              <w:jc w:val="right"/>
              <w:rPr>
                <w:rFonts w:cs="Arial"/>
                <w:bCs/>
                <w:sz w:val="18"/>
                <w:szCs w:val="18"/>
                <w:lang w:val="es-ES" w:eastAsia="en-US"/>
              </w:rPr>
            </w:pPr>
          </w:p>
        </w:tc>
      </w:tr>
      <w:tr w:rsidR="00BF5974" w14:paraId="36B496CE"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tcPr>
          <w:p w14:paraId="16628912" w14:textId="77777777" w:rsidR="00BF5974" w:rsidRDefault="00BF5974">
            <w:pPr>
              <w:spacing w:line="256" w:lineRule="auto"/>
              <w:rPr>
                <w:rFonts w:cs="Arial"/>
                <w:sz w:val="18"/>
                <w:szCs w:val="18"/>
                <w:lang w:val="es-ES" w:eastAsia="en-US"/>
              </w:rPr>
            </w:pPr>
          </w:p>
        </w:tc>
        <w:tc>
          <w:tcPr>
            <w:tcW w:w="568" w:type="dxa"/>
            <w:tcBorders>
              <w:top w:val="single" w:sz="4" w:space="0" w:color="auto"/>
              <w:left w:val="single" w:sz="4" w:space="0" w:color="auto"/>
              <w:bottom w:val="single" w:sz="4" w:space="0" w:color="auto"/>
              <w:right w:val="single" w:sz="4" w:space="0" w:color="auto"/>
            </w:tcBorders>
            <w:vAlign w:val="center"/>
            <w:hideMark/>
          </w:tcPr>
          <w:p w14:paraId="5D3123AC" w14:textId="77777777" w:rsidR="00BF5974" w:rsidRDefault="00BF5974">
            <w:pPr>
              <w:spacing w:line="256" w:lineRule="auto"/>
              <w:rPr>
                <w:rFonts w:cs="Arial"/>
                <w:sz w:val="18"/>
                <w:szCs w:val="18"/>
                <w:lang w:val="es-ES" w:eastAsia="en-US"/>
              </w:rPr>
            </w:pPr>
            <w:r>
              <w:rPr>
                <w:rFonts w:cs="Arial"/>
                <w:sz w:val="18"/>
                <w:szCs w:val="18"/>
                <w:lang w:val="es-ES" w:eastAsia="en-US"/>
              </w:rPr>
              <w:t>5.3</w:t>
            </w:r>
          </w:p>
        </w:tc>
        <w:tc>
          <w:tcPr>
            <w:tcW w:w="5135" w:type="dxa"/>
            <w:tcBorders>
              <w:top w:val="single" w:sz="4" w:space="0" w:color="auto"/>
              <w:left w:val="single" w:sz="4" w:space="0" w:color="auto"/>
              <w:bottom w:val="single" w:sz="4" w:space="0" w:color="auto"/>
              <w:right w:val="single" w:sz="4" w:space="0" w:color="auto"/>
            </w:tcBorders>
            <w:vAlign w:val="center"/>
            <w:hideMark/>
          </w:tcPr>
          <w:p w14:paraId="413256CD" w14:textId="77777777" w:rsidR="00BF5974" w:rsidRDefault="00BF5974">
            <w:pPr>
              <w:spacing w:line="256" w:lineRule="auto"/>
              <w:rPr>
                <w:rFonts w:cs="Arial"/>
                <w:sz w:val="18"/>
                <w:szCs w:val="18"/>
                <w:lang w:val="es-ES" w:eastAsia="en-US"/>
              </w:rPr>
            </w:pPr>
            <w:r>
              <w:rPr>
                <w:rFonts w:cs="Arial"/>
                <w:sz w:val="18"/>
                <w:szCs w:val="18"/>
                <w:lang w:val="es-ES" w:eastAsia="en-US"/>
              </w:rPr>
              <w:t>Infraestructura Media Superior.</w:t>
            </w:r>
          </w:p>
        </w:tc>
        <w:tc>
          <w:tcPr>
            <w:tcW w:w="1384" w:type="dxa"/>
            <w:tcBorders>
              <w:top w:val="single" w:sz="4" w:space="0" w:color="auto"/>
              <w:left w:val="single" w:sz="4" w:space="0" w:color="auto"/>
              <w:bottom w:val="single" w:sz="4" w:space="0" w:color="auto"/>
              <w:right w:val="single" w:sz="4" w:space="0" w:color="auto"/>
            </w:tcBorders>
            <w:vAlign w:val="bottom"/>
            <w:hideMark/>
          </w:tcPr>
          <w:p w14:paraId="4338BDBB" w14:textId="77777777" w:rsidR="00BF5974" w:rsidRDefault="00BF5974">
            <w:pPr>
              <w:spacing w:line="256" w:lineRule="auto"/>
              <w:jc w:val="right"/>
              <w:rPr>
                <w:rFonts w:cs="Arial"/>
                <w:bCs/>
                <w:sz w:val="18"/>
                <w:szCs w:val="18"/>
                <w:lang w:val="es-ES" w:eastAsia="en-US"/>
              </w:rPr>
            </w:pPr>
            <w:r>
              <w:rPr>
                <w:rFonts w:cs="Arial"/>
                <w:bCs/>
                <w:sz w:val="18"/>
                <w:szCs w:val="18"/>
                <w:lang w:val="es-ES" w:eastAsia="en-US"/>
              </w:rPr>
              <w:t xml:space="preserve">4,132,120 </w:t>
            </w:r>
          </w:p>
        </w:tc>
        <w:tc>
          <w:tcPr>
            <w:tcW w:w="1418" w:type="dxa"/>
            <w:tcBorders>
              <w:top w:val="single" w:sz="4" w:space="0" w:color="auto"/>
              <w:left w:val="single" w:sz="4" w:space="0" w:color="auto"/>
              <w:bottom w:val="single" w:sz="4" w:space="0" w:color="auto"/>
              <w:right w:val="single" w:sz="4" w:space="0" w:color="auto"/>
            </w:tcBorders>
            <w:vAlign w:val="center"/>
          </w:tcPr>
          <w:p w14:paraId="72D37ECE" w14:textId="77777777" w:rsidR="00BF5974" w:rsidRDefault="00BF5974">
            <w:pPr>
              <w:spacing w:line="256" w:lineRule="auto"/>
              <w:jc w:val="right"/>
              <w:rPr>
                <w:rFonts w:cs="Arial"/>
                <w:bCs/>
                <w:sz w:val="18"/>
                <w:szCs w:val="18"/>
                <w:lang w:val="es-ES" w:eastAsia="en-US"/>
              </w:rPr>
            </w:pPr>
          </w:p>
        </w:tc>
      </w:tr>
      <w:tr w:rsidR="00BF5974" w14:paraId="6EC0EBC7"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tcPr>
          <w:p w14:paraId="490A1AF4" w14:textId="77777777" w:rsidR="00BF5974" w:rsidRDefault="00BF5974">
            <w:pPr>
              <w:spacing w:line="256" w:lineRule="auto"/>
              <w:rPr>
                <w:rFonts w:cs="Arial"/>
                <w:sz w:val="18"/>
                <w:szCs w:val="18"/>
                <w:lang w:val="es-ES" w:eastAsia="en-US"/>
              </w:rPr>
            </w:pPr>
          </w:p>
        </w:tc>
        <w:tc>
          <w:tcPr>
            <w:tcW w:w="568" w:type="dxa"/>
            <w:tcBorders>
              <w:top w:val="single" w:sz="4" w:space="0" w:color="auto"/>
              <w:left w:val="single" w:sz="4" w:space="0" w:color="auto"/>
              <w:bottom w:val="single" w:sz="4" w:space="0" w:color="auto"/>
              <w:right w:val="single" w:sz="4" w:space="0" w:color="auto"/>
            </w:tcBorders>
            <w:vAlign w:val="center"/>
            <w:hideMark/>
          </w:tcPr>
          <w:p w14:paraId="23B8CC5F" w14:textId="77777777" w:rsidR="00BF5974" w:rsidRDefault="00BF5974">
            <w:pPr>
              <w:spacing w:line="256" w:lineRule="auto"/>
              <w:rPr>
                <w:rFonts w:cs="Arial"/>
                <w:sz w:val="18"/>
                <w:szCs w:val="18"/>
                <w:lang w:val="es-ES" w:eastAsia="en-US"/>
              </w:rPr>
            </w:pPr>
            <w:r>
              <w:rPr>
                <w:rFonts w:cs="Arial"/>
                <w:sz w:val="18"/>
                <w:szCs w:val="18"/>
                <w:lang w:val="es-ES" w:eastAsia="en-US"/>
              </w:rPr>
              <w:t>5.4</w:t>
            </w:r>
          </w:p>
        </w:tc>
        <w:tc>
          <w:tcPr>
            <w:tcW w:w="5135" w:type="dxa"/>
            <w:tcBorders>
              <w:top w:val="single" w:sz="4" w:space="0" w:color="auto"/>
              <w:left w:val="single" w:sz="4" w:space="0" w:color="auto"/>
              <w:bottom w:val="single" w:sz="4" w:space="0" w:color="auto"/>
              <w:right w:val="single" w:sz="4" w:space="0" w:color="auto"/>
            </w:tcBorders>
            <w:vAlign w:val="center"/>
            <w:hideMark/>
          </w:tcPr>
          <w:p w14:paraId="0385282A" w14:textId="77777777" w:rsidR="00BF5974" w:rsidRDefault="00BF5974">
            <w:pPr>
              <w:spacing w:line="256" w:lineRule="auto"/>
              <w:rPr>
                <w:rFonts w:cs="Arial"/>
                <w:sz w:val="18"/>
                <w:szCs w:val="18"/>
                <w:lang w:val="es-ES" w:eastAsia="en-US"/>
              </w:rPr>
            </w:pPr>
            <w:r>
              <w:rPr>
                <w:rFonts w:cs="Arial"/>
                <w:sz w:val="18"/>
                <w:szCs w:val="18"/>
                <w:lang w:val="es-ES" w:eastAsia="en-US"/>
              </w:rPr>
              <w:t>Infraestructura Superior.</w:t>
            </w:r>
          </w:p>
        </w:tc>
        <w:tc>
          <w:tcPr>
            <w:tcW w:w="1384" w:type="dxa"/>
            <w:tcBorders>
              <w:top w:val="single" w:sz="4" w:space="0" w:color="auto"/>
              <w:left w:val="single" w:sz="4" w:space="0" w:color="auto"/>
              <w:bottom w:val="single" w:sz="4" w:space="0" w:color="auto"/>
              <w:right w:val="single" w:sz="4" w:space="0" w:color="auto"/>
            </w:tcBorders>
            <w:vAlign w:val="bottom"/>
            <w:hideMark/>
          </w:tcPr>
          <w:p w14:paraId="266289F5" w14:textId="77777777" w:rsidR="00BF5974" w:rsidRDefault="00BF5974">
            <w:pPr>
              <w:spacing w:line="256" w:lineRule="auto"/>
              <w:jc w:val="right"/>
              <w:rPr>
                <w:rFonts w:cs="Arial"/>
                <w:bCs/>
                <w:sz w:val="18"/>
                <w:szCs w:val="18"/>
                <w:lang w:val="es-ES" w:eastAsia="en-US"/>
              </w:rPr>
            </w:pPr>
            <w:r>
              <w:rPr>
                <w:rFonts w:cs="Arial"/>
                <w:bCs/>
                <w:sz w:val="18"/>
                <w:szCs w:val="18"/>
                <w:lang w:val="es-ES" w:eastAsia="en-US"/>
              </w:rPr>
              <w:t xml:space="preserve">58,990,122 </w:t>
            </w:r>
          </w:p>
        </w:tc>
        <w:tc>
          <w:tcPr>
            <w:tcW w:w="1418" w:type="dxa"/>
            <w:tcBorders>
              <w:top w:val="single" w:sz="4" w:space="0" w:color="auto"/>
              <w:left w:val="single" w:sz="4" w:space="0" w:color="auto"/>
              <w:bottom w:val="single" w:sz="4" w:space="0" w:color="auto"/>
              <w:right w:val="single" w:sz="4" w:space="0" w:color="auto"/>
            </w:tcBorders>
            <w:vAlign w:val="center"/>
          </w:tcPr>
          <w:p w14:paraId="2D534669" w14:textId="77777777" w:rsidR="00BF5974" w:rsidRDefault="00BF5974">
            <w:pPr>
              <w:spacing w:line="256" w:lineRule="auto"/>
              <w:jc w:val="right"/>
              <w:rPr>
                <w:rFonts w:cs="Arial"/>
                <w:sz w:val="18"/>
                <w:szCs w:val="18"/>
                <w:lang w:val="es-ES" w:eastAsia="en-US"/>
              </w:rPr>
            </w:pPr>
          </w:p>
        </w:tc>
      </w:tr>
      <w:tr w:rsidR="00BF5974" w14:paraId="7093E189"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tcPr>
          <w:p w14:paraId="7A2235FD" w14:textId="77777777" w:rsidR="00BF5974" w:rsidRDefault="00BF5974">
            <w:pPr>
              <w:spacing w:line="256" w:lineRule="auto"/>
              <w:rPr>
                <w:rFonts w:cs="Arial"/>
                <w:sz w:val="18"/>
                <w:szCs w:val="18"/>
                <w:lang w:val="es-ES" w:eastAsia="en-US"/>
              </w:rPr>
            </w:pPr>
          </w:p>
        </w:tc>
        <w:tc>
          <w:tcPr>
            <w:tcW w:w="568" w:type="dxa"/>
            <w:tcBorders>
              <w:top w:val="single" w:sz="4" w:space="0" w:color="auto"/>
              <w:left w:val="single" w:sz="4" w:space="0" w:color="auto"/>
              <w:bottom w:val="single" w:sz="4" w:space="0" w:color="auto"/>
              <w:right w:val="single" w:sz="4" w:space="0" w:color="auto"/>
            </w:tcBorders>
            <w:vAlign w:val="center"/>
            <w:hideMark/>
          </w:tcPr>
          <w:p w14:paraId="0D7E1F21" w14:textId="77777777" w:rsidR="00BF5974" w:rsidRDefault="00BF5974">
            <w:pPr>
              <w:spacing w:line="256" w:lineRule="auto"/>
              <w:rPr>
                <w:rFonts w:cs="Arial"/>
                <w:sz w:val="18"/>
                <w:szCs w:val="18"/>
                <w:lang w:val="es-ES" w:eastAsia="en-US"/>
              </w:rPr>
            </w:pPr>
            <w:r>
              <w:rPr>
                <w:rFonts w:cs="Arial"/>
                <w:sz w:val="18"/>
                <w:szCs w:val="18"/>
                <w:lang w:val="es-ES" w:eastAsia="en-US"/>
              </w:rPr>
              <w:t>5.5</w:t>
            </w:r>
          </w:p>
        </w:tc>
        <w:tc>
          <w:tcPr>
            <w:tcW w:w="5135" w:type="dxa"/>
            <w:tcBorders>
              <w:top w:val="single" w:sz="4" w:space="0" w:color="auto"/>
              <w:left w:val="single" w:sz="4" w:space="0" w:color="auto"/>
              <w:bottom w:val="single" w:sz="4" w:space="0" w:color="auto"/>
              <w:right w:val="single" w:sz="4" w:space="0" w:color="auto"/>
            </w:tcBorders>
            <w:vAlign w:val="center"/>
            <w:hideMark/>
          </w:tcPr>
          <w:p w14:paraId="3A7CDDFA" w14:textId="1C822ECB" w:rsidR="00BF5974" w:rsidRDefault="006A37D9">
            <w:pPr>
              <w:spacing w:line="256" w:lineRule="auto"/>
              <w:rPr>
                <w:rFonts w:cs="Arial"/>
                <w:sz w:val="18"/>
                <w:szCs w:val="18"/>
                <w:lang w:val="es-ES" w:eastAsia="en-US"/>
              </w:rPr>
            </w:pPr>
            <w:r>
              <w:rPr>
                <w:rFonts w:cs="Arial"/>
                <w:sz w:val="18"/>
                <w:szCs w:val="18"/>
                <w:lang w:val="es-ES" w:eastAsia="en-US"/>
              </w:rPr>
              <w:t xml:space="preserve">FAM – Fideicomiso </w:t>
            </w:r>
          </w:p>
        </w:tc>
        <w:tc>
          <w:tcPr>
            <w:tcW w:w="1384" w:type="dxa"/>
            <w:tcBorders>
              <w:top w:val="single" w:sz="4" w:space="0" w:color="auto"/>
              <w:left w:val="single" w:sz="4" w:space="0" w:color="auto"/>
              <w:bottom w:val="single" w:sz="4" w:space="0" w:color="auto"/>
              <w:right w:val="single" w:sz="4" w:space="0" w:color="auto"/>
            </w:tcBorders>
            <w:vAlign w:val="bottom"/>
            <w:hideMark/>
          </w:tcPr>
          <w:p w14:paraId="635C8102" w14:textId="77777777" w:rsidR="00BF5974" w:rsidRDefault="00BF5974">
            <w:pPr>
              <w:spacing w:line="256" w:lineRule="auto"/>
              <w:jc w:val="right"/>
              <w:rPr>
                <w:rFonts w:cs="Arial"/>
                <w:bCs/>
                <w:sz w:val="18"/>
                <w:szCs w:val="18"/>
                <w:lang w:val="es-ES" w:eastAsia="en-US"/>
              </w:rPr>
            </w:pPr>
            <w:r>
              <w:rPr>
                <w:rFonts w:cs="Arial"/>
                <w:bCs/>
                <w:sz w:val="18"/>
                <w:szCs w:val="18"/>
                <w:lang w:val="es-ES" w:eastAsia="en-US"/>
              </w:rPr>
              <w:t xml:space="preserve">100,682,308 </w:t>
            </w:r>
          </w:p>
        </w:tc>
        <w:tc>
          <w:tcPr>
            <w:tcW w:w="1418" w:type="dxa"/>
            <w:tcBorders>
              <w:top w:val="single" w:sz="4" w:space="0" w:color="auto"/>
              <w:left w:val="single" w:sz="4" w:space="0" w:color="auto"/>
              <w:bottom w:val="single" w:sz="4" w:space="0" w:color="auto"/>
              <w:right w:val="single" w:sz="4" w:space="0" w:color="auto"/>
            </w:tcBorders>
            <w:vAlign w:val="center"/>
          </w:tcPr>
          <w:p w14:paraId="6ECE049D" w14:textId="77777777" w:rsidR="00BF5974" w:rsidRDefault="00BF5974">
            <w:pPr>
              <w:spacing w:line="256" w:lineRule="auto"/>
              <w:jc w:val="right"/>
              <w:rPr>
                <w:rFonts w:cs="Arial"/>
                <w:sz w:val="18"/>
                <w:szCs w:val="18"/>
                <w:lang w:val="es-ES" w:eastAsia="en-US"/>
              </w:rPr>
            </w:pPr>
          </w:p>
        </w:tc>
      </w:tr>
      <w:tr w:rsidR="00BF5974" w14:paraId="73E16DA9"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hideMark/>
          </w:tcPr>
          <w:p w14:paraId="74403130" w14:textId="77777777" w:rsidR="00BF5974" w:rsidRDefault="00BF5974">
            <w:pPr>
              <w:spacing w:line="256" w:lineRule="auto"/>
              <w:rPr>
                <w:rFonts w:cs="Arial"/>
                <w:b/>
                <w:sz w:val="18"/>
                <w:szCs w:val="18"/>
                <w:lang w:val="es-ES" w:eastAsia="en-US"/>
              </w:rPr>
            </w:pPr>
            <w:r>
              <w:rPr>
                <w:rFonts w:cs="Arial"/>
                <w:b/>
                <w:sz w:val="18"/>
                <w:szCs w:val="18"/>
                <w:lang w:val="es-ES" w:eastAsia="en-US"/>
              </w:rPr>
              <w:t>6</w:t>
            </w:r>
          </w:p>
        </w:tc>
        <w:tc>
          <w:tcPr>
            <w:tcW w:w="5703" w:type="dxa"/>
            <w:gridSpan w:val="2"/>
            <w:tcBorders>
              <w:top w:val="single" w:sz="4" w:space="0" w:color="auto"/>
              <w:left w:val="single" w:sz="4" w:space="0" w:color="auto"/>
              <w:bottom w:val="single" w:sz="4" w:space="0" w:color="auto"/>
              <w:right w:val="single" w:sz="4" w:space="0" w:color="auto"/>
            </w:tcBorders>
            <w:vAlign w:val="center"/>
            <w:hideMark/>
          </w:tcPr>
          <w:p w14:paraId="5DABF858" w14:textId="77777777" w:rsidR="00BF5974" w:rsidRDefault="00BF5974">
            <w:pPr>
              <w:spacing w:line="256" w:lineRule="auto"/>
              <w:rPr>
                <w:rFonts w:cs="Arial"/>
                <w:b/>
                <w:sz w:val="18"/>
                <w:szCs w:val="18"/>
                <w:lang w:val="es-ES" w:eastAsia="en-US"/>
              </w:rPr>
            </w:pPr>
            <w:r>
              <w:rPr>
                <w:rFonts w:cs="Arial"/>
                <w:b/>
                <w:sz w:val="18"/>
                <w:szCs w:val="18"/>
                <w:lang w:val="es-ES" w:eastAsia="en-US"/>
              </w:rPr>
              <w:t>Fondo de Aportaciones para la Educación Tecnológica y de Adultos.</w:t>
            </w:r>
          </w:p>
        </w:tc>
        <w:tc>
          <w:tcPr>
            <w:tcW w:w="1384" w:type="dxa"/>
            <w:tcBorders>
              <w:top w:val="single" w:sz="4" w:space="0" w:color="auto"/>
              <w:left w:val="single" w:sz="4" w:space="0" w:color="auto"/>
              <w:bottom w:val="single" w:sz="4" w:space="0" w:color="auto"/>
              <w:right w:val="single" w:sz="4" w:space="0" w:color="auto"/>
            </w:tcBorders>
            <w:vAlign w:val="center"/>
          </w:tcPr>
          <w:p w14:paraId="29633631" w14:textId="77777777" w:rsidR="00BF5974" w:rsidRDefault="00BF5974">
            <w:pPr>
              <w:spacing w:line="256" w:lineRule="auto"/>
              <w:jc w:val="right"/>
              <w:rPr>
                <w:rFonts w:cs="Arial"/>
                <w:b/>
                <w:sz w:val="18"/>
                <w:szCs w:val="18"/>
                <w:lang w:val="es-ES"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E22B0B1" w14:textId="77777777" w:rsidR="00BF5974" w:rsidRDefault="00BF5974">
            <w:pPr>
              <w:spacing w:line="256" w:lineRule="auto"/>
              <w:jc w:val="right"/>
              <w:rPr>
                <w:rFonts w:cs="Arial"/>
                <w:b/>
                <w:bCs/>
                <w:sz w:val="18"/>
                <w:szCs w:val="18"/>
                <w:lang w:val="es-ES" w:eastAsia="en-US"/>
              </w:rPr>
            </w:pPr>
            <w:r>
              <w:rPr>
                <w:rFonts w:cs="Arial"/>
                <w:b/>
                <w:bCs/>
                <w:sz w:val="18"/>
                <w:szCs w:val="18"/>
                <w:lang w:val="es-ES" w:eastAsia="en-US"/>
              </w:rPr>
              <w:t>109,037,084</w:t>
            </w:r>
          </w:p>
        </w:tc>
      </w:tr>
      <w:tr w:rsidR="00BF5974" w14:paraId="4E97B87D"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tcPr>
          <w:p w14:paraId="2A38D3CC" w14:textId="77777777" w:rsidR="00BF5974" w:rsidRDefault="00BF5974">
            <w:pPr>
              <w:spacing w:line="256" w:lineRule="auto"/>
              <w:rPr>
                <w:rFonts w:cs="Arial"/>
                <w:sz w:val="18"/>
                <w:szCs w:val="18"/>
                <w:lang w:val="es-ES" w:eastAsia="en-US"/>
              </w:rPr>
            </w:pPr>
          </w:p>
        </w:tc>
        <w:tc>
          <w:tcPr>
            <w:tcW w:w="568" w:type="dxa"/>
            <w:tcBorders>
              <w:top w:val="single" w:sz="4" w:space="0" w:color="auto"/>
              <w:left w:val="single" w:sz="4" w:space="0" w:color="auto"/>
              <w:bottom w:val="single" w:sz="4" w:space="0" w:color="auto"/>
              <w:right w:val="single" w:sz="4" w:space="0" w:color="auto"/>
            </w:tcBorders>
            <w:vAlign w:val="center"/>
            <w:hideMark/>
          </w:tcPr>
          <w:p w14:paraId="6122060F" w14:textId="77777777" w:rsidR="00BF5974" w:rsidRDefault="00BF5974">
            <w:pPr>
              <w:spacing w:line="256" w:lineRule="auto"/>
              <w:rPr>
                <w:rFonts w:cs="Arial"/>
                <w:sz w:val="18"/>
                <w:szCs w:val="18"/>
                <w:lang w:val="es-ES" w:eastAsia="en-US"/>
              </w:rPr>
            </w:pPr>
            <w:r>
              <w:rPr>
                <w:rFonts w:cs="Arial"/>
                <w:sz w:val="18"/>
                <w:szCs w:val="18"/>
                <w:lang w:val="es-ES" w:eastAsia="en-US"/>
              </w:rPr>
              <w:t>6.1</w:t>
            </w:r>
          </w:p>
        </w:tc>
        <w:tc>
          <w:tcPr>
            <w:tcW w:w="5135" w:type="dxa"/>
            <w:tcBorders>
              <w:top w:val="single" w:sz="4" w:space="0" w:color="auto"/>
              <w:left w:val="single" w:sz="4" w:space="0" w:color="auto"/>
              <w:bottom w:val="single" w:sz="4" w:space="0" w:color="auto"/>
              <w:right w:val="single" w:sz="4" w:space="0" w:color="auto"/>
            </w:tcBorders>
            <w:vAlign w:val="center"/>
            <w:hideMark/>
          </w:tcPr>
          <w:p w14:paraId="714F5C31" w14:textId="77777777" w:rsidR="00BF5974" w:rsidRDefault="00BF5974">
            <w:pPr>
              <w:spacing w:line="256" w:lineRule="auto"/>
              <w:rPr>
                <w:rFonts w:cs="Arial"/>
                <w:sz w:val="18"/>
                <w:szCs w:val="18"/>
                <w:lang w:val="es-ES" w:eastAsia="en-US"/>
              </w:rPr>
            </w:pPr>
            <w:r>
              <w:rPr>
                <w:rFonts w:cs="Arial"/>
                <w:sz w:val="18"/>
                <w:szCs w:val="18"/>
                <w:lang w:val="es-ES" w:eastAsia="en-US"/>
              </w:rPr>
              <w:t>Educación Tecnológica.</w:t>
            </w:r>
          </w:p>
        </w:tc>
        <w:tc>
          <w:tcPr>
            <w:tcW w:w="1384" w:type="dxa"/>
            <w:tcBorders>
              <w:top w:val="single" w:sz="4" w:space="0" w:color="auto"/>
              <w:left w:val="single" w:sz="4" w:space="0" w:color="auto"/>
              <w:bottom w:val="single" w:sz="4" w:space="0" w:color="auto"/>
              <w:right w:val="single" w:sz="4" w:space="0" w:color="auto"/>
            </w:tcBorders>
            <w:vAlign w:val="bottom"/>
            <w:hideMark/>
          </w:tcPr>
          <w:p w14:paraId="0C90AF7A" w14:textId="77777777" w:rsidR="00BF5974" w:rsidRDefault="00BF5974">
            <w:pPr>
              <w:spacing w:line="256" w:lineRule="auto"/>
              <w:jc w:val="right"/>
              <w:rPr>
                <w:rFonts w:cs="Arial"/>
                <w:bCs/>
                <w:sz w:val="18"/>
                <w:szCs w:val="18"/>
                <w:lang w:val="es-ES" w:eastAsia="en-US"/>
              </w:rPr>
            </w:pPr>
            <w:r>
              <w:rPr>
                <w:rFonts w:cs="Arial"/>
                <w:bCs/>
                <w:sz w:val="18"/>
                <w:szCs w:val="18"/>
                <w:lang w:val="es-ES" w:eastAsia="en-US"/>
              </w:rPr>
              <w:t>56,872,587</w:t>
            </w:r>
          </w:p>
        </w:tc>
        <w:tc>
          <w:tcPr>
            <w:tcW w:w="1418" w:type="dxa"/>
            <w:tcBorders>
              <w:top w:val="single" w:sz="4" w:space="0" w:color="auto"/>
              <w:left w:val="single" w:sz="4" w:space="0" w:color="auto"/>
              <w:bottom w:val="single" w:sz="4" w:space="0" w:color="auto"/>
              <w:right w:val="single" w:sz="4" w:space="0" w:color="auto"/>
            </w:tcBorders>
            <w:vAlign w:val="center"/>
          </w:tcPr>
          <w:p w14:paraId="25A88F8C" w14:textId="77777777" w:rsidR="00BF5974" w:rsidRDefault="00BF5974">
            <w:pPr>
              <w:spacing w:line="256" w:lineRule="auto"/>
              <w:jc w:val="right"/>
              <w:rPr>
                <w:rFonts w:cs="Arial"/>
                <w:sz w:val="18"/>
                <w:szCs w:val="18"/>
                <w:lang w:val="es-ES" w:eastAsia="en-US"/>
              </w:rPr>
            </w:pPr>
          </w:p>
        </w:tc>
      </w:tr>
      <w:tr w:rsidR="00BF5974" w14:paraId="7571995E"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tcPr>
          <w:p w14:paraId="2D8D69F4" w14:textId="77777777" w:rsidR="00BF5974" w:rsidRDefault="00BF5974">
            <w:pPr>
              <w:spacing w:line="256" w:lineRule="auto"/>
              <w:rPr>
                <w:rFonts w:cs="Arial"/>
                <w:sz w:val="18"/>
                <w:szCs w:val="18"/>
                <w:lang w:val="es-ES" w:eastAsia="en-US"/>
              </w:rPr>
            </w:pPr>
          </w:p>
        </w:tc>
        <w:tc>
          <w:tcPr>
            <w:tcW w:w="568" w:type="dxa"/>
            <w:tcBorders>
              <w:top w:val="single" w:sz="4" w:space="0" w:color="auto"/>
              <w:left w:val="single" w:sz="4" w:space="0" w:color="auto"/>
              <w:bottom w:val="single" w:sz="4" w:space="0" w:color="auto"/>
              <w:right w:val="single" w:sz="4" w:space="0" w:color="auto"/>
            </w:tcBorders>
            <w:vAlign w:val="center"/>
            <w:hideMark/>
          </w:tcPr>
          <w:p w14:paraId="2526879D" w14:textId="77777777" w:rsidR="00BF5974" w:rsidRDefault="00BF5974">
            <w:pPr>
              <w:spacing w:line="256" w:lineRule="auto"/>
              <w:rPr>
                <w:rFonts w:cs="Arial"/>
                <w:sz w:val="18"/>
                <w:szCs w:val="18"/>
                <w:lang w:val="es-ES" w:eastAsia="en-US"/>
              </w:rPr>
            </w:pPr>
            <w:r>
              <w:rPr>
                <w:rFonts w:cs="Arial"/>
                <w:sz w:val="18"/>
                <w:szCs w:val="18"/>
                <w:lang w:val="es-ES" w:eastAsia="en-US"/>
              </w:rPr>
              <w:t>6.2</w:t>
            </w:r>
          </w:p>
        </w:tc>
        <w:tc>
          <w:tcPr>
            <w:tcW w:w="5135" w:type="dxa"/>
            <w:tcBorders>
              <w:top w:val="single" w:sz="4" w:space="0" w:color="auto"/>
              <w:left w:val="single" w:sz="4" w:space="0" w:color="auto"/>
              <w:bottom w:val="single" w:sz="4" w:space="0" w:color="auto"/>
              <w:right w:val="single" w:sz="4" w:space="0" w:color="auto"/>
            </w:tcBorders>
            <w:vAlign w:val="center"/>
            <w:hideMark/>
          </w:tcPr>
          <w:p w14:paraId="522D60EF" w14:textId="77777777" w:rsidR="00BF5974" w:rsidRDefault="00BF5974">
            <w:pPr>
              <w:spacing w:line="256" w:lineRule="auto"/>
              <w:rPr>
                <w:rFonts w:cs="Arial"/>
                <w:sz w:val="18"/>
                <w:szCs w:val="18"/>
                <w:lang w:val="es-ES" w:eastAsia="en-US"/>
              </w:rPr>
            </w:pPr>
            <w:r>
              <w:rPr>
                <w:rFonts w:cs="Arial"/>
                <w:sz w:val="18"/>
                <w:szCs w:val="18"/>
                <w:lang w:val="es-ES" w:eastAsia="en-US"/>
              </w:rPr>
              <w:t>Educación para Adultos.</w:t>
            </w:r>
          </w:p>
        </w:tc>
        <w:tc>
          <w:tcPr>
            <w:tcW w:w="1384" w:type="dxa"/>
            <w:tcBorders>
              <w:top w:val="single" w:sz="4" w:space="0" w:color="auto"/>
              <w:left w:val="single" w:sz="4" w:space="0" w:color="auto"/>
              <w:bottom w:val="single" w:sz="4" w:space="0" w:color="auto"/>
              <w:right w:val="single" w:sz="4" w:space="0" w:color="auto"/>
            </w:tcBorders>
            <w:vAlign w:val="bottom"/>
            <w:hideMark/>
          </w:tcPr>
          <w:p w14:paraId="31EC94EE" w14:textId="77777777" w:rsidR="00BF5974" w:rsidRDefault="00BF5974">
            <w:pPr>
              <w:spacing w:line="256" w:lineRule="auto"/>
              <w:jc w:val="right"/>
              <w:rPr>
                <w:rFonts w:cs="Arial"/>
                <w:bCs/>
                <w:sz w:val="18"/>
                <w:szCs w:val="18"/>
                <w:lang w:val="es-ES" w:eastAsia="en-US"/>
              </w:rPr>
            </w:pPr>
            <w:r>
              <w:rPr>
                <w:rFonts w:cs="Arial"/>
                <w:bCs/>
                <w:sz w:val="18"/>
                <w:szCs w:val="18"/>
                <w:lang w:val="es-ES" w:eastAsia="en-US"/>
              </w:rPr>
              <w:t>52,164,497</w:t>
            </w:r>
          </w:p>
        </w:tc>
        <w:tc>
          <w:tcPr>
            <w:tcW w:w="1418" w:type="dxa"/>
            <w:tcBorders>
              <w:top w:val="single" w:sz="4" w:space="0" w:color="auto"/>
              <w:left w:val="single" w:sz="4" w:space="0" w:color="auto"/>
              <w:bottom w:val="single" w:sz="4" w:space="0" w:color="auto"/>
              <w:right w:val="single" w:sz="4" w:space="0" w:color="auto"/>
            </w:tcBorders>
            <w:vAlign w:val="center"/>
          </w:tcPr>
          <w:p w14:paraId="5C1A3BB6" w14:textId="77777777" w:rsidR="00BF5974" w:rsidRDefault="00BF5974">
            <w:pPr>
              <w:spacing w:line="256" w:lineRule="auto"/>
              <w:jc w:val="right"/>
              <w:rPr>
                <w:rFonts w:cs="Arial"/>
                <w:sz w:val="18"/>
                <w:szCs w:val="18"/>
                <w:lang w:val="es-ES" w:eastAsia="en-US"/>
              </w:rPr>
            </w:pPr>
          </w:p>
        </w:tc>
      </w:tr>
      <w:tr w:rsidR="00BF5974" w14:paraId="2ED1DE18"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hideMark/>
          </w:tcPr>
          <w:p w14:paraId="2215ACB4" w14:textId="77777777" w:rsidR="00BF5974" w:rsidRDefault="00BF5974">
            <w:pPr>
              <w:spacing w:line="256" w:lineRule="auto"/>
              <w:rPr>
                <w:rFonts w:cs="Arial"/>
                <w:b/>
                <w:sz w:val="18"/>
                <w:szCs w:val="18"/>
                <w:lang w:val="es-ES" w:eastAsia="en-US"/>
              </w:rPr>
            </w:pPr>
            <w:r>
              <w:rPr>
                <w:rFonts w:cs="Arial"/>
                <w:b/>
                <w:sz w:val="18"/>
                <w:szCs w:val="18"/>
                <w:lang w:val="es-ES" w:eastAsia="en-US"/>
              </w:rPr>
              <w:t>7</w:t>
            </w:r>
          </w:p>
        </w:tc>
        <w:tc>
          <w:tcPr>
            <w:tcW w:w="5703" w:type="dxa"/>
            <w:gridSpan w:val="2"/>
            <w:tcBorders>
              <w:top w:val="single" w:sz="4" w:space="0" w:color="auto"/>
              <w:left w:val="single" w:sz="4" w:space="0" w:color="auto"/>
              <w:bottom w:val="single" w:sz="4" w:space="0" w:color="auto"/>
              <w:right w:val="single" w:sz="4" w:space="0" w:color="auto"/>
            </w:tcBorders>
            <w:vAlign w:val="center"/>
            <w:hideMark/>
          </w:tcPr>
          <w:p w14:paraId="348F2B1E" w14:textId="77777777" w:rsidR="00BF5974" w:rsidRDefault="00BF5974">
            <w:pPr>
              <w:spacing w:line="256" w:lineRule="auto"/>
              <w:rPr>
                <w:rFonts w:cs="Arial"/>
                <w:b/>
                <w:sz w:val="18"/>
                <w:szCs w:val="18"/>
                <w:lang w:val="es-ES" w:eastAsia="en-US"/>
              </w:rPr>
            </w:pPr>
            <w:r>
              <w:rPr>
                <w:rFonts w:cs="Arial"/>
                <w:b/>
                <w:sz w:val="18"/>
                <w:szCs w:val="18"/>
                <w:lang w:val="es-ES" w:eastAsia="en-US"/>
              </w:rPr>
              <w:t>Fondo de Aportaciones para la Seguridad Pública de los Estados y del Distrito Federal.*</w:t>
            </w:r>
          </w:p>
        </w:tc>
        <w:tc>
          <w:tcPr>
            <w:tcW w:w="1384" w:type="dxa"/>
            <w:tcBorders>
              <w:top w:val="single" w:sz="4" w:space="0" w:color="auto"/>
              <w:left w:val="single" w:sz="4" w:space="0" w:color="auto"/>
              <w:bottom w:val="single" w:sz="4" w:space="0" w:color="auto"/>
              <w:right w:val="single" w:sz="4" w:space="0" w:color="auto"/>
            </w:tcBorders>
            <w:vAlign w:val="center"/>
          </w:tcPr>
          <w:p w14:paraId="7375DA70" w14:textId="77777777" w:rsidR="00BF5974" w:rsidRDefault="00BF5974">
            <w:pPr>
              <w:spacing w:line="256" w:lineRule="auto"/>
              <w:jc w:val="right"/>
              <w:rPr>
                <w:rFonts w:cs="Arial"/>
                <w:b/>
                <w:sz w:val="18"/>
                <w:szCs w:val="18"/>
                <w:lang w:val="es-ES"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B49F1E7" w14:textId="77777777" w:rsidR="00BF5974" w:rsidRDefault="00BF5974">
            <w:pPr>
              <w:spacing w:line="256" w:lineRule="auto"/>
              <w:jc w:val="right"/>
              <w:rPr>
                <w:rFonts w:cs="Arial"/>
                <w:b/>
                <w:bCs/>
                <w:sz w:val="18"/>
                <w:szCs w:val="18"/>
                <w:lang w:val="es-ES" w:eastAsia="en-US"/>
              </w:rPr>
            </w:pPr>
            <w:r>
              <w:rPr>
                <w:rFonts w:cs="Arial"/>
                <w:b/>
                <w:bCs/>
                <w:sz w:val="18"/>
                <w:szCs w:val="18"/>
                <w:lang w:val="es-ES" w:eastAsia="en-US"/>
              </w:rPr>
              <w:t>254,318,412</w:t>
            </w:r>
          </w:p>
        </w:tc>
      </w:tr>
      <w:tr w:rsidR="00BF5974" w14:paraId="0105F8E3" w14:textId="77777777" w:rsidTr="00105286">
        <w:trPr>
          <w:trHeight w:val="227"/>
          <w:jc w:val="center"/>
        </w:trPr>
        <w:tc>
          <w:tcPr>
            <w:tcW w:w="284" w:type="dxa"/>
            <w:tcBorders>
              <w:top w:val="single" w:sz="4" w:space="0" w:color="auto"/>
              <w:left w:val="single" w:sz="4" w:space="0" w:color="auto"/>
              <w:bottom w:val="single" w:sz="4" w:space="0" w:color="auto"/>
              <w:right w:val="single" w:sz="4" w:space="0" w:color="auto"/>
            </w:tcBorders>
            <w:vAlign w:val="center"/>
            <w:hideMark/>
          </w:tcPr>
          <w:p w14:paraId="44421AE1" w14:textId="77777777" w:rsidR="00BF5974" w:rsidRDefault="00BF5974">
            <w:pPr>
              <w:spacing w:line="256" w:lineRule="auto"/>
              <w:rPr>
                <w:rFonts w:cs="Arial"/>
                <w:b/>
                <w:sz w:val="18"/>
                <w:szCs w:val="18"/>
                <w:lang w:val="es-ES" w:eastAsia="en-US"/>
              </w:rPr>
            </w:pPr>
            <w:r>
              <w:rPr>
                <w:rFonts w:cs="Arial"/>
                <w:b/>
                <w:sz w:val="18"/>
                <w:szCs w:val="18"/>
                <w:lang w:val="es-ES" w:eastAsia="en-US"/>
              </w:rPr>
              <w:t>8</w:t>
            </w:r>
          </w:p>
        </w:tc>
        <w:tc>
          <w:tcPr>
            <w:tcW w:w="5703" w:type="dxa"/>
            <w:gridSpan w:val="2"/>
            <w:tcBorders>
              <w:top w:val="single" w:sz="4" w:space="0" w:color="auto"/>
              <w:left w:val="single" w:sz="4" w:space="0" w:color="auto"/>
              <w:bottom w:val="single" w:sz="4" w:space="0" w:color="auto"/>
              <w:right w:val="single" w:sz="4" w:space="0" w:color="auto"/>
            </w:tcBorders>
            <w:vAlign w:val="center"/>
            <w:hideMark/>
          </w:tcPr>
          <w:p w14:paraId="370E139D" w14:textId="77777777" w:rsidR="00BF5974" w:rsidRDefault="00BF5974">
            <w:pPr>
              <w:spacing w:line="256" w:lineRule="auto"/>
              <w:rPr>
                <w:rFonts w:cs="Arial"/>
                <w:b/>
                <w:sz w:val="18"/>
                <w:szCs w:val="18"/>
                <w:lang w:val="es-ES" w:eastAsia="en-US"/>
              </w:rPr>
            </w:pPr>
            <w:r>
              <w:rPr>
                <w:rFonts w:cs="Arial"/>
                <w:b/>
                <w:sz w:val="18"/>
                <w:szCs w:val="18"/>
                <w:lang w:val="es-ES" w:eastAsia="en-US"/>
              </w:rPr>
              <w:t>Fondo de Aportaciones para el Fortalecimiento de las Entidades Federativas.</w:t>
            </w:r>
          </w:p>
        </w:tc>
        <w:tc>
          <w:tcPr>
            <w:tcW w:w="1384" w:type="dxa"/>
            <w:tcBorders>
              <w:top w:val="single" w:sz="4" w:space="0" w:color="auto"/>
              <w:left w:val="single" w:sz="4" w:space="0" w:color="auto"/>
              <w:bottom w:val="single" w:sz="4" w:space="0" w:color="auto"/>
              <w:right w:val="single" w:sz="4" w:space="0" w:color="auto"/>
            </w:tcBorders>
            <w:vAlign w:val="center"/>
          </w:tcPr>
          <w:p w14:paraId="32133AC3" w14:textId="77777777" w:rsidR="00BF5974" w:rsidRDefault="00BF5974">
            <w:pPr>
              <w:spacing w:line="256" w:lineRule="auto"/>
              <w:jc w:val="right"/>
              <w:rPr>
                <w:rFonts w:cs="Arial"/>
                <w:b/>
                <w:sz w:val="18"/>
                <w:szCs w:val="18"/>
                <w:lang w:val="es-ES"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6C224AE" w14:textId="77777777" w:rsidR="00BF5974" w:rsidRDefault="00BF5974">
            <w:pPr>
              <w:spacing w:line="256" w:lineRule="auto"/>
              <w:jc w:val="right"/>
              <w:rPr>
                <w:rFonts w:cs="Arial"/>
                <w:b/>
                <w:bCs/>
                <w:sz w:val="18"/>
                <w:szCs w:val="18"/>
                <w:lang w:val="es-ES" w:eastAsia="en-US"/>
              </w:rPr>
            </w:pPr>
            <w:r>
              <w:rPr>
                <w:rFonts w:cs="Arial"/>
                <w:b/>
                <w:bCs/>
                <w:sz w:val="18"/>
                <w:szCs w:val="18"/>
                <w:lang w:val="es-ES" w:eastAsia="en-US"/>
              </w:rPr>
              <w:t>354,427,409</w:t>
            </w:r>
          </w:p>
        </w:tc>
      </w:tr>
      <w:tr w:rsidR="00BF5974" w14:paraId="1E564E38" w14:textId="77777777" w:rsidTr="00105286">
        <w:trPr>
          <w:trHeight w:val="227"/>
          <w:jc w:val="center"/>
        </w:trPr>
        <w:tc>
          <w:tcPr>
            <w:tcW w:w="7371" w:type="dxa"/>
            <w:gridSpan w:val="4"/>
            <w:tcBorders>
              <w:top w:val="single" w:sz="4" w:space="0" w:color="auto"/>
              <w:left w:val="single" w:sz="4" w:space="0" w:color="auto"/>
              <w:bottom w:val="single" w:sz="4" w:space="0" w:color="auto"/>
              <w:right w:val="single" w:sz="4" w:space="0" w:color="auto"/>
            </w:tcBorders>
            <w:vAlign w:val="center"/>
            <w:hideMark/>
          </w:tcPr>
          <w:p w14:paraId="5D29CF7D" w14:textId="77777777" w:rsidR="00BF5974" w:rsidRDefault="00BF5974">
            <w:pPr>
              <w:spacing w:line="256" w:lineRule="auto"/>
              <w:jc w:val="center"/>
              <w:rPr>
                <w:rFonts w:cs="Arial"/>
                <w:b/>
                <w:sz w:val="18"/>
                <w:szCs w:val="18"/>
                <w:lang w:val="es-ES" w:eastAsia="en-US"/>
              </w:rPr>
            </w:pPr>
            <w:r>
              <w:rPr>
                <w:rFonts w:cs="Arial"/>
                <w:b/>
                <w:sz w:val="18"/>
                <w:szCs w:val="18"/>
                <w:lang w:val="es-ES" w:eastAsia="en-US"/>
              </w:rPr>
              <w:t>Total</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09E300" w14:textId="77777777" w:rsidR="00BF5974" w:rsidRDefault="00BF5974">
            <w:pPr>
              <w:spacing w:line="256" w:lineRule="auto"/>
              <w:jc w:val="right"/>
              <w:rPr>
                <w:rFonts w:cs="Arial"/>
                <w:b/>
                <w:sz w:val="18"/>
                <w:szCs w:val="18"/>
                <w:lang w:val="es-ES" w:eastAsia="en-US"/>
              </w:rPr>
            </w:pPr>
            <w:r>
              <w:rPr>
                <w:rFonts w:cs="Arial"/>
                <w:b/>
                <w:sz w:val="18"/>
                <w:szCs w:val="18"/>
                <w:lang w:val="es-ES" w:eastAsia="en-US"/>
              </w:rPr>
              <w:t>8,947,961,092</w:t>
            </w:r>
          </w:p>
        </w:tc>
      </w:tr>
    </w:tbl>
    <w:p w14:paraId="70037E4D" w14:textId="77777777" w:rsidR="00BF5974" w:rsidRDefault="00BF5974" w:rsidP="00BF5974">
      <w:pPr>
        <w:ind w:left="284"/>
        <w:rPr>
          <w:rFonts w:cs="Arial"/>
          <w:sz w:val="18"/>
          <w:lang w:val="es-ES"/>
        </w:rPr>
      </w:pPr>
      <w:r>
        <w:rPr>
          <w:rFonts w:cs="Arial"/>
          <w:sz w:val="18"/>
          <w:lang w:val="es-ES"/>
        </w:rPr>
        <w:t>*Cifras estimadas</w:t>
      </w:r>
    </w:p>
    <w:p w14:paraId="51114682" w14:textId="77777777" w:rsidR="00BF5974" w:rsidRDefault="00BF5974" w:rsidP="00BF5974">
      <w:pPr>
        <w:rPr>
          <w:rFonts w:cs="Arial"/>
          <w:b/>
          <w:lang w:val="es-ES"/>
        </w:rPr>
      </w:pPr>
    </w:p>
    <w:p w14:paraId="1ECAD0DB" w14:textId="77777777" w:rsidR="00BF5974" w:rsidRDefault="00BF5974" w:rsidP="00BF5974">
      <w:pPr>
        <w:rPr>
          <w:rFonts w:cs="Arial"/>
          <w:lang w:val="es-ES"/>
        </w:rPr>
      </w:pPr>
      <w:r>
        <w:rPr>
          <w:rFonts w:cs="Arial"/>
          <w:b/>
          <w:lang w:val="es-ES"/>
        </w:rPr>
        <w:lastRenderedPageBreak/>
        <w:t>Artículo 63</w:t>
      </w:r>
      <w:r>
        <w:rPr>
          <w:rFonts w:cs="Arial"/>
          <w:lang w:val="es-ES"/>
        </w:rPr>
        <w:t>. La aplicación, destino y distribución estimada de los recursos provenientes del Ramo 33 Aportaciones Federales para Entidades Federativas y Municipios en el Ejercicio Fiscal 2025 se desglosan de la siguiente manera.</w:t>
      </w:r>
    </w:p>
    <w:p w14:paraId="65BB1D0D" w14:textId="77777777" w:rsidR="00BF5974" w:rsidRDefault="00BF5974" w:rsidP="00BF59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6525"/>
        <w:gridCol w:w="1174"/>
      </w:tblGrid>
      <w:tr w:rsidR="00BF5974" w14:paraId="4A64F83E" w14:textId="77777777" w:rsidTr="00BF5974">
        <w:trPr>
          <w:trHeight w:val="20"/>
          <w:tblHeader/>
        </w:trPr>
        <w:tc>
          <w:tcPr>
            <w:tcW w:w="8828" w:type="dxa"/>
            <w:gridSpan w:val="3"/>
            <w:tcBorders>
              <w:top w:val="nil"/>
              <w:left w:val="nil"/>
              <w:bottom w:val="single" w:sz="4" w:space="0" w:color="auto"/>
              <w:right w:val="nil"/>
            </w:tcBorders>
            <w:noWrap/>
            <w:vAlign w:val="center"/>
            <w:hideMark/>
          </w:tcPr>
          <w:p w14:paraId="56565E1A" w14:textId="77777777" w:rsidR="00BF5974" w:rsidRDefault="00BF5974">
            <w:pPr>
              <w:spacing w:line="256" w:lineRule="auto"/>
              <w:jc w:val="center"/>
              <w:rPr>
                <w:rFonts w:eastAsia="Times New Roman" w:cs="Arial"/>
                <w:b/>
                <w:bCs/>
                <w:sz w:val="16"/>
                <w:szCs w:val="16"/>
                <w:lang w:val="es-ES" w:eastAsia="en-US"/>
              </w:rPr>
            </w:pPr>
            <w:r>
              <w:rPr>
                <w:rFonts w:eastAsia="Times New Roman" w:cs="Arial"/>
                <w:b/>
                <w:sz w:val="20"/>
                <w:szCs w:val="18"/>
                <w:lang w:val="es-ES" w:eastAsia="en-US"/>
              </w:rPr>
              <w:t>Tabla 49. Aplicación Estimada de las Aportaciones del Ramo 33</w:t>
            </w:r>
          </w:p>
        </w:tc>
      </w:tr>
      <w:tr w:rsidR="00BF5974" w14:paraId="2788B6A7" w14:textId="77777777" w:rsidTr="00BF5974">
        <w:trPr>
          <w:trHeight w:val="20"/>
          <w:tblHeader/>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943279" w14:textId="77777777" w:rsidR="00BF5974" w:rsidRDefault="00BF5974">
            <w:pPr>
              <w:spacing w:line="256" w:lineRule="auto"/>
              <w:jc w:val="center"/>
              <w:rPr>
                <w:rFonts w:eastAsia="Times New Roman" w:cs="Arial"/>
                <w:b/>
                <w:bCs/>
                <w:color w:val="000000"/>
                <w:sz w:val="14"/>
                <w:szCs w:val="14"/>
                <w:lang w:val="es-ES" w:eastAsia="en-US"/>
              </w:rPr>
            </w:pPr>
            <w:r>
              <w:rPr>
                <w:rFonts w:eastAsia="Times New Roman" w:cs="Arial"/>
                <w:b/>
                <w:bCs/>
                <w:color w:val="000000"/>
                <w:sz w:val="14"/>
                <w:szCs w:val="14"/>
                <w:lang w:val="es-ES" w:eastAsia="en-US"/>
              </w:rPr>
              <w:t>Clave</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611E87" w14:textId="77777777" w:rsidR="00BF5974" w:rsidRDefault="00BF5974">
            <w:pPr>
              <w:spacing w:line="256" w:lineRule="auto"/>
              <w:jc w:val="center"/>
              <w:rPr>
                <w:rFonts w:eastAsia="Times New Roman" w:cs="Arial"/>
                <w:b/>
                <w:bCs/>
                <w:color w:val="000000"/>
                <w:sz w:val="14"/>
                <w:szCs w:val="14"/>
                <w:lang w:val="es-ES" w:eastAsia="en-US"/>
              </w:rPr>
            </w:pPr>
            <w:r>
              <w:rPr>
                <w:rFonts w:eastAsia="Times New Roman" w:cs="Arial"/>
                <w:b/>
                <w:bCs/>
                <w:color w:val="000000"/>
                <w:sz w:val="14"/>
                <w:szCs w:val="14"/>
                <w:lang w:val="es-ES" w:eastAsia="en-US"/>
              </w:rPr>
              <w:t>Fondo/Proyecto</w:t>
            </w:r>
          </w:p>
        </w:tc>
        <w:tc>
          <w:tcPr>
            <w:tcW w:w="117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DD0153" w14:textId="77777777" w:rsidR="00BF5974" w:rsidRDefault="00BF5974">
            <w:pPr>
              <w:spacing w:line="256" w:lineRule="auto"/>
              <w:jc w:val="center"/>
              <w:rPr>
                <w:rFonts w:eastAsia="Times New Roman" w:cs="Arial"/>
                <w:b/>
                <w:bCs/>
                <w:color w:val="000000"/>
                <w:sz w:val="14"/>
                <w:szCs w:val="14"/>
                <w:lang w:val="es-ES" w:eastAsia="en-US"/>
              </w:rPr>
            </w:pPr>
            <w:r>
              <w:rPr>
                <w:rFonts w:eastAsia="Times New Roman" w:cs="Arial"/>
                <w:b/>
                <w:bCs/>
                <w:color w:val="000000"/>
                <w:sz w:val="14"/>
                <w:szCs w:val="14"/>
                <w:lang w:val="es-ES" w:eastAsia="en-US"/>
              </w:rPr>
              <w:t>Asignación Presupuestal</w:t>
            </w:r>
          </w:p>
        </w:tc>
      </w:tr>
      <w:tr w:rsidR="00BF5974" w14:paraId="7A24AA2F"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D3F4EB" w14:textId="77777777" w:rsidR="00BF5974" w:rsidRDefault="00BF5974">
            <w:pPr>
              <w:spacing w:line="256" w:lineRule="auto"/>
              <w:jc w:val="center"/>
              <w:rPr>
                <w:rFonts w:eastAsia="Times New Roman" w:cs="Arial"/>
                <w:b/>
                <w:bCs/>
                <w:color w:val="000000"/>
                <w:sz w:val="14"/>
                <w:szCs w:val="14"/>
                <w:lang w:val="es-ES" w:eastAsia="en-US"/>
              </w:rPr>
            </w:pPr>
            <w:r>
              <w:rPr>
                <w:rFonts w:eastAsia="Times New Roman" w:cs="Arial"/>
                <w:b/>
                <w:bCs/>
                <w:color w:val="000000"/>
                <w:sz w:val="14"/>
                <w:szCs w:val="14"/>
                <w:lang w:val="es-ES" w:eastAsia="en-US"/>
              </w:rPr>
              <w:t>02 05 2025 001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67A373" w14:textId="77777777" w:rsidR="00BF5974" w:rsidRDefault="00BF5974">
            <w:pPr>
              <w:spacing w:line="256" w:lineRule="auto"/>
              <w:rPr>
                <w:rFonts w:eastAsia="Times New Roman" w:cs="Arial"/>
                <w:b/>
                <w:bCs/>
                <w:color w:val="000000"/>
                <w:sz w:val="14"/>
                <w:szCs w:val="14"/>
                <w:lang w:val="es-ES" w:eastAsia="en-US"/>
              </w:rPr>
            </w:pPr>
            <w:r>
              <w:rPr>
                <w:rFonts w:eastAsia="Times New Roman" w:cs="Arial"/>
                <w:b/>
                <w:bCs/>
                <w:color w:val="000000"/>
                <w:sz w:val="14"/>
                <w:szCs w:val="14"/>
                <w:lang w:val="es-ES" w:eastAsia="en-US"/>
              </w:rPr>
              <w:t>Fondo de Aportaciones para la Nómina Educativa y el Gasto Operativo – Servicios Personales.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F668F1" w14:textId="77777777" w:rsidR="00BF5974" w:rsidRDefault="00BF5974">
            <w:pPr>
              <w:spacing w:line="256" w:lineRule="auto"/>
              <w:jc w:val="right"/>
              <w:rPr>
                <w:rFonts w:eastAsia="Times New Roman" w:cs="Arial"/>
                <w:b/>
                <w:bCs/>
                <w:color w:val="000000"/>
                <w:sz w:val="14"/>
                <w:szCs w:val="14"/>
                <w:lang w:val="es-ES" w:eastAsia="en-US"/>
              </w:rPr>
            </w:pPr>
            <w:r>
              <w:rPr>
                <w:rFonts w:eastAsia="Times New Roman" w:cs="Arial"/>
                <w:b/>
                <w:bCs/>
                <w:color w:val="000000"/>
                <w:sz w:val="14"/>
                <w:szCs w:val="14"/>
                <w:lang w:val="es-ES" w:eastAsia="en-US"/>
              </w:rPr>
              <w:t xml:space="preserve">4,382,938,184 </w:t>
            </w:r>
          </w:p>
        </w:tc>
      </w:tr>
      <w:tr w:rsidR="00BF5974" w14:paraId="3A50FFAD"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A1B599"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06301C001A04</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C09768"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Formación integral a personal de Educación Inicial escolarizado y No escolarizado</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7D4F1E"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49,877,962 </w:t>
            </w:r>
          </w:p>
        </w:tc>
      </w:tr>
      <w:tr w:rsidR="00BF5974" w14:paraId="3B307C97"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6D5827"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06301C003A01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DBB4E0"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Realización de talleres de formación para jóvenes y adultos.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B6ADA5"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27,680,187 </w:t>
            </w:r>
          </w:p>
        </w:tc>
      </w:tr>
      <w:tr w:rsidR="00BF5974" w14:paraId="223318D7"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E288B0A"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06301C004A01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6AE4D7"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Certificación en educación básica a jóvenes y adultos que atienden los Centros de Educación Extraescolar.</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D9B64B"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23,590,263 </w:t>
            </w:r>
          </w:p>
        </w:tc>
      </w:tr>
      <w:tr w:rsidR="00BF5974" w14:paraId="2161558D"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4CAF6C"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06401C001A01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F2885F"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Elaboración del Diagnóstico de las necesidades de formación de las figuras educativas.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0665896"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16,108,916 </w:t>
            </w:r>
          </w:p>
        </w:tc>
      </w:tr>
      <w:tr w:rsidR="00BF5974" w14:paraId="6979EDF5"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1BBACC"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06401C003A02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D9DCE7"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Realización de formaciones sobre el Sistema Básico de Mejora a las jefas de sector y supervisoras de las zonas escolares, por parte del nivel de Educación Preescolar.</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FC7DFB"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480,762,547 </w:t>
            </w:r>
          </w:p>
        </w:tc>
      </w:tr>
      <w:tr w:rsidR="00BF5974" w14:paraId="2A93183C"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AABFCD"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06401C004A01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8CCF41"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Formación de los supervisores(a) de secundaria general, con sostenimiento federal transferido, sobre procesos administrativos.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F7916E"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517,732,523 </w:t>
            </w:r>
          </w:p>
        </w:tc>
      </w:tr>
      <w:tr w:rsidR="00BF5974" w14:paraId="5CCEDCD7"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157628"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06401C005A01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62DDDC"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Formación de los supervisores(a) de secundaria técnica, con sostenimiento federal transferido, sobre procesos administrativos.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E60807"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418,257,926 </w:t>
            </w:r>
          </w:p>
        </w:tc>
      </w:tr>
      <w:tr w:rsidR="00BF5974" w14:paraId="46B698FF"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6FB1E51"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06401C008A02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C6C6B7"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Detección de alumnos/as que enfrentan barreras para el aprendizaje y la participación con Discapacidad, Trastornos, Aptitudes Sobresalientes, Dificultades Severas de Aprendizaje, Conducta y Comunicación en escuelas públicas de Educación Básica.</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C24AA5"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302,750,344 </w:t>
            </w:r>
          </w:p>
        </w:tc>
      </w:tr>
      <w:tr w:rsidR="00BF5974" w14:paraId="4CF95668"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184E8B"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06401C009A01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8A1784"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Formación de los supervisores(a) del nivel secundaria, subnivel telesecundaria, con sostenimiento federal transferido, sobre procesos administrativos.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B507CE"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113,155,001 </w:t>
            </w:r>
          </w:p>
        </w:tc>
      </w:tr>
      <w:tr w:rsidR="00BF5974" w14:paraId="3F417C2F"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74B531"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06401C011A01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57D15F"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 xml:space="preserve">Realización de actividades de formación: conferencias, </w:t>
            </w:r>
            <w:proofErr w:type="spellStart"/>
            <w:r>
              <w:rPr>
                <w:rFonts w:eastAsia="Times New Roman" w:cs="Arial"/>
                <w:color w:val="000000"/>
                <w:sz w:val="14"/>
                <w:szCs w:val="14"/>
                <w:lang w:val="es-ES" w:eastAsia="en-US"/>
              </w:rPr>
              <w:t>webinar</w:t>
            </w:r>
            <w:proofErr w:type="spellEnd"/>
            <w:r>
              <w:rPr>
                <w:rFonts w:eastAsia="Times New Roman" w:cs="Arial"/>
                <w:color w:val="000000"/>
                <w:sz w:val="14"/>
                <w:szCs w:val="14"/>
                <w:lang w:val="es-ES" w:eastAsia="en-US"/>
              </w:rPr>
              <w:t xml:space="preserve"> y cursos-talleres de capacitación a figuras educativas para la atención de la asignatura.</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0808AC"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172,299,572 </w:t>
            </w:r>
          </w:p>
        </w:tc>
      </w:tr>
      <w:tr w:rsidR="00BF5974" w14:paraId="6CC5B5D4"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E45FEC6"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06401C012A01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4BDAC0"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Asignación de plazas a docentes de nuevo ingreso del nivel de primaria con sostenimiento federal transferido y estatal.</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13FC5F"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1,353,656,022 </w:t>
            </w:r>
          </w:p>
        </w:tc>
      </w:tr>
      <w:tr w:rsidR="00BF5974" w14:paraId="07306615"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DD86D0"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06401C016A03</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89E30F"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Ejercicio del recurso para el fortalecimiento de la educación en el estado.</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D875EA"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874,491,491 </w:t>
            </w:r>
          </w:p>
        </w:tc>
      </w:tr>
      <w:tr w:rsidR="00BF5974" w14:paraId="3B7FE272"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C8DF76"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06601C001A01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3195AC"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Emisión de la convocatoria para el ingreso a la Universidad Pedagógica Nacional del estado de Colima (UPN).</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47BF39"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32,575,430 </w:t>
            </w:r>
          </w:p>
        </w:tc>
      </w:tr>
      <w:tr w:rsidR="00BF5974" w14:paraId="3FFD9177"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1F091B" w14:textId="77777777" w:rsidR="00BF5974" w:rsidRDefault="00BF5974">
            <w:pPr>
              <w:spacing w:line="256" w:lineRule="auto"/>
              <w:jc w:val="center"/>
              <w:rPr>
                <w:rFonts w:eastAsia="Times New Roman" w:cs="Arial"/>
                <w:b/>
                <w:bCs/>
                <w:color w:val="000000"/>
                <w:sz w:val="14"/>
                <w:szCs w:val="14"/>
                <w:lang w:val="es-ES" w:eastAsia="en-US"/>
              </w:rPr>
            </w:pPr>
            <w:r>
              <w:rPr>
                <w:rFonts w:eastAsia="Times New Roman" w:cs="Arial"/>
                <w:b/>
                <w:bCs/>
                <w:color w:val="000000"/>
                <w:sz w:val="14"/>
                <w:szCs w:val="14"/>
                <w:lang w:val="es-ES" w:eastAsia="en-US"/>
              </w:rPr>
              <w:t>02 05 2025 002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AD148C" w14:textId="77777777" w:rsidR="00BF5974" w:rsidRDefault="00BF5974">
            <w:pPr>
              <w:spacing w:line="256" w:lineRule="auto"/>
              <w:rPr>
                <w:rFonts w:eastAsia="Times New Roman" w:cs="Arial"/>
                <w:b/>
                <w:bCs/>
                <w:color w:val="000000"/>
                <w:sz w:val="14"/>
                <w:szCs w:val="14"/>
                <w:lang w:val="es-ES" w:eastAsia="en-US"/>
              </w:rPr>
            </w:pPr>
            <w:r>
              <w:rPr>
                <w:rFonts w:eastAsia="Times New Roman" w:cs="Arial"/>
                <w:b/>
                <w:bCs/>
                <w:color w:val="000000"/>
                <w:sz w:val="14"/>
                <w:szCs w:val="14"/>
                <w:lang w:val="es-ES" w:eastAsia="en-US"/>
              </w:rPr>
              <w:t>Fondo de Aportaciones para los Servicios de Salud.</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F9FA20" w14:textId="77777777" w:rsidR="00BF5974" w:rsidRDefault="00BF5974">
            <w:pPr>
              <w:spacing w:line="256" w:lineRule="auto"/>
              <w:jc w:val="right"/>
              <w:rPr>
                <w:rFonts w:eastAsia="Times New Roman" w:cs="Arial"/>
                <w:b/>
                <w:bCs/>
                <w:color w:val="000000"/>
                <w:sz w:val="14"/>
                <w:szCs w:val="14"/>
                <w:lang w:val="es-ES" w:eastAsia="en-US"/>
              </w:rPr>
            </w:pPr>
            <w:r>
              <w:rPr>
                <w:rFonts w:eastAsia="Times New Roman" w:cs="Arial"/>
                <w:b/>
                <w:bCs/>
                <w:color w:val="000000"/>
                <w:sz w:val="14"/>
                <w:szCs w:val="14"/>
                <w:lang w:val="es-ES" w:eastAsia="en-US"/>
              </w:rPr>
              <w:t xml:space="preserve">615,316,386 </w:t>
            </w:r>
          </w:p>
        </w:tc>
      </w:tr>
      <w:tr w:rsidR="00BF5974" w14:paraId="2E56050A"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DC2552C"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00201C001A01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4A7C1C"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Interrupción legal del embarazo.</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881336"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61,531,632 </w:t>
            </w:r>
          </w:p>
        </w:tc>
      </w:tr>
      <w:tr w:rsidR="00BF5974" w14:paraId="2E0E4A2D"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0C2561"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00201C001A02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02BE6D"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Comunidades certificadas como promotoras de la salud.</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501A50"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21,536,064 </w:t>
            </w:r>
          </w:p>
        </w:tc>
      </w:tr>
      <w:tr w:rsidR="00BF5974" w14:paraId="2266D14E"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407563"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00201C001A03</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E45D63"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Atención a la salud sexual de la infancia y la adolescencia.</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DF73B6"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21,536,064 </w:t>
            </w:r>
          </w:p>
        </w:tc>
      </w:tr>
      <w:tr w:rsidR="00BF5974" w14:paraId="72D04E26"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785C0D"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00201C001A04</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7039D5"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Atención a la salud materna y perinatal.</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679BCA"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21,536,064 </w:t>
            </w:r>
          </w:p>
        </w:tc>
      </w:tr>
      <w:tr w:rsidR="00BF5974" w14:paraId="3C1BFC16"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5309BB"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00201C002A01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A92393"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Consolidación de la vacunación universal.</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C693AB"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21,536,064 </w:t>
            </w:r>
          </w:p>
        </w:tc>
      </w:tr>
      <w:tr w:rsidR="00BF5974" w14:paraId="7716CD4F"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8A2A04D"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00201C002A02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EC6850"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Detección oportuna de enfermedades no transmisibles.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56AA3B2"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21,536,064 </w:t>
            </w:r>
          </w:p>
        </w:tc>
      </w:tr>
      <w:tr w:rsidR="00BF5974" w14:paraId="6D9BD8C3"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CF543F"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00201C003A01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DFDB29"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Protección de riesgos sanitarios.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E7B1C6"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61,531,632 </w:t>
            </w:r>
          </w:p>
        </w:tc>
      </w:tr>
      <w:tr w:rsidR="00BF5974" w14:paraId="7048C5FA"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ED796E5"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00201C003A02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C491F3"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Regulación y fomento sanitario.</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201169"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61,531,632 </w:t>
            </w:r>
          </w:p>
        </w:tc>
      </w:tr>
      <w:tr w:rsidR="00BF5974" w14:paraId="755D5CF8"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E00A0C"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00201C004A01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EE3C82"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 xml:space="preserve">Promoción de la donación altruista de sangre y </w:t>
            </w:r>
            <w:proofErr w:type="spellStart"/>
            <w:r>
              <w:rPr>
                <w:rFonts w:eastAsia="Times New Roman" w:cs="Arial"/>
                <w:color w:val="000000"/>
                <w:sz w:val="14"/>
                <w:szCs w:val="14"/>
                <w:lang w:val="es-ES" w:eastAsia="en-US"/>
              </w:rPr>
              <w:t>hemocomponentes</w:t>
            </w:r>
            <w:proofErr w:type="spellEnd"/>
            <w:r>
              <w:rPr>
                <w:rFonts w:eastAsia="Times New Roman" w:cs="Arial"/>
                <w:color w:val="000000"/>
                <w:sz w:val="14"/>
                <w:szCs w:val="14"/>
                <w:lang w:val="es-ES" w:eastAsia="en-US"/>
              </w:rPr>
              <w:t>.</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94325F"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21,536,064 </w:t>
            </w:r>
          </w:p>
        </w:tc>
      </w:tr>
      <w:tr w:rsidR="00BF5974" w14:paraId="029B6D23"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9C49CF8"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00201C005A01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C687C6"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Promoción de la salud mental.</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537AD1"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61,531,632 </w:t>
            </w:r>
          </w:p>
        </w:tc>
      </w:tr>
      <w:tr w:rsidR="00BF5974" w14:paraId="0F578C19"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B67696"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00201C005A02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F02C0A"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Prevención y atención de las adicciones.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D65A6A"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21,536,064 </w:t>
            </w:r>
          </w:p>
        </w:tc>
      </w:tr>
      <w:tr w:rsidR="00BF5974" w14:paraId="6B2931D9"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A64AAA"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00201C005A03</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8B1C5A"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Prevención de riesgos psicosociales en la infancia y adolescencia.</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CB4BD7"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61,531,632 </w:t>
            </w:r>
          </w:p>
        </w:tc>
      </w:tr>
      <w:tr w:rsidR="00BF5974" w14:paraId="1634A22B"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6A5243"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00201C006A01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7E294B4"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Evaluación presupuestal y de resultados.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6F985B"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156,905,778 </w:t>
            </w:r>
          </w:p>
        </w:tc>
      </w:tr>
      <w:tr w:rsidR="00BF5974" w14:paraId="1CD5162C"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C3E0D8E" w14:textId="77777777" w:rsidR="00BF5974" w:rsidRDefault="00BF5974">
            <w:pPr>
              <w:spacing w:line="256" w:lineRule="auto"/>
              <w:jc w:val="center"/>
              <w:rPr>
                <w:rFonts w:eastAsia="Times New Roman" w:cs="Arial"/>
                <w:b/>
                <w:bCs/>
                <w:color w:val="000000"/>
                <w:sz w:val="14"/>
                <w:szCs w:val="14"/>
                <w:lang w:val="es-ES" w:eastAsia="en-US"/>
              </w:rPr>
            </w:pPr>
            <w:r>
              <w:rPr>
                <w:rFonts w:eastAsia="Times New Roman" w:cs="Arial"/>
                <w:b/>
                <w:bCs/>
                <w:color w:val="000000"/>
                <w:sz w:val="14"/>
                <w:szCs w:val="14"/>
                <w:lang w:val="es-ES" w:eastAsia="en-US"/>
              </w:rPr>
              <w:t>02 05 2025 003</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9AFACB" w14:textId="77777777" w:rsidR="00BF5974" w:rsidRDefault="00BF5974">
            <w:pPr>
              <w:spacing w:line="256" w:lineRule="auto"/>
              <w:rPr>
                <w:rFonts w:eastAsia="Times New Roman" w:cs="Arial"/>
                <w:b/>
                <w:bCs/>
                <w:color w:val="000000"/>
                <w:sz w:val="14"/>
                <w:szCs w:val="14"/>
                <w:lang w:val="es-ES" w:eastAsia="en-US"/>
              </w:rPr>
            </w:pPr>
            <w:r>
              <w:rPr>
                <w:rFonts w:eastAsia="Times New Roman" w:cs="Arial"/>
                <w:b/>
                <w:bCs/>
                <w:color w:val="000000"/>
                <w:sz w:val="14"/>
                <w:szCs w:val="14"/>
                <w:lang w:val="es-ES" w:eastAsia="en-US"/>
              </w:rPr>
              <w:t>Fondo de Aportaciones para la Educación Tecnológica y de Adultos.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94217A" w14:textId="77777777" w:rsidR="00BF5974" w:rsidRDefault="00BF5974">
            <w:pPr>
              <w:spacing w:line="256" w:lineRule="auto"/>
              <w:jc w:val="right"/>
              <w:rPr>
                <w:rFonts w:eastAsia="Times New Roman" w:cs="Arial"/>
                <w:b/>
                <w:bCs/>
                <w:color w:val="000000"/>
                <w:sz w:val="14"/>
                <w:szCs w:val="14"/>
                <w:lang w:val="es-ES" w:eastAsia="en-US"/>
              </w:rPr>
            </w:pPr>
            <w:r>
              <w:rPr>
                <w:rFonts w:eastAsia="Times New Roman" w:cs="Arial"/>
                <w:b/>
                <w:bCs/>
                <w:color w:val="000000"/>
                <w:sz w:val="14"/>
                <w:szCs w:val="14"/>
                <w:lang w:val="es-ES" w:eastAsia="en-US"/>
              </w:rPr>
              <w:t xml:space="preserve">56,872,587 </w:t>
            </w:r>
          </w:p>
        </w:tc>
      </w:tr>
      <w:tr w:rsidR="00BF5974" w14:paraId="201749E5"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C04916"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06501C004A01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C0A630"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Equipamiento de la infraestructura física de los planteles públicos de Educación Media Superior.</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B44711"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56,872,587 </w:t>
            </w:r>
          </w:p>
        </w:tc>
      </w:tr>
      <w:tr w:rsidR="00BF5974" w14:paraId="465F8DAC"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7A8D44" w14:textId="77777777" w:rsidR="00BF5974" w:rsidRDefault="00BF5974">
            <w:pPr>
              <w:spacing w:line="256" w:lineRule="auto"/>
              <w:jc w:val="center"/>
              <w:rPr>
                <w:rFonts w:eastAsia="Times New Roman" w:cs="Arial"/>
                <w:b/>
                <w:bCs/>
                <w:color w:val="000000"/>
                <w:sz w:val="14"/>
                <w:szCs w:val="14"/>
                <w:lang w:val="es-ES" w:eastAsia="en-US"/>
              </w:rPr>
            </w:pPr>
            <w:r>
              <w:rPr>
                <w:rFonts w:eastAsia="Times New Roman" w:cs="Arial"/>
                <w:b/>
                <w:bCs/>
                <w:color w:val="000000"/>
                <w:sz w:val="14"/>
                <w:szCs w:val="14"/>
                <w:lang w:val="es-ES" w:eastAsia="en-US"/>
              </w:rPr>
              <w:t>02 05 2025 004</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8A3096" w14:textId="77777777" w:rsidR="00BF5974" w:rsidRDefault="00BF5974">
            <w:pPr>
              <w:spacing w:line="256" w:lineRule="auto"/>
              <w:rPr>
                <w:rFonts w:eastAsia="Times New Roman" w:cs="Arial"/>
                <w:b/>
                <w:bCs/>
                <w:color w:val="000000"/>
                <w:sz w:val="14"/>
                <w:szCs w:val="14"/>
                <w:lang w:val="es-ES" w:eastAsia="en-US"/>
              </w:rPr>
            </w:pPr>
            <w:r>
              <w:rPr>
                <w:rFonts w:eastAsia="Times New Roman" w:cs="Arial"/>
                <w:b/>
                <w:bCs/>
                <w:color w:val="000000"/>
                <w:sz w:val="14"/>
                <w:szCs w:val="14"/>
                <w:lang w:val="es-ES" w:eastAsia="en-US"/>
              </w:rPr>
              <w:t>Fondo de Aportaciones Múltiples – Asistencia Social.</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076BDE3" w14:textId="77777777" w:rsidR="00BF5974" w:rsidRDefault="00BF5974">
            <w:pPr>
              <w:spacing w:line="256" w:lineRule="auto"/>
              <w:jc w:val="right"/>
              <w:rPr>
                <w:rFonts w:eastAsia="Times New Roman" w:cs="Arial"/>
                <w:b/>
                <w:bCs/>
                <w:color w:val="000000"/>
                <w:sz w:val="14"/>
                <w:szCs w:val="14"/>
                <w:lang w:val="es-ES" w:eastAsia="en-US"/>
              </w:rPr>
            </w:pPr>
            <w:r>
              <w:rPr>
                <w:rFonts w:eastAsia="Times New Roman" w:cs="Arial"/>
                <w:b/>
                <w:bCs/>
                <w:color w:val="000000"/>
                <w:sz w:val="14"/>
                <w:szCs w:val="14"/>
                <w:lang w:val="es-ES" w:eastAsia="en-US"/>
              </w:rPr>
              <w:t xml:space="preserve">132,220,371 </w:t>
            </w:r>
          </w:p>
        </w:tc>
      </w:tr>
      <w:tr w:rsidR="00BF5974" w14:paraId="17E9A9BF"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CAE204"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01801C001A01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4D87D3"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Ejecución de entrega de Desayunos escolares para nivel básico.</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60715C"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99,553,159 </w:t>
            </w:r>
          </w:p>
        </w:tc>
      </w:tr>
      <w:tr w:rsidR="00BF5974" w14:paraId="5D44B91C"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21B743"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01801C001A02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806BFD"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Dotación alimentaria para niños y niñas menores de 2 años.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BBBC36B"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3,340,000 </w:t>
            </w:r>
          </w:p>
        </w:tc>
      </w:tr>
      <w:tr w:rsidR="00BF5974" w14:paraId="58E16B55"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7E4DD3"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01801C001A03</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7C6BA5"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Dotación alimentaria para familias víctimas en desastres naturales.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3A8A88"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437,212 </w:t>
            </w:r>
          </w:p>
        </w:tc>
      </w:tr>
      <w:tr w:rsidR="00BF5974" w14:paraId="6A53F180"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DF733E"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01801C001A04</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5509C8"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Dotación alimentaria para la población en situación de vulnerabilidad.</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652BF3"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4,502,400 </w:t>
            </w:r>
          </w:p>
        </w:tc>
      </w:tr>
      <w:tr w:rsidR="00BF5974" w14:paraId="6A935309"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64AEBE"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01801C001A05</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90706F"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Dotación de alimentos en espacios alimentarios.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636421F"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11,697,600 </w:t>
            </w:r>
          </w:p>
        </w:tc>
      </w:tr>
      <w:tr w:rsidR="00BF5974" w14:paraId="71884379"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E56DD1"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01801C002A07</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B2B3D4"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Ejecución de apoyos y/o servicios para las personas en estado de vulnerabilidad.</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A9C21B"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3,640,000 </w:t>
            </w:r>
          </w:p>
        </w:tc>
      </w:tr>
      <w:tr w:rsidR="00BF5974" w14:paraId="2736B043"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91659B"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01801C003A03</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BF3AD78"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Contribución a mejorar las condiciones sociales de vida en las localidades con marginación a través de programas comunitarios con participación social.</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52BD58"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8,300,000 </w:t>
            </w:r>
          </w:p>
        </w:tc>
      </w:tr>
      <w:tr w:rsidR="00BF5974" w14:paraId="6DF3D804"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14C544"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01801C005A03</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FE0B41E"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Ejecución de gastos de operación de los programas FAM-AS.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6ACAD2"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750,000 </w:t>
            </w:r>
          </w:p>
        </w:tc>
      </w:tr>
      <w:tr w:rsidR="00BF5974" w14:paraId="7A35A8D5"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B309DD" w14:textId="77777777" w:rsidR="00BF5974" w:rsidRDefault="00BF5974">
            <w:pPr>
              <w:spacing w:line="256" w:lineRule="auto"/>
              <w:jc w:val="center"/>
              <w:rPr>
                <w:rFonts w:eastAsia="Times New Roman" w:cs="Arial"/>
                <w:b/>
                <w:bCs/>
                <w:color w:val="000000"/>
                <w:sz w:val="14"/>
                <w:szCs w:val="14"/>
                <w:lang w:val="es-ES" w:eastAsia="en-US"/>
              </w:rPr>
            </w:pPr>
            <w:r>
              <w:rPr>
                <w:rFonts w:eastAsia="Times New Roman" w:cs="Arial"/>
                <w:b/>
                <w:bCs/>
                <w:color w:val="000000"/>
                <w:sz w:val="14"/>
                <w:szCs w:val="14"/>
                <w:lang w:val="es-ES" w:eastAsia="en-US"/>
              </w:rPr>
              <w:t>02 05 2025 005</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8E393A" w14:textId="77777777" w:rsidR="00BF5974" w:rsidRDefault="00BF5974">
            <w:pPr>
              <w:spacing w:line="256" w:lineRule="auto"/>
              <w:rPr>
                <w:rFonts w:eastAsia="Times New Roman" w:cs="Arial"/>
                <w:b/>
                <w:bCs/>
                <w:color w:val="000000"/>
                <w:sz w:val="14"/>
                <w:szCs w:val="14"/>
                <w:lang w:val="es-ES" w:eastAsia="en-US"/>
              </w:rPr>
            </w:pPr>
            <w:r>
              <w:rPr>
                <w:rFonts w:eastAsia="Times New Roman" w:cs="Arial"/>
                <w:b/>
                <w:bCs/>
                <w:color w:val="000000"/>
                <w:sz w:val="14"/>
                <w:szCs w:val="14"/>
                <w:lang w:val="es-ES" w:eastAsia="en-US"/>
              </w:rPr>
              <w:t>Fondo de Aportaciones para el Fortalecimiento de las Entidades Federativas.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364D05" w14:textId="77777777" w:rsidR="00BF5974" w:rsidRDefault="00BF5974">
            <w:pPr>
              <w:spacing w:line="256" w:lineRule="auto"/>
              <w:jc w:val="right"/>
              <w:rPr>
                <w:rFonts w:eastAsia="Times New Roman" w:cs="Arial"/>
                <w:b/>
                <w:bCs/>
                <w:color w:val="000000"/>
                <w:sz w:val="14"/>
                <w:szCs w:val="14"/>
                <w:lang w:val="es-ES" w:eastAsia="en-US"/>
              </w:rPr>
            </w:pPr>
            <w:r>
              <w:rPr>
                <w:rFonts w:eastAsia="Times New Roman" w:cs="Arial"/>
                <w:b/>
                <w:bCs/>
                <w:color w:val="000000"/>
                <w:sz w:val="14"/>
                <w:szCs w:val="14"/>
                <w:lang w:val="es-ES" w:eastAsia="en-US"/>
              </w:rPr>
              <w:t xml:space="preserve">354,427,409 </w:t>
            </w:r>
          </w:p>
        </w:tc>
      </w:tr>
      <w:tr w:rsidR="00BF5974" w14:paraId="78A1410A"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9AE27F"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lastRenderedPageBreak/>
              <w:t>01001C001A01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F00A5E"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Ejercicio de los recursos del FAFEF destinados a saneamiento financiero</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CA5EBD"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354,427,409 </w:t>
            </w:r>
          </w:p>
        </w:tc>
      </w:tr>
      <w:tr w:rsidR="00BF5974" w14:paraId="7A1C8E1C"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49084E" w14:textId="77777777" w:rsidR="00BF5974" w:rsidRDefault="00BF5974">
            <w:pPr>
              <w:spacing w:line="256" w:lineRule="auto"/>
              <w:jc w:val="center"/>
              <w:rPr>
                <w:rFonts w:eastAsia="Times New Roman" w:cs="Arial"/>
                <w:b/>
                <w:bCs/>
                <w:color w:val="000000"/>
                <w:sz w:val="14"/>
                <w:szCs w:val="14"/>
                <w:lang w:val="es-ES" w:eastAsia="en-US"/>
              </w:rPr>
            </w:pPr>
            <w:r>
              <w:rPr>
                <w:rFonts w:eastAsia="Times New Roman" w:cs="Arial"/>
                <w:b/>
                <w:bCs/>
                <w:color w:val="000000"/>
                <w:sz w:val="14"/>
                <w:szCs w:val="14"/>
                <w:lang w:val="es-ES" w:eastAsia="en-US"/>
              </w:rPr>
              <w:t>02 05 2025 006</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5D072EC" w14:textId="77777777" w:rsidR="00BF5974" w:rsidRDefault="00BF5974">
            <w:pPr>
              <w:spacing w:line="256" w:lineRule="auto"/>
              <w:rPr>
                <w:rFonts w:eastAsia="Times New Roman" w:cs="Arial"/>
                <w:b/>
                <w:bCs/>
                <w:color w:val="000000"/>
                <w:sz w:val="14"/>
                <w:szCs w:val="14"/>
                <w:lang w:val="es-ES" w:eastAsia="en-US"/>
              </w:rPr>
            </w:pPr>
            <w:r>
              <w:rPr>
                <w:rFonts w:eastAsia="Times New Roman" w:cs="Arial"/>
                <w:b/>
                <w:bCs/>
                <w:color w:val="000000"/>
                <w:sz w:val="14"/>
                <w:szCs w:val="14"/>
                <w:lang w:val="es-ES" w:eastAsia="en-US"/>
              </w:rPr>
              <w:t>Fondo de Aportaciones para la Infraestructura Social Estatal.</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D5B8BA" w14:textId="77777777" w:rsidR="00BF5974" w:rsidRDefault="00BF5974">
            <w:pPr>
              <w:spacing w:line="256" w:lineRule="auto"/>
              <w:jc w:val="right"/>
              <w:rPr>
                <w:rFonts w:eastAsia="Times New Roman" w:cs="Arial"/>
                <w:b/>
                <w:bCs/>
                <w:color w:val="000000"/>
                <w:sz w:val="14"/>
                <w:szCs w:val="14"/>
                <w:lang w:val="es-ES" w:eastAsia="en-US"/>
              </w:rPr>
            </w:pPr>
            <w:r>
              <w:rPr>
                <w:rFonts w:eastAsia="Times New Roman" w:cs="Arial"/>
                <w:b/>
                <w:bCs/>
                <w:color w:val="000000"/>
                <w:sz w:val="14"/>
                <w:szCs w:val="14"/>
                <w:lang w:val="es-ES" w:eastAsia="en-US"/>
              </w:rPr>
              <w:t xml:space="preserve">49,453,439 </w:t>
            </w:r>
          </w:p>
        </w:tc>
      </w:tr>
      <w:tr w:rsidR="00BF5974" w14:paraId="42B013F7"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84C082"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00501C002A01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DA0A46"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Gestión y verificación de obras de infraestructura social, mejoramiento de vivienda, servicios básicos y urbanización.</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EC91179"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49,453,439 </w:t>
            </w:r>
          </w:p>
        </w:tc>
      </w:tr>
      <w:tr w:rsidR="00BF5974" w14:paraId="5F68B09C"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FACFBB" w14:textId="77777777" w:rsidR="00BF5974" w:rsidRDefault="00BF5974">
            <w:pPr>
              <w:spacing w:line="256" w:lineRule="auto"/>
              <w:jc w:val="center"/>
              <w:rPr>
                <w:rFonts w:eastAsia="Times New Roman" w:cs="Arial"/>
                <w:b/>
                <w:bCs/>
                <w:color w:val="000000"/>
                <w:sz w:val="14"/>
                <w:szCs w:val="14"/>
                <w:lang w:val="es-ES" w:eastAsia="en-US"/>
              </w:rPr>
            </w:pPr>
            <w:r>
              <w:rPr>
                <w:rFonts w:eastAsia="Times New Roman" w:cs="Arial"/>
                <w:b/>
                <w:bCs/>
                <w:color w:val="000000"/>
                <w:sz w:val="14"/>
                <w:szCs w:val="14"/>
                <w:lang w:val="es-ES" w:eastAsia="en-US"/>
              </w:rPr>
              <w:t>02 05 2025 007</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003370" w14:textId="77777777" w:rsidR="00BF5974" w:rsidRDefault="00BF5974">
            <w:pPr>
              <w:spacing w:line="256" w:lineRule="auto"/>
              <w:rPr>
                <w:rFonts w:eastAsia="Times New Roman" w:cs="Arial"/>
                <w:b/>
                <w:bCs/>
                <w:color w:val="000000"/>
                <w:sz w:val="14"/>
                <w:szCs w:val="14"/>
                <w:lang w:val="es-ES" w:eastAsia="en-US"/>
              </w:rPr>
            </w:pPr>
            <w:r>
              <w:rPr>
                <w:rFonts w:eastAsia="Times New Roman" w:cs="Arial"/>
                <w:b/>
                <w:bCs/>
                <w:color w:val="000000"/>
                <w:sz w:val="14"/>
                <w:szCs w:val="14"/>
                <w:lang w:val="es-ES" w:eastAsia="en-US"/>
              </w:rPr>
              <w:t>Fondo de Aportaciones para la Infraestructura Social Municipal.</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C24F4A" w14:textId="77777777" w:rsidR="00BF5974" w:rsidRDefault="00BF5974">
            <w:pPr>
              <w:spacing w:line="256" w:lineRule="auto"/>
              <w:jc w:val="right"/>
              <w:rPr>
                <w:rFonts w:eastAsia="Times New Roman" w:cs="Arial"/>
                <w:b/>
                <w:bCs/>
                <w:color w:val="000000"/>
                <w:sz w:val="14"/>
                <w:szCs w:val="14"/>
                <w:lang w:val="es-ES" w:eastAsia="en-US"/>
              </w:rPr>
            </w:pPr>
            <w:r>
              <w:rPr>
                <w:rFonts w:eastAsia="Times New Roman" w:cs="Arial"/>
                <w:b/>
                <w:bCs/>
                <w:color w:val="000000"/>
                <w:sz w:val="14"/>
                <w:szCs w:val="14"/>
                <w:lang w:val="es-ES" w:eastAsia="en-US"/>
              </w:rPr>
              <w:t xml:space="preserve">478,039,158 </w:t>
            </w:r>
          </w:p>
        </w:tc>
      </w:tr>
      <w:tr w:rsidR="00BF5974" w14:paraId="3E521B33"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E4C2BA2"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06101C004A02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32D352"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Aportaciones Federales del Ramo 33 realizadas a los Municipios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E1D917"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478,039,158 </w:t>
            </w:r>
          </w:p>
        </w:tc>
      </w:tr>
      <w:tr w:rsidR="00BF5974" w14:paraId="69BC18DE"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EA572E" w14:textId="77777777" w:rsidR="00BF5974" w:rsidRDefault="00BF5974">
            <w:pPr>
              <w:spacing w:line="256" w:lineRule="auto"/>
              <w:jc w:val="center"/>
              <w:rPr>
                <w:rFonts w:eastAsia="Times New Roman" w:cs="Arial"/>
                <w:b/>
                <w:bCs/>
                <w:color w:val="000000"/>
                <w:sz w:val="14"/>
                <w:szCs w:val="14"/>
                <w:lang w:val="es-ES" w:eastAsia="en-US"/>
              </w:rPr>
            </w:pPr>
            <w:r>
              <w:rPr>
                <w:rFonts w:eastAsia="Times New Roman" w:cs="Arial"/>
                <w:b/>
                <w:bCs/>
                <w:color w:val="000000"/>
                <w:sz w:val="14"/>
                <w:szCs w:val="14"/>
                <w:lang w:val="es-ES" w:eastAsia="en-US"/>
              </w:rPr>
              <w:t>02 05 2025 008</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1F6FE1" w14:textId="77777777" w:rsidR="00BF5974" w:rsidRDefault="00BF5974">
            <w:pPr>
              <w:spacing w:line="256" w:lineRule="auto"/>
              <w:rPr>
                <w:rFonts w:eastAsia="Times New Roman" w:cs="Arial"/>
                <w:b/>
                <w:bCs/>
                <w:color w:val="000000"/>
                <w:sz w:val="14"/>
                <w:szCs w:val="14"/>
                <w:lang w:val="es-ES" w:eastAsia="en-US"/>
              </w:rPr>
            </w:pPr>
            <w:r>
              <w:rPr>
                <w:rFonts w:eastAsia="Times New Roman" w:cs="Arial"/>
                <w:b/>
                <w:bCs/>
                <w:color w:val="000000"/>
                <w:sz w:val="14"/>
                <w:szCs w:val="14"/>
                <w:lang w:val="es-ES" w:eastAsia="en-US"/>
              </w:rPr>
              <w:t>Fondo de Aportaciones para el Fortalecimiento de los Municipios y de las Demarcaciones Territoriales del Distrito Federal.</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13E16E" w14:textId="77777777" w:rsidR="00BF5974" w:rsidRDefault="00BF5974">
            <w:pPr>
              <w:spacing w:line="256" w:lineRule="auto"/>
              <w:jc w:val="right"/>
              <w:rPr>
                <w:rFonts w:eastAsia="Times New Roman" w:cs="Arial"/>
                <w:b/>
                <w:bCs/>
                <w:color w:val="000000"/>
                <w:sz w:val="14"/>
                <w:szCs w:val="14"/>
                <w:lang w:val="es-ES" w:eastAsia="en-US"/>
              </w:rPr>
            </w:pPr>
            <w:r>
              <w:rPr>
                <w:rFonts w:eastAsia="Times New Roman" w:cs="Arial"/>
                <w:b/>
                <w:bCs/>
                <w:color w:val="000000"/>
                <w:sz w:val="14"/>
                <w:szCs w:val="14"/>
                <w:lang w:val="es-ES" w:eastAsia="en-US"/>
              </w:rPr>
              <w:t xml:space="preserve">687,030,357 </w:t>
            </w:r>
          </w:p>
        </w:tc>
      </w:tr>
      <w:tr w:rsidR="00BF5974" w14:paraId="2F7A07B1"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012E9AB"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06101C004A02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9B29FA"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Aportaciones Federales del Ramo 33 realizadas a los Municipios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A6222D"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687,030,357 </w:t>
            </w:r>
          </w:p>
        </w:tc>
      </w:tr>
      <w:tr w:rsidR="00BF5974" w14:paraId="46442AEF"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85E824" w14:textId="77777777" w:rsidR="00BF5974" w:rsidRDefault="00BF5974">
            <w:pPr>
              <w:spacing w:line="256" w:lineRule="auto"/>
              <w:jc w:val="center"/>
              <w:rPr>
                <w:rFonts w:eastAsia="Times New Roman" w:cs="Arial"/>
                <w:b/>
                <w:bCs/>
                <w:color w:val="000000"/>
                <w:sz w:val="14"/>
                <w:szCs w:val="14"/>
                <w:lang w:val="es-ES" w:eastAsia="en-US"/>
              </w:rPr>
            </w:pPr>
            <w:r>
              <w:rPr>
                <w:rFonts w:eastAsia="Times New Roman" w:cs="Arial"/>
                <w:b/>
                <w:bCs/>
                <w:color w:val="000000"/>
                <w:sz w:val="14"/>
                <w:szCs w:val="14"/>
                <w:lang w:val="es-ES" w:eastAsia="en-US"/>
              </w:rPr>
              <w:t>02 05 2025 009</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279AEC" w14:textId="77777777" w:rsidR="00BF5974" w:rsidRDefault="00BF5974">
            <w:pPr>
              <w:spacing w:line="256" w:lineRule="auto"/>
              <w:rPr>
                <w:rFonts w:eastAsia="Times New Roman" w:cs="Arial"/>
                <w:b/>
                <w:bCs/>
                <w:color w:val="000000"/>
                <w:sz w:val="14"/>
                <w:szCs w:val="14"/>
                <w:lang w:val="es-ES" w:eastAsia="en-US"/>
              </w:rPr>
            </w:pPr>
            <w:r>
              <w:rPr>
                <w:rFonts w:eastAsia="Times New Roman" w:cs="Arial"/>
                <w:b/>
                <w:bCs/>
                <w:color w:val="000000"/>
                <w:sz w:val="14"/>
                <w:szCs w:val="14"/>
                <w:lang w:val="es-ES" w:eastAsia="en-US"/>
              </w:rPr>
              <w:t>Fondo de Aportaciones para la Seguridad Pública de los Estados y del Distrito Federal.</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6F34A9" w14:textId="77777777" w:rsidR="00BF5974" w:rsidRDefault="00BF5974">
            <w:pPr>
              <w:spacing w:line="256" w:lineRule="auto"/>
              <w:jc w:val="right"/>
              <w:rPr>
                <w:rFonts w:eastAsia="Times New Roman" w:cs="Arial"/>
                <w:b/>
                <w:bCs/>
                <w:color w:val="000000"/>
                <w:sz w:val="14"/>
                <w:szCs w:val="14"/>
                <w:lang w:val="es-ES" w:eastAsia="en-US"/>
              </w:rPr>
            </w:pPr>
            <w:r>
              <w:rPr>
                <w:rFonts w:eastAsia="Times New Roman" w:cs="Arial"/>
                <w:b/>
                <w:bCs/>
                <w:color w:val="000000"/>
                <w:sz w:val="14"/>
                <w:szCs w:val="14"/>
                <w:lang w:val="es-ES" w:eastAsia="en-US"/>
              </w:rPr>
              <w:t xml:space="preserve">254,318,412 </w:t>
            </w:r>
          </w:p>
        </w:tc>
      </w:tr>
      <w:tr w:rsidR="00BF5974" w14:paraId="2E6EB4A8"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02FF043"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03201C001A02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21013A"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Ejecución del Subprograma equipamiento del personal de las Instituciones de Seguridad Pública y Procuración de Justicia.</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38BB1B"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53,784,041 </w:t>
            </w:r>
          </w:p>
        </w:tc>
      </w:tr>
      <w:tr w:rsidR="00BF5974" w14:paraId="09D779AA"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154D32"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03201C001A03</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3F71E6"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Ejecución del Subprograma Fortalecimiento de las Capacidades de Evaluación en Control de Confianza.</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1014C42"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5,000,000 </w:t>
            </w:r>
          </w:p>
        </w:tc>
      </w:tr>
      <w:tr w:rsidR="00BF5974" w14:paraId="09ED4527"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6321A3"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03201C001A04</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0E2A81"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Ejecución del Subprograma Capacitación en todas sus modalidades para el mejor desempeño de los elementos de las Instituciones de Seguridad Pública y de Procuración de Justicia conforme al Modelo Nacional de Policía y Justicia Cívica.</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816ADC"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17,392,140 </w:t>
            </w:r>
          </w:p>
        </w:tc>
      </w:tr>
      <w:tr w:rsidR="00BF5974" w14:paraId="4D2AD8AF"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82AABA"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03201C001A05</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DC9F4D"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Ejecución del Subprograma Fortalecimiento de las Instituciones de Seguridad Pública y Procuración de Justicia.</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D81F06"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38,617,665 </w:t>
            </w:r>
          </w:p>
        </w:tc>
      </w:tr>
      <w:tr w:rsidR="00BF5974" w14:paraId="28CD754D"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C7918E"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03201C001A06</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627E894"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Ejecución del Subprograma Fortalecimiento de las Unidades Especializadas contra el Delito de Secuestro.</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123022"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2,000,000 </w:t>
            </w:r>
          </w:p>
        </w:tc>
      </w:tr>
      <w:tr w:rsidR="00BF5974" w14:paraId="2359B6CC"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19C27E"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03201C001A07</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474C78"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Ejecución del subprograma Fortalecimiento de las Unidades de Investigación para Policía Estatal y Municipal.</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4D5244"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600,000 </w:t>
            </w:r>
          </w:p>
        </w:tc>
      </w:tr>
      <w:tr w:rsidR="00BF5974" w14:paraId="38A0C3B0"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C67D83"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03201C001A08</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C9D66B"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Ejecución del subprograma Fortalecimiento de las Unidades Cibernéticas.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3399D1"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1,000,000 </w:t>
            </w:r>
          </w:p>
        </w:tc>
      </w:tr>
      <w:tr w:rsidR="00BF5974" w14:paraId="66215A2D"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800BD6"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03201C001A09</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52BC7F"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Ejecución del Subprograma Fortalecimiento de las Fiscalías Especializadas en Investigación y Búsqueda de personas.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165757"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900,000 </w:t>
            </w:r>
          </w:p>
        </w:tc>
      </w:tr>
      <w:tr w:rsidR="00BF5974" w14:paraId="2AB5392D"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8D6BAE"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03201C001A12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68CB4D"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Ejecución del Subprograma Fortalecimiento de las áreas de investigación forense y pericial.</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4C21B0"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21,950,000 </w:t>
            </w:r>
          </w:p>
        </w:tc>
      </w:tr>
      <w:tr w:rsidR="00BF5974" w14:paraId="1FCB03F9"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5F3DD5"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03201C001A13</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1D3B69F"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Ejecución del Subprograma Seguimiento a protocolos de actuación policial para mejorar el desempeño del personal de las Instituciones de Seguridad Pública y Procuración de Justicia.</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11CBFA"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900,000 </w:t>
            </w:r>
          </w:p>
        </w:tc>
      </w:tr>
      <w:tr w:rsidR="00BF5974" w14:paraId="6005D91B"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A642C3E"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03201C001A16</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0216A0"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Ejecución del Subprograma Fortalecimiento a los programas de prevención y atención a la violencia contra las mujeres.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2AB244"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1,950,000 </w:t>
            </w:r>
          </w:p>
        </w:tc>
      </w:tr>
      <w:tr w:rsidR="00BF5974" w14:paraId="344122C3"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66D8EB"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03201C001A17</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9C8FBB"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Ejecución del Subprograma Capacitación continua para la atención y prevención de la violencia de género.</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42C309"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600,000 </w:t>
            </w:r>
          </w:p>
        </w:tc>
      </w:tr>
      <w:tr w:rsidR="00BF5974" w14:paraId="6AB39BF4"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DF5B4C"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03201C001A19</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BE3EE3"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Ejecución del Subprograma Dignificación y fortalecimiento de Centros Penitenciarios.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7F60DC"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15,370,000 </w:t>
            </w:r>
          </w:p>
        </w:tc>
      </w:tr>
      <w:tr w:rsidR="00BF5974" w14:paraId="62991384"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72DD26"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03201C001A20</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9AB7CB"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Ejecución del Subprograma Dignificación y fortalecimiento de los centros de internamiento para adolescentes.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89E168"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1,550,000 </w:t>
            </w:r>
          </w:p>
        </w:tc>
      </w:tr>
      <w:tr w:rsidR="00BF5974" w14:paraId="5F3BE0F7"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8EACC2"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03201C001A21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866757"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Ejecución del Subprograma Bases de Datos del Sistema Nacional de Seguridad Pública.</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375EC7"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4,100,000 </w:t>
            </w:r>
          </w:p>
        </w:tc>
      </w:tr>
      <w:tr w:rsidR="00BF5974" w14:paraId="175D1D86"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325A6B"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03201C001A22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1C389ED"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Ejecución del Subprograma Sistema Nacional de Atención de Llamadas de Emergencia y Denuncias Ciudadanas.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8EEE69"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19,253,050 </w:t>
            </w:r>
          </w:p>
        </w:tc>
      </w:tr>
      <w:tr w:rsidR="00BF5974" w14:paraId="44268607"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424CF5"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03201C001A23</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8F4473"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Ejecución del Subprograma Fortalecimiento de los Sistemas de Videovigilancia y Geolocalización.</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41A366"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52,611,962 </w:t>
            </w:r>
          </w:p>
        </w:tc>
      </w:tr>
      <w:tr w:rsidR="00BF5974" w14:paraId="18FE5A12"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F08BB1"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03201C001A24</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2BD446"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Ejecución del Subprograma Red Nacional de Radiocomunicación.</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7B6C81"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15,139,554 </w:t>
            </w:r>
          </w:p>
        </w:tc>
      </w:tr>
      <w:tr w:rsidR="00BF5974" w14:paraId="35FFF39B"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0D229C5"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03201C001A26</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996479"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Ejecución del Seguimiento y Evaluación de los Programas.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B0642E"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1,600,000 </w:t>
            </w:r>
          </w:p>
        </w:tc>
      </w:tr>
      <w:tr w:rsidR="00BF5974" w14:paraId="5C7EBB7D"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731524F" w14:textId="77777777" w:rsidR="00BF5974" w:rsidRDefault="00BF5974">
            <w:pPr>
              <w:spacing w:line="256" w:lineRule="auto"/>
              <w:jc w:val="center"/>
              <w:rPr>
                <w:rFonts w:eastAsia="Times New Roman" w:cs="Arial"/>
                <w:b/>
                <w:bCs/>
                <w:color w:val="000000"/>
                <w:sz w:val="14"/>
                <w:szCs w:val="14"/>
                <w:lang w:val="es-ES" w:eastAsia="en-US"/>
              </w:rPr>
            </w:pPr>
            <w:r>
              <w:rPr>
                <w:rFonts w:eastAsia="Times New Roman" w:cs="Arial"/>
                <w:b/>
                <w:bCs/>
                <w:color w:val="000000"/>
                <w:sz w:val="14"/>
                <w:szCs w:val="14"/>
                <w:lang w:val="es-ES" w:eastAsia="en-US"/>
              </w:rPr>
              <w:t>02 05 2025 010</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2F61BC" w14:textId="77777777" w:rsidR="00BF5974" w:rsidRDefault="00BF5974">
            <w:pPr>
              <w:spacing w:line="256" w:lineRule="auto"/>
              <w:rPr>
                <w:rFonts w:eastAsia="Times New Roman" w:cs="Arial"/>
                <w:b/>
                <w:bCs/>
                <w:color w:val="000000"/>
                <w:sz w:val="14"/>
                <w:szCs w:val="14"/>
                <w:lang w:val="es-ES" w:eastAsia="en-US"/>
              </w:rPr>
            </w:pPr>
            <w:r>
              <w:rPr>
                <w:rFonts w:eastAsia="Times New Roman" w:cs="Arial"/>
                <w:b/>
                <w:bCs/>
                <w:color w:val="000000"/>
                <w:sz w:val="14"/>
                <w:szCs w:val="14"/>
                <w:lang w:val="es-ES" w:eastAsia="en-US"/>
              </w:rPr>
              <w:t>Fondo de Aportaciones para la Nómina Educativa y el Gasto Operativo -  Gasto de Operación.</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6C55C9E" w14:textId="77777777" w:rsidR="00BF5974" w:rsidRDefault="00BF5974">
            <w:pPr>
              <w:spacing w:line="256" w:lineRule="auto"/>
              <w:jc w:val="right"/>
              <w:rPr>
                <w:rFonts w:eastAsia="Times New Roman" w:cs="Arial"/>
                <w:b/>
                <w:bCs/>
                <w:color w:val="000000"/>
                <w:sz w:val="14"/>
                <w:szCs w:val="14"/>
                <w:lang w:val="es-ES" w:eastAsia="en-US"/>
              </w:rPr>
            </w:pPr>
            <w:r>
              <w:rPr>
                <w:rFonts w:eastAsia="Times New Roman" w:cs="Arial"/>
                <w:b/>
                <w:bCs/>
                <w:color w:val="000000"/>
                <w:sz w:val="14"/>
                <w:szCs w:val="14"/>
                <w:lang w:val="es-ES" w:eastAsia="en-US"/>
              </w:rPr>
              <w:t xml:space="preserve">158,203,860 </w:t>
            </w:r>
          </w:p>
        </w:tc>
      </w:tr>
      <w:tr w:rsidR="00BF5974" w14:paraId="328483F8"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EB9D0E"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06301C001A04</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F4D21D"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Formación integral a personal de Educación Inicial Escolarizado y No Escolarizado.</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2D8CF0"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3,924,996 </w:t>
            </w:r>
          </w:p>
        </w:tc>
      </w:tr>
      <w:tr w:rsidR="00BF5974" w14:paraId="5C565C34"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C77E16"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06301C003A02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3CE64A"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Certificación en educación básica a jóvenes y adultos que atiende Misiones Culturales.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5B659F"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300,000 </w:t>
            </w:r>
          </w:p>
        </w:tc>
      </w:tr>
      <w:tr w:rsidR="00BF5974" w14:paraId="7F0F747C"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81C0FC1"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06401C003A02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7954949"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Realización de formaciones sobre el Sistema Básico de Mejora a las jefas de sector y supervisoras de las zonas escolares, por parte del nivel de Educación Preescolar.</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295E31"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999,996 </w:t>
            </w:r>
          </w:p>
        </w:tc>
      </w:tr>
      <w:tr w:rsidR="00BF5974" w14:paraId="14C8268C"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EF4AE76"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06401C004A01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D5B09E"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Formación de los supervisores(a) de secundaria general, con sostenimiento federal transferido, sobre procesos administrativos.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E58FBE"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3,999,996 </w:t>
            </w:r>
          </w:p>
        </w:tc>
      </w:tr>
      <w:tr w:rsidR="00BF5974" w14:paraId="3B719AE2"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D7B7704"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06401C005A01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91AA18"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Formación de los supervisores(a) de secundaria técnica, con sostenimiento federal transferido, sobre procesos administrativos.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374C29"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1,170,000 </w:t>
            </w:r>
          </w:p>
        </w:tc>
      </w:tr>
      <w:tr w:rsidR="00BF5974" w14:paraId="4016F4EC"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04FAFB7"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06401C006A01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14AA43"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Gestiones realizadas para la obtención de paquetes de libros de texto gratuito para los alumnos/as y docentes de Educación Básica del Estado de Colima.</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D4C1AE"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3,000,000 </w:t>
            </w:r>
          </w:p>
        </w:tc>
      </w:tr>
      <w:tr w:rsidR="00BF5974" w14:paraId="6B218067"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BBECADD"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06401C007A01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7964E9"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Atención de solicitudes para reparaciones urgentes (civil, hidráulicas, sanitarias y eléctricas) en los planteles públicos de Educación Básica.</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9213CAC"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1,999,992 </w:t>
            </w:r>
          </w:p>
        </w:tc>
      </w:tr>
      <w:tr w:rsidR="00BF5974" w14:paraId="52044E01"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47DB29"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06401C007A02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2AFBBE5"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Gestión de ampliaciones y mejoramiento de la infraestructura de los planteles públicos de Educación Básica.</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AC7E761"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2,000,004 </w:t>
            </w:r>
          </w:p>
        </w:tc>
      </w:tr>
      <w:tr w:rsidR="00BF5974" w14:paraId="6BA56FE7"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315E13"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lastRenderedPageBreak/>
              <w:t>06401C007A03</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F2ACFC"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Supervisión de los programas que fomentan el crecimiento o mejoramiento de la infraestructura educativa.</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2E30E39"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2,000,004 </w:t>
            </w:r>
          </w:p>
        </w:tc>
      </w:tr>
      <w:tr w:rsidR="00BF5974" w14:paraId="21043899"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C2F0E5"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06401C008A01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A06453"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Atención de alumnos/as que enfrentan barreras para el aprendizaje y la participación con Discapacidad, Trastornos, Aptitudes Sobresalientes, Dificultades Severas de Aprendizaje, Conducta y Comunicación en escuelas públicas de Educación Básica.</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535838A"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6,099,996 </w:t>
            </w:r>
          </w:p>
        </w:tc>
      </w:tr>
      <w:tr w:rsidR="00BF5974" w14:paraId="4EF3CF62"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FC1BFA"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06401C009A01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CA09DC"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Formación de los supervisores(a) del nivel secundaria, subnivel telesecundaria, con sostenimiento federal transferido, sobre procesos administrativos.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E8EDB3"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234,996 </w:t>
            </w:r>
          </w:p>
        </w:tc>
      </w:tr>
      <w:tr w:rsidR="00BF5974" w14:paraId="6E8002E0"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67B6E5"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06401C010A01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E0564A"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Supervisión a los planteles públicos de Educación Básica que reciben el apoyo de pintura.</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5B52AF"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2,000,004 </w:t>
            </w:r>
          </w:p>
        </w:tc>
      </w:tr>
      <w:tr w:rsidR="00BF5974" w14:paraId="7EC516D3"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FB3C98"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06401C011A01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4505861"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 xml:space="preserve">Realización de actividades de formación: conferencias, </w:t>
            </w:r>
            <w:proofErr w:type="spellStart"/>
            <w:r>
              <w:rPr>
                <w:rFonts w:eastAsia="Times New Roman" w:cs="Arial"/>
                <w:color w:val="000000"/>
                <w:sz w:val="14"/>
                <w:szCs w:val="14"/>
                <w:lang w:val="es-ES" w:eastAsia="en-US"/>
              </w:rPr>
              <w:t>webinar</w:t>
            </w:r>
            <w:proofErr w:type="spellEnd"/>
            <w:r>
              <w:rPr>
                <w:rFonts w:eastAsia="Times New Roman" w:cs="Arial"/>
                <w:color w:val="000000"/>
                <w:sz w:val="14"/>
                <w:szCs w:val="14"/>
                <w:lang w:val="es-ES" w:eastAsia="en-US"/>
              </w:rPr>
              <w:t xml:space="preserve"> y cursos-talleres de capacitación a figuras educativas para la atención de la asignatura.</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95B4DD1"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690,000 </w:t>
            </w:r>
          </w:p>
        </w:tc>
      </w:tr>
      <w:tr w:rsidR="00BF5974" w14:paraId="7AB5B414"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099CED"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06401C012A01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D62F1B"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Asignación de plazas a docentes de nuevo ingreso del nivel de primaria con sostenimiento federal transferido y estatal.</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D9CDB6"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8,079,720 </w:t>
            </w:r>
          </w:p>
        </w:tc>
      </w:tr>
      <w:tr w:rsidR="00BF5974" w14:paraId="41440763"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7CA51F0"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06401C016A01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B6229B"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Gasto para el pago del funcionamiento de los centros de trabajo de educación básica con sostenimiento federal transferido.</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5A538C"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99,996 </w:t>
            </w:r>
          </w:p>
        </w:tc>
      </w:tr>
      <w:tr w:rsidR="00BF5974" w14:paraId="64FD0E65"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DC3F86"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06401C016A02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17DDA5C"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Gasto de operación de los centros de trabajo con sostenimiento federal transferido.</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2EDDBB"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121,354,164 </w:t>
            </w:r>
          </w:p>
        </w:tc>
      </w:tr>
      <w:tr w:rsidR="00BF5974" w14:paraId="5D022075"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B1E331F"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06401C017A01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9C24D3"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Aplicación de exámenes del concurso de la Olimpiada del Conocimiento Infantil (OCI) a la totalidad de los alumnos(as) de 6° grado de primaria de escuelas con sostenimiento público en todo el estado.</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3D7017"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249,996 </w:t>
            </w:r>
          </w:p>
        </w:tc>
      </w:tr>
      <w:tr w:rsidR="00BF5974" w14:paraId="360ED064"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A41D51" w14:textId="77777777" w:rsidR="00BF5974" w:rsidRDefault="00BF5974">
            <w:pPr>
              <w:spacing w:line="256" w:lineRule="auto"/>
              <w:jc w:val="center"/>
              <w:rPr>
                <w:rFonts w:eastAsia="Times New Roman" w:cs="Arial"/>
                <w:b/>
                <w:bCs/>
                <w:color w:val="000000"/>
                <w:sz w:val="14"/>
                <w:szCs w:val="14"/>
                <w:lang w:val="es-ES" w:eastAsia="en-US"/>
              </w:rPr>
            </w:pPr>
            <w:r>
              <w:rPr>
                <w:rFonts w:eastAsia="Times New Roman" w:cs="Arial"/>
                <w:b/>
                <w:bCs/>
                <w:color w:val="000000"/>
                <w:sz w:val="14"/>
                <w:szCs w:val="14"/>
                <w:lang w:val="es-ES" w:eastAsia="en-US"/>
              </w:rPr>
              <w:t>02 05 2025 011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058D15" w14:textId="77777777" w:rsidR="00BF5974" w:rsidRDefault="00BF5974">
            <w:pPr>
              <w:spacing w:line="256" w:lineRule="auto"/>
              <w:rPr>
                <w:rFonts w:eastAsia="Times New Roman" w:cs="Arial"/>
                <w:b/>
                <w:bCs/>
                <w:color w:val="000000"/>
                <w:sz w:val="14"/>
                <w:szCs w:val="14"/>
                <w:lang w:val="es-ES" w:eastAsia="en-US"/>
              </w:rPr>
            </w:pPr>
            <w:r>
              <w:rPr>
                <w:rFonts w:eastAsia="Times New Roman" w:cs="Arial"/>
                <w:b/>
                <w:bCs/>
                <w:color w:val="000000"/>
                <w:sz w:val="14"/>
                <w:szCs w:val="14"/>
                <w:lang w:val="es-ES" w:eastAsia="en-US"/>
              </w:rPr>
              <w:t>Fondo de Aportaciones para la Nómina Educativa y el Gasto Operativo – Gasto Corriente.</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02449C" w14:textId="77777777" w:rsidR="00BF5974" w:rsidRDefault="00BF5974">
            <w:pPr>
              <w:spacing w:line="256" w:lineRule="auto"/>
              <w:jc w:val="right"/>
              <w:rPr>
                <w:rFonts w:eastAsia="Times New Roman" w:cs="Arial"/>
                <w:b/>
                <w:bCs/>
                <w:color w:val="000000"/>
                <w:sz w:val="14"/>
                <w:szCs w:val="14"/>
                <w:lang w:val="es-ES" w:eastAsia="en-US"/>
              </w:rPr>
            </w:pPr>
            <w:r>
              <w:rPr>
                <w:rFonts w:eastAsia="Times New Roman" w:cs="Arial"/>
                <w:b/>
                <w:bCs/>
                <w:color w:val="000000"/>
                <w:sz w:val="14"/>
                <w:szCs w:val="14"/>
                <w:lang w:val="es-ES" w:eastAsia="en-US"/>
              </w:rPr>
              <w:t xml:space="preserve">48,564,891 </w:t>
            </w:r>
          </w:p>
        </w:tc>
      </w:tr>
      <w:tr w:rsidR="00BF5974" w14:paraId="35CC6A2F"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15D5D3F"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06401C016A02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CF40AF"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Gasto de operación de los centros de trabajo con sostenimiento federal transferido.</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F14AB9"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48,564,891 </w:t>
            </w:r>
          </w:p>
        </w:tc>
      </w:tr>
      <w:tr w:rsidR="00BF5974" w14:paraId="55BDB4FD"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1251C8" w14:textId="77777777" w:rsidR="00BF5974" w:rsidRDefault="00BF5974">
            <w:pPr>
              <w:spacing w:line="256" w:lineRule="auto"/>
              <w:jc w:val="center"/>
              <w:rPr>
                <w:rFonts w:eastAsia="Times New Roman" w:cs="Arial"/>
                <w:b/>
                <w:bCs/>
                <w:color w:val="000000"/>
                <w:sz w:val="14"/>
                <w:szCs w:val="14"/>
                <w:lang w:val="es-ES" w:eastAsia="en-US"/>
              </w:rPr>
            </w:pPr>
            <w:r>
              <w:rPr>
                <w:rFonts w:eastAsia="Times New Roman" w:cs="Arial"/>
                <w:b/>
                <w:bCs/>
                <w:color w:val="000000"/>
                <w:sz w:val="14"/>
                <w:szCs w:val="14"/>
                <w:lang w:val="es-ES" w:eastAsia="en-US"/>
              </w:rPr>
              <w:t>02 05 2025 012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FD85527" w14:textId="77777777" w:rsidR="00BF5974" w:rsidRDefault="00BF5974">
            <w:pPr>
              <w:spacing w:line="256" w:lineRule="auto"/>
              <w:rPr>
                <w:rFonts w:eastAsia="Times New Roman" w:cs="Arial"/>
                <w:b/>
                <w:bCs/>
                <w:color w:val="000000"/>
                <w:sz w:val="14"/>
                <w:szCs w:val="14"/>
                <w:lang w:val="es-ES" w:eastAsia="en-US"/>
              </w:rPr>
            </w:pPr>
            <w:r>
              <w:rPr>
                <w:rFonts w:eastAsia="Times New Roman" w:cs="Arial"/>
                <w:b/>
                <w:bCs/>
                <w:color w:val="000000"/>
                <w:sz w:val="14"/>
                <w:szCs w:val="14"/>
                <w:lang w:val="es-ES" w:eastAsia="en-US"/>
              </w:rPr>
              <w:t>Fondo de Aportaciones para la Educación Tecnológica y de Adultos – Educación Adultos.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47776F" w14:textId="77777777" w:rsidR="00BF5974" w:rsidRDefault="00BF5974">
            <w:pPr>
              <w:spacing w:line="256" w:lineRule="auto"/>
              <w:jc w:val="right"/>
              <w:rPr>
                <w:rFonts w:eastAsia="Times New Roman" w:cs="Arial"/>
                <w:b/>
                <w:bCs/>
                <w:color w:val="000000"/>
                <w:sz w:val="14"/>
                <w:szCs w:val="14"/>
                <w:lang w:val="es-ES" w:eastAsia="en-US"/>
              </w:rPr>
            </w:pPr>
            <w:r>
              <w:rPr>
                <w:rFonts w:eastAsia="Times New Roman" w:cs="Arial"/>
                <w:b/>
                <w:bCs/>
                <w:color w:val="000000"/>
                <w:sz w:val="14"/>
                <w:szCs w:val="14"/>
                <w:lang w:val="es-ES" w:eastAsia="en-US"/>
              </w:rPr>
              <w:t xml:space="preserve">52,164,497 </w:t>
            </w:r>
          </w:p>
        </w:tc>
      </w:tr>
      <w:tr w:rsidR="00BF5974" w14:paraId="1EF0584A"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D53BAE"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06501C004A01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45F6006"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Equipamiento de la infraestructura física de los planteles públicos de Educación Media Superior.</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9F3898A"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52,164,497 </w:t>
            </w:r>
          </w:p>
        </w:tc>
      </w:tr>
      <w:tr w:rsidR="00BF5974" w14:paraId="6DFA5DB3"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77CA9B" w14:textId="77777777" w:rsidR="00BF5974" w:rsidRDefault="00BF5974">
            <w:pPr>
              <w:spacing w:line="256" w:lineRule="auto"/>
              <w:jc w:val="center"/>
              <w:rPr>
                <w:rFonts w:eastAsia="Times New Roman" w:cs="Arial"/>
                <w:b/>
                <w:bCs/>
                <w:color w:val="000000"/>
                <w:sz w:val="14"/>
                <w:szCs w:val="14"/>
                <w:lang w:val="es-ES" w:eastAsia="en-US"/>
              </w:rPr>
            </w:pPr>
            <w:r>
              <w:rPr>
                <w:rFonts w:eastAsia="Times New Roman" w:cs="Arial"/>
                <w:b/>
                <w:bCs/>
                <w:color w:val="000000"/>
                <w:sz w:val="14"/>
                <w:szCs w:val="14"/>
                <w:lang w:val="es-ES" w:eastAsia="en-US"/>
              </w:rPr>
              <w:t>02 05 2025 013</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FA446DE" w14:textId="77777777" w:rsidR="00BF5974" w:rsidRDefault="00BF5974">
            <w:pPr>
              <w:spacing w:line="256" w:lineRule="auto"/>
              <w:rPr>
                <w:rFonts w:eastAsia="Times New Roman" w:cs="Arial"/>
                <w:b/>
                <w:bCs/>
                <w:color w:val="000000"/>
                <w:sz w:val="14"/>
                <w:szCs w:val="14"/>
                <w:lang w:val="es-ES" w:eastAsia="en-US"/>
              </w:rPr>
            </w:pPr>
            <w:r>
              <w:rPr>
                <w:rFonts w:eastAsia="Times New Roman" w:cs="Arial"/>
                <w:b/>
                <w:bCs/>
                <w:color w:val="000000"/>
                <w:sz w:val="14"/>
                <w:szCs w:val="14"/>
                <w:lang w:val="es-ES" w:eastAsia="en-US"/>
              </w:rPr>
              <w:t>Fondo de Aportaciones Múltiples Infraestructura Educación Básica.</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3F9315" w14:textId="77777777" w:rsidR="00BF5974" w:rsidRDefault="00BF5974">
            <w:pPr>
              <w:spacing w:line="256" w:lineRule="auto"/>
              <w:jc w:val="right"/>
              <w:rPr>
                <w:rFonts w:eastAsia="Times New Roman" w:cs="Arial"/>
                <w:b/>
                <w:bCs/>
                <w:color w:val="000000"/>
                <w:sz w:val="14"/>
                <w:szCs w:val="14"/>
                <w:lang w:val="es-ES" w:eastAsia="en-US"/>
              </w:rPr>
            </w:pPr>
            <w:r>
              <w:rPr>
                <w:rFonts w:eastAsia="Times New Roman" w:cs="Arial"/>
                <w:b/>
                <w:bCs/>
                <w:color w:val="000000"/>
                <w:sz w:val="14"/>
                <w:szCs w:val="14"/>
                <w:lang w:val="es-ES" w:eastAsia="en-US"/>
              </w:rPr>
              <w:t xml:space="preserve">106,704,319 </w:t>
            </w:r>
          </w:p>
        </w:tc>
      </w:tr>
      <w:tr w:rsidR="00BF5974" w14:paraId="5AC03A62"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8E98A66"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06401C007A02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26F33F5"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Gestión de ampliaciones y mejoramiento de la infraestructura de los planteles públicos de Educación Básica.</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F293418"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106,704,319 </w:t>
            </w:r>
          </w:p>
        </w:tc>
      </w:tr>
      <w:tr w:rsidR="00BF5974" w14:paraId="5F522FB3"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8CAE40" w14:textId="77777777" w:rsidR="00BF5974" w:rsidRDefault="00BF5974">
            <w:pPr>
              <w:spacing w:line="256" w:lineRule="auto"/>
              <w:jc w:val="center"/>
              <w:rPr>
                <w:rFonts w:eastAsia="Times New Roman" w:cs="Arial"/>
                <w:b/>
                <w:bCs/>
                <w:color w:val="000000"/>
                <w:sz w:val="14"/>
                <w:szCs w:val="14"/>
                <w:lang w:val="es-ES" w:eastAsia="en-US"/>
              </w:rPr>
            </w:pPr>
            <w:r>
              <w:rPr>
                <w:rFonts w:eastAsia="Times New Roman" w:cs="Arial"/>
                <w:b/>
                <w:bCs/>
                <w:color w:val="000000"/>
                <w:sz w:val="14"/>
                <w:szCs w:val="14"/>
                <w:lang w:val="es-ES" w:eastAsia="en-US"/>
              </w:rPr>
              <w:t>02 05 2025 014</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058F42" w14:textId="77777777" w:rsidR="00BF5974" w:rsidRDefault="00BF5974">
            <w:pPr>
              <w:spacing w:line="256" w:lineRule="auto"/>
              <w:rPr>
                <w:rFonts w:eastAsia="Times New Roman" w:cs="Arial"/>
                <w:b/>
                <w:bCs/>
                <w:color w:val="000000"/>
                <w:sz w:val="14"/>
                <w:szCs w:val="14"/>
                <w:lang w:val="es-ES" w:eastAsia="en-US"/>
              </w:rPr>
            </w:pPr>
            <w:r>
              <w:rPr>
                <w:rFonts w:eastAsia="Times New Roman" w:cs="Arial"/>
                <w:b/>
                <w:bCs/>
                <w:color w:val="000000"/>
                <w:sz w:val="14"/>
                <w:szCs w:val="14"/>
                <w:lang w:val="es-ES" w:eastAsia="en-US"/>
              </w:rPr>
              <w:t>Fondo de Aportaciones Múltiples Educativa Media Superior.</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355D828" w14:textId="77777777" w:rsidR="00BF5974" w:rsidRDefault="00BF5974">
            <w:pPr>
              <w:spacing w:line="256" w:lineRule="auto"/>
              <w:jc w:val="right"/>
              <w:rPr>
                <w:rFonts w:eastAsia="Times New Roman" w:cs="Arial"/>
                <w:b/>
                <w:bCs/>
                <w:color w:val="000000"/>
                <w:sz w:val="14"/>
                <w:szCs w:val="14"/>
                <w:lang w:val="es-ES" w:eastAsia="en-US"/>
              </w:rPr>
            </w:pPr>
            <w:r>
              <w:rPr>
                <w:rFonts w:eastAsia="Times New Roman" w:cs="Arial"/>
                <w:b/>
                <w:bCs/>
                <w:color w:val="000000"/>
                <w:sz w:val="14"/>
                <w:szCs w:val="14"/>
                <w:lang w:val="es-ES" w:eastAsia="en-US"/>
              </w:rPr>
              <w:t xml:space="preserve">4,132,120 </w:t>
            </w:r>
          </w:p>
        </w:tc>
      </w:tr>
      <w:tr w:rsidR="00BF5974" w14:paraId="6A523851"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EFCD691"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00701C003A02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C07222"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Mejora de la infraestructura para el desarrollo de la extensión-vinculación.</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E76D21"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1,697,299 </w:t>
            </w:r>
          </w:p>
        </w:tc>
      </w:tr>
      <w:tr w:rsidR="00BF5974" w14:paraId="17791277"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F477781"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06501C004A01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C08846"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Equipamiento de la infraestructura física de los planteles públicos de Educación Media Superior.</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38BB60"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2,434,821 </w:t>
            </w:r>
          </w:p>
        </w:tc>
      </w:tr>
      <w:tr w:rsidR="00BF5974" w14:paraId="4B7C1CC0"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C628BD" w14:textId="77777777" w:rsidR="00BF5974" w:rsidRDefault="00BF5974">
            <w:pPr>
              <w:spacing w:line="256" w:lineRule="auto"/>
              <w:jc w:val="center"/>
              <w:rPr>
                <w:rFonts w:eastAsia="Times New Roman" w:cs="Arial"/>
                <w:b/>
                <w:bCs/>
                <w:color w:val="000000"/>
                <w:sz w:val="14"/>
                <w:szCs w:val="14"/>
                <w:lang w:val="es-ES" w:eastAsia="en-US"/>
              </w:rPr>
            </w:pPr>
            <w:r>
              <w:rPr>
                <w:rFonts w:eastAsia="Times New Roman" w:cs="Arial"/>
                <w:b/>
                <w:bCs/>
                <w:color w:val="000000"/>
                <w:sz w:val="14"/>
                <w:szCs w:val="14"/>
                <w:lang w:val="es-ES" w:eastAsia="en-US"/>
              </w:rPr>
              <w:t>02 05 2025 015</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159568" w14:textId="77777777" w:rsidR="00BF5974" w:rsidRDefault="00BF5974">
            <w:pPr>
              <w:spacing w:line="256" w:lineRule="auto"/>
              <w:rPr>
                <w:rFonts w:eastAsia="Times New Roman" w:cs="Arial"/>
                <w:b/>
                <w:bCs/>
                <w:color w:val="000000"/>
                <w:sz w:val="14"/>
                <w:szCs w:val="14"/>
                <w:lang w:val="es-ES" w:eastAsia="en-US"/>
              </w:rPr>
            </w:pPr>
            <w:r>
              <w:rPr>
                <w:rFonts w:eastAsia="Times New Roman" w:cs="Arial"/>
                <w:b/>
                <w:bCs/>
                <w:color w:val="000000"/>
                <w:sz w:val="14"/>
                <w:szCs w:val="14"/>
                <w:lang w:val="es-ES" w:eastAsia="en-US"/>
              </w:rPr>
              <w:t>Fondo de Aportaciones Múltiples Infraestructura Educativa Superior.</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A1179D8" w14:textId="77777777" w:rsidR="00BF5974" w:rsidRDefault="00BF5974">
            <w:pPr>
              <w:spacing w:line="256" w:lineRule="auto"/>
              <w:jc w:val="right"/>
              <w:rPr>
                <w:rFonts w:eastAsia="Times New Roman" w:cs="Arial"/>
                <w:b/>
                <w:bCs/>
                <w:color w:val="000000"/>
                <w:sz w:val="14"/>
                <w:szCs w:val="14"/>
                <w:lang w:val="es-ES" w:eastAsia="en-US"/>
              </w:rPr>
            </w:pPr>
            <w:r>
              <w:rPr>
                <w:rFonts w:eastAsia="Times New Roman" w:cs="Arial"/>
                <w:b/>
                <w:bCs/>
                <w:color w:val="000000"/>
                <w:sz w:val="14"/>
                <w:szCs w:val="14"/>
                <w:lang w:val="es-ES" w:eastAsia="en-US"/>
              </w:rPr>
              <w:t xml:space="preserve">58,990,122 </w:t>
            </w:r>
          </w:p>
        </w:tc>
      </w:tr>
      <w:tr w:rsidR="00BF5974" w14:paraId="377628B9"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367BDF3"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00701C004A02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DEF0910"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Adecuada infraestructura y equipamiento para la atención a la demanda.</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63B9956"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19,323,808 </w:t>
            </w:r>
          </w:p>
        </w:tc>
      </w:tr>
      <w:tr w:rsidR="00BF5974" w14:paraId="7D436127"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B0508B0"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06501C004A01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2B2CB8"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Equipamiento de la infraestructura física de los planteles públicos de Educación Media Superior.</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5F4E15"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39,666,314 </w:t>
            </w:r>
          </w:p>
        </w:tc>
      </w:tr>
      <w:tr w:rsidR="00BF5974" w14:paraId="0D406F04"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F31A18" w14:textId="77777777" w:rsidR="00BF5974" w:rsidRDefault="00BF5974">
            <w:pPr>
              <w:spacing w:line="256" w:lineRule="auto"/>
              <w:jc w:val="center"/>
              <w:rPr>
                <w:rFonts w:eastAsia="Times New Roman" w:cs="Arial"/>
                <w:b/>
                <w:bCs/>
                <w:color w:val="000000"/>
                <w:sz w:val="14"/>
                <w:szCs w:val="14"/>
                <w:lang w:val="es-ES" w:eastAsia="en-US"/>
              </w:rPr>
            </w:pPr>
            <w:r>
              <w:rPr>
                <w:rFonts w:eastAsia="Times New Roman" w:cs="Arial"/>
                <w:b/>
                <w:bCs/>
                <w:color w:val="000000"/>
                <w:sz w:val="14"/>
                <w:szCs w:val="14"/>
                <w:lang w:val="es-ES" w:eastAsia="en-US"/>
              </w:rPr>
              <w:t>02 05 2025 016</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3CC730" w14:textId="77777777" w:rsidR="00BF5974" w:rsidRDefault="00BF5974">
            <w:pPr>
              <w:spacing w:line="256" w:lineRule="auto"/>
              <w:rPr>
                <w:rFonts w:eastAsia="Times New Roman" w:cs="Arial"/>
                <w:b/>
                <w:bCs/>
                <w:color w:val="000000"/>
                <w:sz w:val="14"/>
                <w:szCs w:val="14"/>
                <w:lang w:val="es-ES" w:eastAsia="en-US"/>
              </w:rPr>
            </w:pPr>
            <w:r>
              <w:rPr>
                <w:rFonts w:eastAsia="Times New Roman" w:cs="Arial"/>
                <w:b/>
                <w:bCs/>
                <w:color w:val="000000"/>
                <w:sz w:val="14"/>
                <w:szCs w:val="14"/>
                <w:lang w:val="es-ES" w:eastAsia="en-US"/>
              </w:rPr>
              <w:t>Fondo de Aportaciones Múltiples FAM FIDE</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7B24650" w14:textId="77777777" w:rsidR="00BF5974" w:rsidRDefault="00BF5974">
            <w:pPr>
              <w:spacing w:line="256" w:lineRule="auto"/>
              <w:jc w:val="right"/>
              <w:rPr>
                <w:rFonts w:eastAsia="Times New Roman" w:cs="Arial"/>
                <w:b/>
                <w:bCs/>
                <w:color w:val="000000"/>
                <w:sz w:val="14"/>
                <w:szCs w:val="14"/>
                <w:lang w:val="es-ES" w:eastAsia="en-US"/>
              </w:rPr>
            </w:pPr>
            <w:r>
              <w:rPr>
                <w:rFonts w:eastAsia="Times New Roman" w:cs="Arial"/>
                <w:b/>
                <w:bCs/>
                <w:color w:val="000000"/>
                <w:sz w:val="14"/>
                <w:szCs w:val="14"/>
                <w:lang w:val="es-ES" w:eastAsia="en-US"/>
              </w:rPr>
              <w:t xml:space="preserve">100,682,308 </w:t>
            </w:r>
          </w:p>
        </w:tc>
      </w:tr>
      <w:tr w:rsidR="00BF5974" w14:paraId="164A9DDE"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EF9AFB"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00701C004A02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1987AB"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Adecuada infraestructura y equipamiento para la atención a la demanda.</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87687F6"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19,920,237 </w:t>
            </w:r>
          </w:p>
        </w:tc>
      </w:tr>
      <w:tr w:rsidR="00BF5974" w14:paraId="31E82901"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7971BA6"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06401C007A02</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0C8C85"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Gestión de ampliaciones y mejoramiento de la infraestructura de los planteles públicos de Educación Básica.</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B777C4A"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63,260,048 </w:t>
            </w:r>
          </w:p>
        </w:tc>
      </w:tr>
      <w:tr w:rsidR="00BF5974" w14:paraId="54F1E437"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79EA99"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06501C004A01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29C441"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Equipamiento de la infraestructura física de los planteles públicos de Educación Media Superior.</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5AAED3"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17,502,023 </w:t>
            </w:r>
          </w:p>
        </w:tc>
      </w:tr>
      <w:tr w:rsidR="00BF5974" w14:paraId="2613A936"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ECCECB8" w14:textId="77777777" w:rsidR="00BF5974" w:rsidRDefault="00BF5974">
            <w:pPr>
              <w:spacing w:line="256" w:lineRule="auto"/>
              <w:jc w:val="center"/>
              <w:rPr>
                <w:rFonts w:eastAsia="Times New Roman" w:cs="Arial"/>
                <w:b/>
                <w:bCs/>
                <w:color w:val="000000"/>
                <w:sz w:val="14"/>
                <w:szCs w:val="14"/>
                <w:lang w:val="es-ES" w:eastAsia="en-US"/>
              </w:rPr>
            </w:pPr>
            <w:r>
              <w:rPr>
                <w:rFonts w:eastAsia="Times New Roman" w:cs="Arial"/>
                <w:b/>
                <w:bCs/>
                <w:color w:val="000000"/>
                <w:sz w:val="14"/>
                <w:szCs w:val="14"/>
                <w:lang w:val="es-ES" w:eastAsia="en-US"/>
              </w:rPr>
              <w:t>02 05 2025 100</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76A22768" w14:textId="77777777" w:rsidR="00BF5974" w:rsidRDefault="00BF5974">
            <w:pPr>
              <w:spacing w:line="256" w:lineRule="auto"/>
              <w:rPr>
                <w:rFonts w:eastAsia="Times New Roman" w:cs="Arial"/>
                <w:b/>
                <w:bCs/>
                <w:color w:val="000000"/>
                <w:sz w:val="14"/>
                <w:szCs w:val="14"/>
                <w:lang w:val="es-ES" w:eastAsia="en-US"/>
              </w:rPr>
            </w:pPr>
            <w:r>
              <w:rPr>
                <w:rFonts w:eastAsia="Times New Roman" w:cs="Arial"/>
                <w:b/>
                <w:bCs/>
                <w:color w:val="000000"/>
                <w:sz w:val="14"/>
                <w:szCs w:val="14"/>
                <w:lang w:val="es-ES" w:eastAsia="en-US"/>
              </w:rPr>
              <w:t>Fondo de Aportaciones para la Infraestructura Social FISE-FIEICOMISO</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45CEB572" w14:textId="77777777" w:rsidR="00BF5974" w:rsidRDefault="00BF5974">
            <w:pPr>
              <w:spacing w:line="256" w:lineRule="auto"/>
              <w:jc w:val="right"/>
              <w:rPr>
                <w:rFonts w:eastAsia="Times New Roman" w:cs="Arial"/>
                <w:b/>
                <w:bCs/>
                <w:color w:val="000000"/>
                <w:sz w:val="14"/>
                <w:szCs w:val="14"/>
                <w:lang w:val="es-ES" w:eastAsia="en-US"/>
              </w:rPr>
            </w:pPr>
            <w:r>
              <w:rPr>
                <w:rFonts w:eastAsia="Times New Roman" w:cs="Arial"/>
                <w:b/>
                <w:bCs/>
                <w:color w:val="000000"/>
                <w:sz w:val="14"/>
                <w:szCs w:val="14"/>
                <w:lang w:val="es-ES" w:eastAsia="en-US"/>
              </w:rPr>
              <w:t>16,484,480</w:t>
            </w:r>
          </w:p>
        </w:tc>
      </w:tr>
      <w:tr w:rsidR="00BF5974" w14:paraId="73E24613"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hideMark/>
          </w:tcPr>
          <w:p w14:paraId="5B4F4B71"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01001C001A01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0C0E0B31"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Ejercicio de los recursos del FAFEF destinados a saneamiento financiero</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11D001D0"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12,430,690</w:t>
            </w:r>
          </w:p>
        </w:tc>
      </w:tr>
      <w:tr w:rsidR="00BF5974" w14:paraId="30A0144F"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hideMark/>
          </w:tcPr>
          <w:p w14:paraId="4AA74BFA"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06101C006A01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0F1A8014"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Costo financiero y pago de la deuda realizados en el ejercicio fiscal</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06B032F8"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4,053,790</w:t>
            </w:r>
          </w:p>
        </w:tc>
      </w:tr>
      <w:tr w:rsidR="00BF5974" w14:paraId="08153FA0"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37E7BB" w14:textId="77777777" w:rsidR="00BF5974" w:rsidRDefault="00BF5974">
            <w:pPr>
              <w:spacing w:line="256" w:lineRule="auto"/>
              <w:jc w:val="center"/>
              <w:rPr>
                <w:rFonts w:eastAsia="Times New Roman" w:cs="Arial"/>
                <w:b/>
                <w:bCs/>
                <w:color w:val="000000"/>
                <w:sz w:val="14"/>
                <w:szCs w:val="14"/>
                <w:lang w:val="es-ES" w:eastAsia="en-US"/>
              </w:rPr>
            </w:pPr>
            <w:r>
              <w:rPr>
                <w:rFonts w:eastAsia="Times New Roman" w:cs="Arial"/>
                <w:b/>
                <w:bCs/>
                <w:color w:val="000000"/>
                <w:sz w:val="14"/>
                <w:szCs w:val="14"/>
                <w:lang w:val="es-ES" w:eastAsia="en-US"/>
              </w:rPr>
              <w:t>02 05 2025 128</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C199EB" w14:textId="77777777" w:rsidR="00BF5974" w:rsidRDefault="00BF5974">
            <w:pPr>
              <w:spacing w:line="256" w:lineRule="auto"/>
              <w:rPr>
                <w:rFonts w:eastAsia="Times New Roman" w:cs="Arial"/>
                <w:b/>
                <w:bCs/>
                <w:color w:val="000000"/>
                <w:sz w:val="14"/>
                <w:szCs w:val="14"/>
                <w:lang w:val="es-ES" w:eastAsia="en-US"/>
              </w:rPr>
            </w:pPr>
            <w:r>
              <w:rPr>
                <w:rFonts w:eastAsia="Times New Roman" w:cs="Arial"/>
                <w:b/>
                <w:bCs/>
                <w:color w:val="000000"/>
                <w:sz w:val="14"/>
                <w:szCs w:val="14"/>
                <w:lang w:val="es-ES" w:eastAsia="en-US"/>
              </w:rPr>
              <w:t>Ramo 47 IMSS Bienestar</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3AB3ED" w14:textId="77777777" w:rsidR="00BF5974" w:rsidRDefault="00BF5974">
            <w:pPr>
              <w:spacing w:line="256" w:lineRule="auto"/>
              <w:jc w:val="right"/>
              <w:rPr>
                <w:rFonts w:eastAsia="Times New Roman" w:cs="Arial"/>
                <w:b/>
                <w:bCs/>
                <w:color w:val="000000"/>
                <w:sz w:val="14"/>
                <w:szCs w:val="14"/>
                <w:lang w:val="es-ES" w:eastAsia="en-US"/>
              </w:rPr>
            </w:pPr>
            <w:r>
              <w:rPr>
                <w:rFonts w:eastAsia="Times New Roman" w:cs="Arial"/>
                <w:b/>
                <w:bCs/>
                <w:color w:val="000000"/>
                <w:sz w:val="14"/>
                <w:szCs w:val="14"/>
                <w:lang w:val="es-ES" w:eastAsia="en-US"/>
              </w:rPr>
              <w:t xml:space="preserve">1,391,418,192 </w:t>
            </w:r>
          </w:p>
        </w:tc>
      </w:tr>
      <w:tr w:rsidR="00BF5974" w14:paraId="06855107"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369D44" w14:textId="77777777" w:rsidR="00BF5974" w:rsidRDefault="00BF5974">
            <w:pPr>
              <w:spacing w:line="256" w:lineRule="auto"/>
              <w:jc w:val="center"/>
              <w:rPr>
                <w:rFonts w:eastAsia="Times New Roman" w:cs="Arial"/>
                <w:color w:val="000000"/>
                <w:sz w:val="14"/>
                <w:szCs w:val="14"/>
                <w:lang w:val="es-ES" w:eastAsia="en-US"/>
              </w:rPr>
            </w:pPr>
            <w:r>
              <w:rPr>
                <w:rFonts w:eastAsia="Times New Roman" w:cs="Arial"/>
                <w:color w:val="000000"/>
                <w:sz w:val="14"/>
                <w:szCs w:val="14"/>
                <w:lang w:val="es-ES" w:eastAsia="en-US"/>
              </w:rPr>
              <w:t>00201C007A01</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43BFFC2"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Detección y prevención de daño a la salud por enfermedades crónico degenerativas, atención de embarazadas y manejo eficiente en unidades de salud y hospitales.</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CCFAF4F" w14:textId="77777777" w:rsidR="00BF5974" w:rsidRDefault="00BF5974">
            <w:pPr>
              <w:spacing w:line="256" w:lineRule="auto"/>
              <w:jc w:val="right"/>
              <w:rPr>
                <w:rFonts w:eastAsia="Times New Roman" w:cs="Arial"/>
                <w:color w:val="000000"/>
                <w:sz w:val="14"/>
                <w:szCs w:val="14"/>
                <w:lang w:val="es-ES" w:eastAsia="en-US"/>
              </w:rPr>
            </w:pPr>
            <w:r>
              <w:rPr>
                <w:rFonts w:eastAsia="Times New Roman" w:cs="Arial"/>
                <w:color w:val="000000"/>
                <w:sz w:val="14"/>
                <w:szCs w:val="14"/>
                <w:lang w:val="es-ES" w:eastAsia="en-US"/>
              </w:rPr>
              <w:t xml:space="preserve">1,391,418,192 </w:t>
            </w:r>
          </w:p>
        </w:tc>
      </w:tr>
      <w:tr w:rsidR="00BF5974" w14:paraId="60A466C8" w14:textId="77777777" w:rsidTr="00BF5974">
        <w:trPr>
          <w:trHeight w:val="20"/>
        </w:trPr>
        <w:tc>
          <w:tcPr>
            <w:tcW w:w="11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823F87" w14:textId="77777777" w:rsidR="00BF5974" w:rsidRDefault="00BF5974">
            <w:pPr>
              <w:spacing w:line="256" w:lineRule="auto"/>
              <w:rPr>
                <w:rFonts w:eastAsia="Times New Roman" w:cs="Arial"/>
                <w:color w:val="000000"/>
                <w:sz w:val="14"/>
                <w:szCs w:val="14"/>
                <w:lang w:val="es-ES" w:eastAsia="en-US"/>
              </w:rPr>
            </w:pPr>
            <w:r>
              <w:rPr>
                <w:rFonts w:eastAsia="Times New Roman" w:cs="Arial"/>
                <w:color w:val="000000"/>
                <w:sz w:val="14"/>
                <w:szCs w:val="14"/>
                <w:lang w:val="es-ES" w:eastAsia="en-US"/>
              </w:rPr>
              <w:t> </w:t>
            </w:r>
          </w:p>
        </w:tc>
        <w:tc>
          <w:tcPr>
            <w:tcW w:w="652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CBEA8B" w14:textId="77777777" w:rsidR="00BF5974" w:rsidRDefault="00BF5974">
            <w:pPr>
              <w:spacing w:line="256" w:lineRule="auto"/>
              <w:jc w:val="center"/>
              <w:rPr>
                <w:rFonts w:eastAsia="Times New Roman" w:cs="Arial"/>
                <w:b/>
                <w:bCs/>
                <w:color w:val="000000"/>
                <w:sz w:val="14"/>
                <w:szCs w:val="14"/>
                <w:lang w:val="es-ES" w:eastAsia="en-US"/>
              </w:rPr>
            </w:pPr>
            <w:r>
              <w:rPr>
                <w:rFonts w:eastAsia="Times New Roman" w:cs="Arial"/>
                <w:b/>
                <w:bCs/>
                <w:color w:val="000000"/>
                <w:sz w:val="14"/>
                <w:szCs w:val="14"/>
                <w:lang w:val="es-ES" w:eastAsia="en-US"/>
              </w:rPr>
              <w:t>Total</w:t>
            </w:r>
          </w:p>
        </w:tc>
        <w:tc>
          <w:tcPr>
            <w:tcW w:w="11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F1C1CC" w14:textId="77777777" w:rsidR="00BF5974" w:rsidRDefault="00BF5974">
            <w:pPr>
              <w:spacing w:line="256" w:lineRule="auto"/>
              <w:jc w:val="right"/>
              <w:rPr>
                <w:rFonts w:eastAsia="Times New Roman" w:cs="Arial"/>
                <w:b/>
                <w:bCs/>
                <w:color w:val="000000"/>
                <w:sz w:val="14"/>
                <w:szCs w:val="14"/>
                <w:lang w:val="es-ES" w:eastAsia="en-US"/>
              </w:rPr>
            </w:pPr>
            <w:r>
              <w:rPr>
                <w:rFonts w:eastAsia="Times New Roman" w:cs="Arial"/>
                <w:b/>
                <w:bCs/>
                <w:color w:val="000000"/>
                <w:sz w:val="14"/>
                <w:szCs w:val="14"/>
                <w:lang w:val="es-ES" w:eastAsia="en-US"/>
              </w:rPr>
              <w:t>8,947,961,092</w:t>
            </w:r>
          </w:p>
        </w:tc>
      </w:tr>
    </w:tbl>
    <w:p w14:paraId="1E07DEED" w14:textId="77777777" w:rsidR="00BF5974" w:rsidRDefault="00BF5974" w:rsidP="00BF5974">
      <w:pPr>
        <w:rPr>
          <w:rFonts w:cs="Arial"/>
        </w:rPr>
      </w:pPr>
    </w:p>
    <w:p w14:paraId="2EFFDC87" w14:textId="77777777" w:rsidR="00BF5974" w:rsidRDefault="00BF5974" w:rsidP="00BF5974">
      <w:pPr>
        <w:rPr>
          <w:rFonts w:cs="Arial"/>
          <w:lang w:val="es-ES"/>
        </w:rPr>
      </w:pPr>
      <w:r>
        <w:rPr>
          <w:rFonts w:cs="Arial"/>
          <w:b/>
          <w:lang w:val="es-ES"/>
        </w:rPr>
        <w:t>Artículo 64</w:t>
      </w:r>
      <w:r>
        <w:rPr>
          <w:rFonts w:cs="Arial"/>
          <w:lang w:val="es-ES"/>
        </w:rPr>
        <w:t xml:space="preserve">. La Relación de Cuentas Bancarias Productivas en las cuales se depositarán los Recursos Federales transferidos en el Ejercicio Fiscal 2025, para los diferentes Fondos, Programas y Convenios; se les deberá dar apertura de conformidad a </w:t>
      </w:r>
      <w:r>
        <w:rPr>
          <w:rFonts w:eastAsia="Times New Roman" w:cs="Arial"/>
          <w:lang w:val="es-ES" w:eastAsia="es-ES"/>
        </w:rPr>
        <w:t>los términos legales correspondientes.</w:t>
      </w:r>
    </w:p>
    <w:p w14:paraId="28BBE3E3" w14:textId="77777777" w:rsidR="00BF5974" w:rsidRDefault="00BF5974" w:rsidP="00BF5974">
      <w:pPr>
        <w:rPr>
          <w:rFonts w:cs="Arial"/>
          <w:lang w:val="es-ES"/>
        </w:rPr>
      </w:pPr>
    </w:p>
    <w:p w14:paraId="4B2241D2" w14:textId="77777777" w:rsidR="00BF5974" w:rsidRDefault="00BF5974" w:rsidP="00BF5974">
      <w:pPr>
        <w:rPr>
          <w:rFonts w:eastAsia="Times New Roman" w:cs="Arial"/>
          <w:lang w:val="es-ES" w:eastAsia="es-ES"/>
        </w:rPr>
      </w:pPr>
      <w:r>
        <w:rPr>
          <w:rFonts w:cs="Arial"/>
          <w:lang w:val="es-ES"/>
        </w:rPr>
        <w:t xml:space="preserve">El </w:t>
      </w:r>
      <w:bookmarkStart w:id="231" w:name="_Hlk180922345"/>
      <w:r w:rsidRPr="004E0879">
        <w:rPr>
          <w:rFonts w:cs="Arial"/>
          <w:b/>
          <w:bCs/>
          <w:lang w:val="es-ES"/>
        </w:rPr>
        <w:t>Anexo 9</w:t>
      </w:r>
      <w:r>
        <w:rPr>
          <w:rFonts w:cs="Arial"/>
          <w:bCs/>
          <w:lang w:val="es-ES"/>
        </w:rPr>
        <w:t xml:space="preserve"> Cuentas Bancarias Productivas</w:t>
      </w:r>
      <w:r>
        <w:rPr>
          <w:rFonts w:cs="Arial"/>
          <w:lang w:val="es-ES"/>
        </w:rPr>
        <w:t xml:space="preserve"> </w:t>
      </w:r>
      <w:bookmarkEnd w:id="231"/>
      <w:r>
        <w:rPr>
          <w:rFonts w:cs="Arial"/>
          <w:lang w:val="es-ES"/>
        </w:rPr>
        <w:t xml:space="preserve">del presente Decreto relaciona las </w:t>
      </w:r>
      <w:r>
        <w:rPr>
          <w:rFonts w:eastAsia="Times New Roman" w:cs="Arial"/>
          <w:lang w:val="es-ES" w:eastAsia="es-ES"/>
        </w:rPr>
        <w:t xml:space="preserve">cuentas bancarias productivas correspondientes al Ejercicio Fiscal vigente. </w:t>
      </w:r>
    </w:p>
    <w:p w14:paraId="7C4404A1" w14:textId="09373B72" w:rsidR="00BF5974" w:rsidRDefault="00BF5974" w:rsidP="00BF5974">
      <w:pPr>
        <w:rPr>
          <w:rFonts w:cs="Arial"/>
          <w:lang w:val="es-ES"/>
        </w:rPr>
      </w:pPr>
    </w:p>
    <w:p w14:paraId="26F02DA0" w14:textId="77777777" w:rsidR="00105286" w:rsidRDefault="00105286" w:rsidP="00BF5974">
      <w:pPr>
        <w:rPr>
          <w:rFonts w:cs="Arial"/>
          <w:lang w:val="es-ES"/>
        </w:rPr>
      </w:pPr>
    </w:p>
    <w:p w14:paraId="5872918B" w14:textId="77777777" w:rsidR="00BF5974" w:rsidRDefault="00BF5974" w:rsidP="00BF5974">
      <w:pPr>
        <w:jc w:val="center"/>
        <w:rPr>
          <w:rFonts w:eastAsia="Times New Roman" w:cs="Arial"/>
          <w:b/>
          <w:lang w:val="es-ES"/>
        </w:rPr>
      </w:pPr>
      <w:bookmarkStart w:id="232" w:name="_Toc522869293"/>
      <w:bookmarkStart w:id="233" w:name="_Toc526757512"/>
      <w:bookmarkStart w:id="234" w:name="_Toc22021974"/>
      <w:bookmarkStart w:id="235" w:name="_Toc22983224"/>
      <w:bookmarkStart w:id="236" w:name="_Toc465292959"/>
      <w:bookmarkStart w:id="237" w:name="_Toc465292887"/>
      <w:r>
        <w:rPr>
          <w:rFonts w:eastAsia="Times New Roman" w:cs="Arial"/>
          <w:b/>
          <w:lang w:val="es-ES"/>
        </w:rPr>
        <w:lastRenderedPageBreak/>
        <w:t xml:space="preserve">CAPÍTULO </w:t>
      </w:r>
      <w:bookmarkEnd w:id="232"/>
      <w:bookmarkEnd w:id="233"/>
      <w:bookmarkEnd w:id="234"/>
      <w:bookmarkEnd w:id="235"/>
      <w:r>
        <w:rPr>
          <w:rFonts w:eastAsia="Times New Roman" w:cs="Arial"/>
          <w:b/>
          <w:lang w:val="es-ES"/>
        </w:rPr>
        <w:t>II</w:t>
      </w:r>
    </w:p>
    <w:p w14:paraId="3E46617B" w14:textId="77777777" w:rsidR="00BF5974" w:rsidRDefault="00BF5974" w:rsidP="00BF5974">
      <w:pPr>
        <w:keepNext/>
        <w:keepLines/>
        <w:jc w:val="center"/>
        <w:outlineLvl w:val="0"/>
        <w:rPr>
          <w:rFonts w:eastAsia="Times New Roman" w:cs="Arial"/>
          <w:b/>
          <w:szCs w:val="32"/>
          <w:lang w:val="es-ES"/>
        </w:rPr>
      </w:pPr>
      <w:bookmarkStart w:id="238" w:name="_Toc522869294"/>
      <w:bookmarkStart w:id="239" w:name="_Toc526757513"/>
      <w:bookmarkStart w:id="240" w:name="_Toc22021975"/>
      <w:bookmarkStart w:id="241" w:name="_Toc22983225"/>
      <w:r>
        <w:rPr>
          <w:rFonts w:eastAsia="Times New Roman" w:cs="Arial"/>
          <w:b/>
          <w:szCs w:val="32"/>
          <w:lang w:val="es-ES"/>
        </w:rPr>
        <w:t>DE LOS RECURSOS FEDERALES TRANSFERIDOS A LOS MUNICIPIOS</w:t>
      </w:r>
      <w:bookmarkEnd w:id="236"/>
      <w:bookmarkEnd w:id="237"/>
      <w:bookmarkEnd w:id="238"/>
      <w:bookmarkEnd w:id="239"/>
      <w:bookmarkEnd w:id="240"/>
      <w:bookmarkEnd w:id="241"/>
    </w:p>
    <w:p w14:paraId="2D167950" w14:textId="77777777" w:rsidR="00BF5974" w:rsidRDefault="00BF5974" w:rsidP="00BF5974">
      <w:pPr>
        <w:shd w:val="clear" w:color="auto" w:fill="FFFFFF"/>
        <w:rPr>
          <w:rFonts w:eastAsia="Times New Roman" w:cs="Arial"/>
          <w:b/>
          <w:lang w:val="es-ES" w:eastAsia="es-ES"/>
        </w:rPr>
      </w:pPr>
    </w:p>
    <w:p w14:paraId="5238AC6E" w14:textId="77777777" w:rsidR="00BF5974" w:rsidRDefault="00BF5974" w:rsidP="00BF5974">
      <w:pPr>
        <w:shd w:val="clear" w:color="auto" w:fill="FFFFFF"/>
        <w:rPr>
          <w:rFonts w:eastAsia="Times New Roman" w:cs="Arial"/>
          <w:lang w:val="es-ES" w:eastAsia="es-ES"/>
        </w:rPr>
      </w:pPr>
      <w:r>
        <w:rPr>
          <w:rFonts w:eastAsia="Times New Roman" w:cs="Arial"/>
          <w:b/>
          <w:lang w:val="es-ES" w:eastAsia="es-ES"/>
        </w:rPr>
        <w:t>Artículo 65</w:t>
      </w:r>
      <w:r>
        <w:rPr>
          <w:rFonts w:eastAsia="Times New Roman" w:cs="Arial"/>
          <w:lang w:val="es-ES" w:eastAsia="es-ES"/>
        </w:rPr>
        <w:t>. Las Participaciones a los Municipios, los Incentivos derivados de la Colaboración Fiscal con la Federación y los recursos provenientes del Ramo 33 Aportaciones Federales para Entidades Federativas y Municipios del Ejercicio Fiscal 2025 tienen la siguiente estimación:</w:t>
      </w:r>
    </w:p>
    <w:p w14:paraId="633BE4E8" w14:textId="77777777" w:rsidR="00BF5974" w:rsidRDefault="00BF5974" w:rsidP="00BF5974">
      <w:pPr>
        <w:keepNext/>
        <w:keepLines/>
        <w:outlineLvl w:val="2"/>
        <w:rPr>
          <w:rFonts w:eastAsia="Times New Roman" w:cs="Arial"/>
          <w:b/>
          <w:szCs w:val="24"/>
          <w:lang w:val="es-ES" w:eastAsia="en-US"/>
        </w:rPr>
      </w:pPr>
    </w:p>
    <w:tbl>
      <w:tblPr>
        <w:tblpPr w:leftFromText="141" w:rightFromText="141" w:bottomFromText="160" w:vertAnchor="text" w:tblpXSpec="center" w:tblpY="33"/>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8"/>
        <w:gridCol w:w="1422"/>
      </w:tblGrid>
      <w:tr w:rsidR="00BF5974" w14:paraId="533B604F" w14:textId="77777777" w:rsidTr="00BF5974">
        <w:trPr>
          <w:trHeight w:val="20"/>
          <w:tblHeader/>
        </w:trPr>
        <w:tc>
          <w:tcPr>
            <w:tcW w:w="8080" w:type="dxa"/>
            <w:gridSpan w:val="2"/>
            <w:tcBorders>
              <w:top w:val="nil"/>
              <w:left w:val="nil"/>
              <w:bottom w:val="single" w:sz="4" w:space="0" w:color="auto"/>
              <w:right w:val="nil"/>
            </w:tcBorders>
            <w:vAlign w:val="center"/>
            <w:hideMark/>
          </w:tcPr>
          <w:p w14:paraId="0BC9762B" w14:textId="77777777" w:rsidR="00BF5974" w:rsidRDefault="00BF5974">
            <w:pPr>
              <w:spacing w:line="256" w:lineRule="auto"/>
              <w:jc w:val="center"/>
              <w:rPr>
                <w:rFonts w:eastAsia="Times New Roman" w:cs="Arial"/>
                <w:b/>
                <w:bCs/>
                <w:sz w:val="20"/>
                <w:lang w:val="es-ES" w:eastAsia="en-US"/>
              </w:rPr>
            </w:pPr>
            <w:r>
              <w:rPr>
                <w:rFonts w:eastAsia="Times New Roman" w:cs="Arial"/>
                <w:b/>
                <w:bCs/>
                <w:sz w:val="20"/>
                <w:lang w:val="es-ES" w:eastAsia="en-US"/>
              </w:rPr>
              <w:t>Tabla 50. Participaciones a los Municipios</w:t>
            </w:r>
          </w:p>
          <w:p w14:paraId="4AC719F3" w14:textId="77777777" w:rsidR="00BF5974" w:rsidRDefault="00BF5974">
            <w:pPr>
              <w:spacing w:line="256" w:lineRule="auto"/>
              <w:jc w:val="center"/>
              <w:rPr>
                <w:rFonts w:eastAsia="Times New Roman" w:cs="Arial"/>
                <w:b/>
                <w:bCs/>
                <w:sz w:val="20"/>
                <w:lang w:val="es-ES" w:eastAsia="en-US"/>
              </w:rPr>
            </w:pPr>
            <w:r>
              <w:rPr>
                <w:rFonts w:eastAsia="Times New Roman" w:cs="Arial"/>
                <w:b/>
                <w:bCs/>
                <w:sz w:val="20"/>
                <w:lang w:val="es-ES" w:eastAsia="en-US"/>
              </w:rPr>
              <w:t xml:space="preserve"> (Por Fuente)</w:t>
            </w:r>
          </w:p>
        </w:tc>
      </w:tr>
      <w:tr w:rsidR="00BF5974" w14:paraId="6C4D7CA6" w14:textId="77777777" w:rsidTr="00BF5974">
        <w:trPr>
          <w:trHeight w:val="20"/>
        </w:trPr>
        <w:tc>
          <w:tcPr>
            <w:tcW w:w="6658" w:type="dxa"/>
            <w:tcBorders>
              <w:top w:val="single" w:sz="4" w:space="0" w:color="auto"/>
              <w:left w:val="single" w:sz="4" w:space="0" w:color="auto"/>
              <w:bottom w:val="single" w:sz="4" w:space="0" w:color="auto"/>
              <w:right w:val="single" w:sz="4" w:space="0" w:color="auto"/>
            </w:tcBorders>
            <w:vAlign w:val="center"/>
            <w:hideMark/>
          </w:tcPr>
          <w:p w14:paraId="27EA9928" w14:textId="77777777" w:rsidR="00BF5974" w:rsidRDefault="00BF5974">
            <w:pPr>
              <w:spacing w:line="256" w:lineRule="auto"/>
              <w:jc w:val="center"/>
              <w:rPr>
                <w:rFonts w:eastAsia="Times New Roman" w:cs="Arial"/>
                <w:b/>
                <w:bCs/>
                <w:color w:val="000000"/>
                <w:sz w:val="18"/>
                <w:szCs w:val="18"/>
                <w:lang w:val="es-ES" w:eastAsia="en-US"/>
              </w:rPr>
            </w:pPr>
            <w:r>
              <w:rPr>
                <w:rFonts w:eastAsia="Times New Roman" w:cs="Arial"/>
                <w:b/>
                <w:bCs/>
                <w:color w:val="000000"/>
                <w:sz w:val="18"/>
                <w:szCs w:val="18"/>
                <w:lang w:val="es-ES" w:eastAsia="en-US"/>
              </w:rPr>
              <w:t>Concepto</w:t>
            </w:r>
          </w:p>
        </w:tc>
        <w:tc>
          <w:tcPr>
            <w:tcW w:w="1422" w:type="dxa"/>
            <w:tcBorders>
              <w:top w:val="single" w:sz="4" w:space="0" w:color="auto"/>
              <w:left w:val="single" w:sz="4" w:space="0" w:color="auto"/>
              <w:bottom w:val="single" w:sz="4" w:space="0" w:color="auto"/>
              <w:right w:val="single" w:sz="4" w:space="0" w:color="auto"/>
            </w:tcBorders>
            <w:vAlign w:val="center"/>
            <w:hideMark/>
          </w:tcPr>
          <w:p w14:paraId="6E0260EE" w14:textId="77777777" w:rsidR="00BF5974" w:rsidRDefault="00BF5974">
            <w:pPr>
              <w:spacing w:line="256" w:lineRule="auto"/>
              <w:jc w:val="center"/>
              <w:rPr>
                <w:rFonts w:eastAsia="Times New Roman" w:cs="Arial"/>
                <w:b/>
                <w:bCs/>
                <w:color w:val="000000"/>
                <w:sz w:val="18"/>
                <w:szCs w:val="18"/>
                <w:lang w:val="es-ES" w:eastAsia="en-US"/>
              </w:rPr>
            </w:pPr>
            <w:r>
              <w:rPr>
                <w:rFonts w:eastAsia="Times New Roman" w:cs="Arial"/>
                <w:b/>
                <w:bCs/>
                <w:sz w:val="18"/>
                <w:szCs w:val="18"/>
                <w:lang w:val="es-ES" w:eastAsia="en-US"/>
              </w:rPr>
              <w:t>Asignación Presupuestal</w:t>
            </w:r>
          </w:p>
        </w:tc>
      </w:tr>
      <w:tr w:rsidR="00BF5974" w14:paraId="61680AF2" w14:textId="77777777" w:rsidTr="00BF5974">
        <w:trPr>
          <w:trHeight w:val="20"/>
        </w:trPr>
        <w:tc>
          <w:tcPr>
            <w:tcW w:w="6658" w:type="dxa"/>
            <w:tcBorders>
              <w:top w:val="single" w:sz="4" w:space="0" w:color="auto"/>
              <w:left w:val="single" w:sz="4" w:space="0" w:color="auto"/>
              <w:bottom w:val="single" w:sz="4" w:space="0" w:color="auto"/>
              <w:right w:val="single" w:sz="4" w:space="0" w:color="auto"/>
            </w:tcBorders>
            <w:vAlign w:val="center"/>
            <w:hideMark/>
          </w:tcPr>
          <w:p w14:paraId="73B3E59C" w14:textId="77777777" w:rsidR="00BF5974" w:rsidRDefault="00BF5974">
            <w:pPr>
              <w:spacing w:line="256" w:lineRule="auto"/>
              <w:rPr>
                <w:rFonts w:eastAsia="Times New Roman" w:cs="Arial"/>
                <w:color w:val="000000"/>
                <w:sz w:val="18"/>
                <w:szCs w:val="18"/>
                <w:lang w:val="es-ES" w:eastAsia="en-US"/>
              </w:rPr>
            </w:pPr>
            <w:r>
              <w:rPr>
                <w:rFonts w:eastAsia="Times New Roman" w:cs="Arial"/>
                <w:sz w:val="18"/>
                <w:szCs w:val="18"/>
                <w:lang w:val="es-ES" w:eastAsia="en-US"/>
              </w:rPr>
              <w:t>Fondo General de Participaciones (</w:t>
            </w:r>
            <w:r>
              <w:rPr>
                <w:rFonts w:eastAsia="Times New Roman" w:cs="Arial"/>
                <w:b/>
                <w:sz w:val="18"/>
                <w:szCs w:val="18"/>
                <w:lang w:val="es-ES" w:eastAsia="en-US"/>
              </w:rPr>
              <w:t>FGP</w:t>
            </w:r>
            <w:r>
              <w:rPr>
                <w:rFonts w:eastAsia="Times New Roman" w:cs="Arial"/>
                <w:sz w:val="18"/>
                <w:szCs w:val="18"/>
                <w:lang w:val="es-ES" w:eastAsia="en-US"/>
              </w:rPr>
              <w:t>).</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77C94DF"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1,201,913,008</w:t>
            </w:r>
          </w:p>
        </w:tc>
      </w:tr>
      <w:tr w:rsidR="00BF5974" w14:paraId="64267D9C" w14:textId="77777777" w:rsidTr="00BF5974">
        <w:trPr>
          <w:trHeight w:val="20"/>
        </w:trPr>
        <w:tc>
          <w:tcPr>
            <w:tcW w:w="6658" w:type="dxa"/>
            <w:tcBorders>
              <w:top w:val="single" w:sz="4" w:space="0" w:color="auto"/>
              <w:left w:val="single" w:sz="4" w:space="0" w:color="auto"/>
              <w:bottom w:val="single" w:sz="4" w:space="0" w:color="auto"/>
              <w:right w:val="single" w:sz="4" w:space="0" w:color="auto"/>
            </w:tcBorders>
            <w:vAlign w:val="center"/>
            <w:hideMark/>
          </w:tcPr>
          <w:p w14:paraId="6F78E13E" w14:textId="77777777" w:rsidR="00BF5974" w:rsidRDefault="00BF5974">
            <w:pPr>
              <w:spacing w:line="256" w:lineRule="auto"/>
              <w:rPr>
                <w:rFonts w:eastAsia="Times New Roman" w:cs="Arial"/>
                <w:color w:val="000000"/>
                <w:sz w:val="18"/>
                <w:szCs w:val="18"/>
                <w:lang w:val="es-ES" w:eastAsia="en-US"/>
              </w:rPr>
            </w:pPr>
            <w:r>
              <w:rPr>
                <w:rFonts w:eastAsia="Times New Roman" w:cs="Arial"/>
                <w:sz w:val="18"/>
                <w:szCs w:val="18"/>
                <w:lang w:val="es-ES" w:eastAsia="en-US"/>
              </w:rPr>
              <w:t>Fondo de Fomento Municipal (</w:t>
            </w:r>
            <w:r>
              <w:rPr>
                <w:rFonts w:eastAsia="Times New Roman" w:cs="Arial"/>
                <w:b/>
                <w:sz w:val="18"/>
                <w:szCs w:val="18"/>
                <w:lang w:val="es-ES" w:eastAsia="en-US"/>
              </w:rPr>
              <w:t>FFM</w:t>
            </w:r>
            <w:r>
              <w:rPr>
                <w:rFonts w:eastAsia="Times New Roman" w:cs="Arial"/>
                <w:sz w:val="18"/>
                <w:szCs w:val="18"/>
                <w:lang w:val="es-ES" w:eastAsia="en-US"/>
              </w:rPr>
              <w:t>).</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B6606FB"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380,010,350</w:t>
            </w:r>
          </w:p>
        </w:tc>
      </w:tr>
      <w:tr w:rsidR="00BF5974" w14:paraId="01005A11" w14:textId="77777777" w:rsidTr="00BF5974">
        <w:trPr>
          <w:trHeight w:val="20"/>
        </w:trPr>
        <w:tc>
          <w:tcPr>
            <w:tcW w:w="6658" w:type="dxa"/>
            <w:tcBorders>
              <w:top w:val="single" w:sz="4" w:space="0" w:color="auto"/>
              <w:left w:val="single" w:sz="4" w:space="0" w:color="auto"/>
              <w:bottom w:val="single" w:sz="4" w:space="0" w:color="auto"/>
              <w:right w:val="single" w:sz="4" w:space="0" w:color="auto"/>
            </w:tcBorders>
            <w:vAlign w:val="center"/>
            <w:hideMark/>
          </w:tcPr>
          <w:p w14:paraId="33ADACE1" w14:textId="77777777" w:rsidR="00BF5974" w:rsidRDefault="00BF5974">
            <w:pPr>
              <w:spacing w:line="256" w:lineRule="auto"/>
              <w:rPr>
                <w:rFonts w:eastAsia="Times New Roman" w:cs="Arial"/>
                <w:color w:val="000000"/>
                <w:sz w:val="18"/>
                <w:szCs w:val="18"/>
                <w:lang w:val="es-ES" w:eastAsia="en-US"/>
              </w:rPr>
            </w:pPr>
            <w:r>
              <w:rPr>
                <w:rFonts w:eastAsia="Times New Roman" w:cs="Arial"/>
                <w:sz w:val="18"/>
                <w:szCs w:val="18"/>
                <w:lang w:val="es-ES" w:eastAsia="en-US"/>
              </w:rPr>
              <w:t>Fondo de Fiscalización y Recaudación (</w:t>
            </w:r>
            <w:r>
              <w:rPr>
                <w:rFonts w:eastAsia="Times New Roman" w:cs="Arial"/>
                <w:b/>
                <w:sz w:val="18"/>
                <w:szCs w:val="18"/>
                <w:lang w:val="es-ES" w:eastAsia="en-US"/>
              </w:rPr>
              <w:t>FOFIR</w:t>
            </w:r>
            <w:r>
              <w:rPr>
                <w:rFonts w:eastAsia="Times New Roman" w:cs="Arial"/>
                <w:sz w:val="18"/>
                <w:szCs w:val="18"/>
                <w:lang w:val="es-ES" w:eastAsia="en-US"/>
              </w:rPr>
              <w:t>).</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8CDFA19" w14:textId="77777777" w:rsidR="00BF5974" w:rsidRDefault="00BF5974">
            <w:pPr>
              <w:spacing w:line="256" w:lineRule="auto"/>
              <w:jc w:val="right"/>
              <w:rPr>
                <w:rFonts w:eastAsia="Times New Roman" w:cs="Arial"/>
                <w:color w:val="000000"/>
                <w:sz w:val="18"/>
                <w:szCs w:val="18"/>
                <w:lang w:val="es-ES" w:eastAsia="en-US"/>
              </w:rPr>
            </w:pPr>
            <w:r>
              <w:rPr>
                <w:rFonts w:eastAsia="Times New Roman" w:cs="Arial"/>
                <w:color w:val="000000"/>
                <w:sz w:val="18"/>
                <w:szCs w:val="18"/>
                <w:lang w:val="es-ES" w:eastAsia="en-US"/>
              </w:rPr>
              <w:t>61,374,353</w:t>
            </w:r>
          </w:p>
        </w:tc>
      </w:tr>
      <w:tr w:rsidR="00BF5974" w14:paraId="79294015" w14:textId="77777777" w:rsidTr="00BF5974">
        <w:trPr>
          <w:trHeight w:val="20"/>
        </w:trPr>
        <w:tc>
          <w:tcPr>
            <w:tcW w:w="6658" w:type="dxa"/>
            <w:tcBorders>
              <w:top w:val="single" w:sz="4" w:space="0" w:color="auto"/>
              <w:left w:val="single" w:sz="4" w:space="0" w:color="auto"/>
              <w:bottom w:val="single" w:sz="4" w:space="0" w:color="auto"/>
              <w:right w:val="single" w:sz="4" w:space="0" w:color="auto"/>
            </w:tcBorders>
            <w:vAlign w:val="center"/>
            <w:hideMark/>
          </w:tcPr>
          <w:p w14:paraId="058BEE82" w14:textId="77777777" w:rsidR="00BF5974" w:rsidRDefault="00BF5974">
            <w:pPr>
              <w:spacing w:line="256" w:lineRule="auto"/>
              <w:rPr>
                <w:rFonts w:eastAsia="Times New Roman" w:cs="Arial"/>
                <w:color w:val="000000"/>
                <w:sz w:val="18"/>
                <w:szCs w:val="18"/>
                <w:lang w:val="es-ES" w:eastAsia="en-US"/>
              </w:rPr>
            </w:pPr>
            <w:r>
              <w:rPr>
                <w:rFonts w:eastAsia="Times New Roman" w:cs="Arial"/>
                <w:sz w:val="18"/>
                <w:szCs w:val="18"/>
                <w:lang w:val="es-ES" w:eastAsia="en-US"/>
              </w:rPr>
              <w:t xml:space="preserve">Participación Específica del </w:t>
            </w:r>
            <w:r>
              <w:rPr>
                <w:rFonts w:eastAsia="Times New Roman" w:cs="Arial"/>
                <w:b/>
                <w:sz w:val="18"/>
                <w:szCs w:val="18"/>
                <w:lang w:val="es-ES" w:eastAsia="en-US"/>
              </w:rPr>
              <w:t>I.E.P.S.</w:t>
            </w:r>
          </w:p>
        </w:tc>
        <w:tc>
          <w:tcPr>
            <w:tcW w:w="1422" w:type="dxa"/>
            <w:tcBorders>
              <w:top w:val="single" w:sz="4" w:space="0" w:color="auto"/>
              <w:left w:val="single" w:sz="4" w:space="0" w:color="auto"/>
              <w:bottom w:val="single" w:sz="4" w:space="0" w:color="auto"/>
              <w:right w:val="single" w:sz="4" w:space="0" w:color="auto"/>
            </w:tcBorders>
            <w:vAlign w:val="center"/>
            <w:hideMark/>
          </w:tcPr>
          <w:p w14:paraId="6449AAC5" w14:textId="77777777" w:rsidR="00BF5974" w:rsidRDefault="00BF5974">
            <w:pPr>
              <w:spacing w:line="256" w:lineRule="auto"/>
              <w:jc w:val="right"/>
              <w:rPr>
                <w:rFonts w:eastAsia="Times New Roman" w:cs="Arial"/>
                <w:color w:val="000000"/>
                <w:sz w:val="18"/>
                <w:szCs w:val="18"/>
                <w:lang w:val="es-ES" w:eastAsia="en-US"/>
              </w:rPr>
            </w:pPr>
            <w:r>
              <w:rPr>
                <w:rFonts w:eastAsia="Times New Roman" w:cs="Arial"/>
                <w:color w:val="000000"/>
                <w:sz w:val="18"/>
                <w:szCs w:val="18"/>
                <w:lang w:val="es-ES" w:eastAsia="en-US"/>
              </w:rPr>
              <w:t>34,166,711</w:t>
            </w:r>
          </w:p>
        </w:tc>
      </w:tr>
      <w:tr w:rsidR="00BF5974" w14:paraId="7F9FA9BD" w14:textId="77777777" w:rsidTr="00BF5974">
        <w:trPr>
          <w:trHeight w:val="20"/>
        </w:trPr>
        <w:tc>
          <w:tcPr>
            <w:tcW w:w="6658" w:type="dxa"/>
            <w:tcBorders>
              <w:top w:val="single" w:sz="4" w:space="0" w:color="auto"/>
              <w:left w:val="single" w:sz="4" w:space="0" w:color="auto"/>
              <w:bottom w:val="single" w:sz="4" w:space="0" w:color="auto"/>
              <w:right w:val="single" w:sz="4" w:space="0" w:color="auto"/>
            </w:tcBorders>
            <w:vAlign w:val="center"/>
            <w:hideMark/>
          </w:tcPr>
          <w:p w14:paraId="3E8C5187" w14:textId="77777777" w:rsidR="00BF5974" w:rsidRDefault="00BF5974">
            <w:pPr>
              <w:spacing w:line="256" w:lineRule="auto"/>
              <w:rPr>
                <w:rFonts w:eastAsia="Times New Roman" w:cs="Arial"/>
                <w:color w:val="000000"/>
                <w:sz w:val="18"/>
                <w:szCs w:val="18"/>
                <w:lang w:val="es-ES" w:eastAsia="en-US"/>
              </w:rPr>
            </w:pPr>
            <w:r>
              <w:rPr>
                <w:rFonts w:eastAsia="Times New Roman" w:cs="Arial"/>
                <w:sz w:val="18"/>
                <w:szCs w:val="18"/>
                <w:lang w:val="es-ES" w:eastAsia="en-US"/>
              </w:rPr>
              <w:t>Fondo I.E.P.S. Venta Final de Gasolina y Diésel (</w:t>
            </w:r>
            <w:r>
              <w:rPr>
                <w:rFonts w:eastAsia="Times New Roman" w:cs="Arial"/>
                <w:b/>
                <w:sz w:val="18"/>
                <w:szCs w:val="18"/>
                <w:lang w:val="es-ES" w:eastAsia="en-US"/>
              </w:rPr>
              <w:t>IEPS G. y D.</w:t>
            </w:r>
            <w:r>
              <w:rPr>
                <w:rFonts w:eastAsia="Times New Roman" w:cs="Arial"/>
                <w:sz w:val="18"/>
                <w:szCs w:val="18"/>
                <w:lang w:val="es-ES" w:eastAsia="en-US"/>
              </w:rPr>
              <w:t>).</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820711A" w14:textId="77777777" w:rsidR="00BF5974" w:rsidRDefault="00BF5974">
            <w:pPr>
              <w:spacing w:line="256" w:lineRule="auto"/>
              <w:jc w:val="right"/>
              <w:rPr>
                <w:rFonts w:eastAsia="Times New Roman" w:cs="Arial"/>
                <w:color w:val="000000"/>
                <w:sz w:val="18"/>
                <w:szCs w:val="18"/>
                <w:lang w:val="es-ES" w:eastAsia="en-US"/>
              </w:rPr>
            </w:pPr>
            <w:r>
              <w:rPr>
                <w:rFonts w:eastAsia="Times New Roman" w:cs="Arial"/>
                <w:color w:val="000000"/>
                <w:sz w:val="18"/>
                <w:szCs w:val="18"/>
                <w:lang w:val="es-ES" w:eastAsia="en-US"/>
              </w:rPr>
              <w:t>65,272,199</w:t>
            </w:r>
          </w:p>
        </w:tc>
      </w:tr>
      <w:tr w:rsidR="00BF5974" w14:paraId="07A6B36D" w14:textId="77777777" w:rsidTr="00BF5974">
        <w:trPr>
          <w:trHeight w:val="20"/>
        </w:trPr>
        <w:tc>
          <w:tcPr>
            <w:tcW w:w="6658" w:type="dxa"/>
            <w:tcBorders>
              <w:top w:val="single" w:sz="4" w:space="0" w:color="auto"/>
              <w:left w:val="single" w:sz="4" w:space="0" w:color="auto"/>
              <w:bottom w:val="single" w:sz="4" w:space="0" w:color="auto"/>
              <w:right w:val="single" w:sz="4" w:space="0" w:color="auto"/>
            </w:tcBorders>
            <w:vAlign w:val="center"/>
            <w:hideMark/>
          </w:tcPr>
          <w:p w14:paraId="2B3FB9D0" w14:textId="77777777" w:rsidR="00BF5974" w:rsidRDefault="00BF5974">
            <w:pPr>
              <w:spacing w:line="256" w:lineRule="auto"/>
              <w:rPr>
                <w:rFonts w:eastAsia="Times New Roman" w:cs="Arial"/>
                <w:color w:val="000000"/>
                <w:sz w:val="18"/>
                <w:szCs w:val="18"/>
                <w:lang w:val="es-ES" w:eastAsia="en-US"/>
              </w:rPr>
            </w:pPr>
            <w:r>
              <w:rPr>
                <w:rFonts w:eastAsia="Times New Roman" w:cs="Arial"/>
                <w:sz w:val="18"/>
                <w:szCs w:val="18"/>
                <w:lang w:val="es-ES" w:eastAsia="en-US"/>
              </w:rPr>
              <w:t>Fondo de I.S.R. Participable Municipal (</w:t>
            </w:r>
            <w:r>
              <w:rPr>
                <w:rFonts w:eastAsia="Times New Roman" w:cs="Arial"/>
                <w:b/>
                <w:sz w:val="18"/>
                <w:szCs w:val="18"/>
                <w:lang w:val="es-ES" w:eastAsia="en-US"/>
              </w:rPr>
              <w:t>Fondo ISR</w:t>
            </w:r>
            <w:r>
              <w:rPr>
                <w:rFonts w:eastAsia="Times New Roman" w:cs="Arial"/>
                <w:sz w:val="18"/>
                <w:szCs w:val="18"/>
                <w:lang w:val="es-ES" w:eastAsia="en-US"/>
              </w:rPr>
              <w:t>).</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6C827AB" w14:textId="77777777" w:rsidR="00BF5974" w:rsidRDefault="00BF5974">
            <w:pPr>
              <w:spacing w:line="256" w:lineRule="auto"/>
              <w:jc w:val="right"/>
              <w:rPr>
                <w:rFonts w:eastAsia="Times New Roman" w:cs="Arial"/>
                <w:color w:val="000000"/>
                <w:sz w:val="18"/>
                <w:szCs w:val="18"/>
                <w:lang w:val="es-ES" w:eastAsia="en-US"/>
              </w:rPr>
            </w:pPr>
            <w:r>
              <w:rPr>
                <w:rFonts w:eastAsia="Times New Roman" w:cs="Arial"/>
                <w:color w:val="000000"/>
                <w:sz w:val="18"/>
                <w:szCs w:val="18"/>
                <w:lang w:val="es-ES" w:eastAsia="en-US"/>
              </w:rPr>
              <w:t>172,338,972</w:t>
            </w:r>
          </w:p>
        </w:tc>
      </w:tr>
      <w:tr w:rsidR="00BF5974" w14:paraId="28991B8A" w14:textId="77777777" w:rsidTr="00BF5974">
        <w:trPr>
          <w:trHeight w:val="20"/>
        </w:trPr>
        <w:tc>
          <w:tcPr>
            <w:tcW w:w="6658" w:type="dxa"/>
            <w:tcBorders>
              <w:top w:val="single" w:sz="4" w:space="0" w:color="auto"/>
              <w:left w:val="single" w:sz="4" w:space="0" w:color="auto"/>
              <w:bottom w:val="single" w:sz="4" w:space="0" w:color="auto"/>
              <w:right w:val="single" w:sz="4" w:space="0" w:color="auto"/>
            </w:tcBorders>
            <w:vAlign w:val="center"/>
            <w:hideMark/>
          </w:tcPr>
          <w:p w14:paraId="213E0A15" w14:textId="77777777" w:rsidR="00BF5974" w:rsidRDefault="00BF5974">
            <w:pPr>
              <w:spacing w:line="256" w:lineRule="auto"/>
              <w:rPr>
                <w:rFonts w:eastAsia="Times New Roman" w:cs="Arial"/>
                <w:color w:val="000000"/>
                <w:sz w:val="18"/>
                <w:szCs w:val="18"/>
                <w:lang w:val="es-ES" w:eastAsia="en-US"/>
              </w:rPr>
            </w:pPr>
            <w:r>
              <w:rPr>
                <w:rFonts w:eastAsia="Times New Roman" w:cs="Arial"/>
                <w:color w:val="000000"/>
                <w:sz w:val="18"/>
                <w:szCs w:val="18"/>
                <w:lang w:val="es-ES" w:eastAsia="en-US"/>
              </w:rPr>
              <w:t>0.136% de la Recaudación Federal Participable.</w:t>
            </w:r>
          </w:p>
        </w:tc>
        <w:tc>
          <w:tcPr>
            <w:tcW w:w="1422" w:type="dxa"/>
            <w:tcBorders>
              <w:top w:val="single" w:sz="4" w:space="0" w:color="auto"/>
              <w:left w:val="single" w:sz="4" w:space="0" w:color="auto"/>
              <w:bottom w:val="single" w:sz="4" w:space="0" w:color="auto"/>
              <w:right w:val="single" w:sz="4" w:space="0" w:color="auto"/>
            </w:tcBorders>
            <w:vAlign w:val="center"/>
            <w:hideMark/>
          </w:tcPr>
          <w:p w14:paraId="641584EB" w14:textId="77777777" w:rsidR="00BF5974" w:rsidRDefault="00BF5974">
            <w:pPr>
              <w:spacing w:line="256" w:lineRule="auto"/>
              <w:jc w:val="right"/>
              <w:rPr>
                <w:rFonts w:eastAsia="Times New Roman" w:cs="Arial"/>
                <w:color w:val="000000"/>
                <w:sz w:val="18"/>
                <w:szCs w:val="18"/>
                <w:lang w:val="es-ES" w:eastAsia="en-US"/>
              </w:rPr>
            </w:pPr>
            <w:r>
              <w:rPr>
                <w:rFonts w:eastAsia="Times New Roman" w:cs="Arial"/>
                <w:color w:val="000000"/>
                <w:sz w:val="18"/>
                <w:szCs w:val="18"/>
                <w:lang w:val="es-ES" w:eastAsia="en-US"/>
              </w:rPr>
              <w:t>211,392,756</w:t>
            </w:r>
          </w:p>
        </w:tc>
      </w:tr>
      <w:tr w:rsidR="00BF5974" w14:paraId="5793E214" w14:textId="77777777" w:rsidTr="00BF5974">
        <w:trPr>
          <w:trHeight w:val="20"/>
        </w:trPr>
        <w:tc>
          <w:tcPr>
            <w:tcW w:w="6658" w:type="dxa"/>
            <w:tcBorders>
              <w:top w:val="single" w:sz="4" w:space="0" w:color="auto"/>
              <w:left w:val="single" w:sz="4" w:space="0" w:color="auto"/>
              <w:bottom w:val="single" w:sz="4" w:space="0" w:color="auto"/>
              <w:right w:val="single" w:sz="4" w:space="0" w:color="auto"/>
            </w:tcBorders>
            <w:vAlign w:val="center"/>
            <w:hideMark/>
          </w:tcPr>
          <w:p w14:paraId="14C253C1" w14:textId="77777777" w:rsidR="00BF5974" w:rsidRDefault="00BF5974">
            <w:pPr>
              <w:spacing w:line="256" w:lineRule="auto"/>
              <w:jc w:val="center"/>
              <w:rPr>
                <w:rFonts w:eastAsia="Times New Roman" w:cs="Arial"/>
                <w:b/>
                <w:bCs/>
                <w:color w:val="000000"/>
                <w:sz w:val="18"/>
                <w:szCs w:val="18"/>
                <w:lang w:val="es-ES" w:eastAsia="en-US"/>
              </w:rPr>
            </w:pPr>
            <w:r>
              <w:rPr>
                <w:rFonts w:eastAsia="Times New Roman" w:cs="Arial"/>
                <w:b/>
                <w:bCs/>
                <w:color w:val="000000"/>
                <w:sz w:val="18"/>
                <w:szCs w:val="18"/>
                <w:lang w:val="es-ES" w:eastAsia="en-US"/>
              </w:rPr>
              <w:t>Total</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E13C5B0" w14:textId="77777777" w:rsidR="00BF5974" w:rsidRDefault="00BF5974">
            <w:pPr>
              <w:spacing w:line="256" w:lineRule="auto"/>
              <w:jc w:val="right"/>
              <w:rPr>
                <w:rFonts w:eastAsia="Times New Roman" w:cs="Arial"/>
                <w:b/>
                <w:bCs/>
                <w:color w:val="000000"/>
                <w:sz w:val="18"/>
                <w:szCs w:val="18"/>
                <w:lang w:val="es-ES" w:eastAsia="en-US"/>
              </w:rPr>
            </w:pPr>
            <w:r>
              <w:rPr>
                <w:rFonts w:eastAsia="Times New Roman" w:cs="Arial"/>
                <w:b/>
                <w:bCs/>
                <w:color w:val="000000"/>
                <w:sz w:val="18"/>
                <w:szCs w:val="18"/>
                <w:lang w:val="es-ES" w:eastAsia="en-US"/>
              </w:rPr>
              <w:t>2,126,468,349</w:t>
            </w:r>
          </w:p>
        </w:tc>
      </w:tr>
    </w:tbl>
    <w:p w14:paraId="5F54FDE5" w14:textId="77777777" w:rsidR="00BF5974" w:rsidRDefault="00BF5974" w:rsidP="00BF5974">
      <w:pPr>
        <w:shd w:val="clear" w:color="auto" w:fill="FFFFFF"/>
        <w:ind w:left="426"/>
        <w:contextualSpacing/>
        <w:rPr>
          <w:rFonts w:eastAsia="Times New Roman" w:cs="Arial"/>
          <w:sz w:val="18"/>
          <w:lang w:val="es-ES" w:eastAsia="es-ES"/>
        </w:rPr>
      </w:pPr>
      <w:r>
        <w:rPr>
          <w:rFonts w:eastAsia="Times New Roman" w:cs="Arial"/>
          <w:b/>
          <w:sz w:val="18"/>
          <w:lang w:val="es-ES" w:eastAsia="es-ES"/>
        </w:rPr>
        <w:t>Nota</w:t>
      </w:r>
      <w:r>
        <w:rPr>
          <w:rFonts w:eastAsia="Times New Roman" w:cs="Arial"/>
          <w:sz w:val="18"/>
          <w:lang w:val="es-ES" w:eastAsia="es-ES"/>
        </w:rPr>
        <w:t>: La suma total podría no coincidir debido al redondeo</w:t>
      </w:r>
    </w:p>
    <w:p w14:paraId="5A9D11DB" w14:textId="77777777" w:rsidR="00BF5974" w:rsidRDefault="00BF5974" w:rsidP="00BF5974">
      <w:pPr>
        <w:shd w:val="clear" w:color="auto" w:fill="FFFFFF"/>
        <w:rPr>
          <w:rFonts w:eastAsia="Times New Roman" w:cs="Arial"/>
          <w:lang w:val="es-ES" w:eastAsia="es-ES"/>
        </w:rPr>
      </w:pPr>
    </w:p>
    <w:p w14:paraId="56C2EC54" w14:textId="77777777" w:rsidR="00BF5974" w:rsidRDefault="00BF5974" w:rsidP="00BF5974">
      <w:pPr>
        <w:shd w:val="clear" w:color="auto" w:fill="FFFFFF"/>
        <w:ind w:left="426" w:hanging="426"/>
        <w:contextualSpacing/>
        <w:rPr>
          <w:rFonts w:eastAsia="Times New Roman" w:cs="Arial"/>
          <w:lang w:val="es-ES" w:eastAsia="es-ES"/>
        </w:rPr>
      </w:pPr>
      <w:r>
        <w:rPr>
          <w:rFonts w:eastAsia="Times New Roman" w:cs="Arial"/>
          <w:lang w:val="es-ES" w:eastAsia="es-ES"/>
        </w:rPr>
        <w:t>I.</w:t>
      </w:r>
      <w:r>
        <w:rPr>
          <w:rFonts w:eastAsia="Times New Roman" w:cs="Arial"/>
          <w:lang w:val="es-ES" w:eastAsia="es-ES"/>
        </w:rPr>
        <w:tab/>
        <w:t>Las Participaciones a los Municipios, de acuerdo a cada uno de los conceptos previstos en la Ley de Coordinación Fiscal del Estado de Colima, se estiman en los siguientes montos:</w:t>
      </w:r>
    </w:p>
    <w:p w14:paraId="0EF13054" w14:textId="77777777" w:rsidR="00BF5974" w:rsidRDefault="00BF5974" w:rsidP="00BF5974">
      <w:pPr>
        <w:keepNext/>
        <w:keepLines/>
        <w:outlineLvl w:val="2"/>
        <w:rPr>
          <w:rFonts w:eastAsia="Times New Roman" w:cs="Arial"/>
          <w:bCs/>
          <w:sz w:val="16"/>
          <w:szCs w:val="18"/>
          <w:lang w:val="es-ES" w:eastAsia="en-US"/>
        </w:rPr>
      </w:pPr>
    </w:p>
    <w:tbl>
      <w:tblPr>
        <w:tblW w:w="8925" w:type="dxa"/>
        <w:jc w:val="center"/>
        <w:tblLayout w:type="fixed"/>
        <w:tblCellMar>
          <w:left w:w="70" w:type="dxa"/>
          <w:right w:w="70" w:type="dxa"/>
        </w:tblCellMar>
        <w:tblLook w:val="04A0" w:firstRow="1" w:lastRow="0" w:firstColumn="1" w:lastColumn="0" w:noHBand="0" w:noVBand="1"/>
      </w:tblPr>
      <w:tblGrid>
        <w:gridCol w:w="1135"/>
        <w:gridCol w:w="1148"/>
        <w:gridCol w:w="945"/>
        <w:gridCol w:w="864"/>
        <w:gridCol w:w="864"/>
        <w:gridCol w:w="864"/>
        <w:gridCol w:w="944"/>
        <w:gridCol w:w="1028"/>
        <w:gridCol w:w="1133"/>
      </w:tblGrid>
      <w:tr w:rsidR="00BF5974" w14:paraId="52687B87" w14:textId="77777777" w:rsidTr="00BF5974">
        <w:trPr>
          <w:trHeight w:val="20"/>
          <w:jc w:val="center"/>
        </w:trPr>
        <w:tc>
          <w:tcPr>
            <w:tcW w:w="8931" w:type="dxa"/>
            <w:gridSpan w:val="9"/>
            <w:tcBorders>
              <w:top w:val="nil"/>
              <w:left w:val="nil"/>
              <w:bottom w:val="single" w:sz="4" w:space="0" w:color="auto"/>
              <w:right w:val="nil"/>
            </w:tcBorders>
            <w:vAlign w:val="center"/>
            <w:hideMark/>
          </w:tcPr>
          <w:p w14:paraId="55D7C9E0" w14:textId="77777777" w:rsidR="00BF5974" w:rsidRDefault="00BF5974">
            <w:pPr>
              <w:autoSpaceDE w:val="0"/>
              <w:autoSpaceDN w:val="0"/>
              <w:adjustRightInd w:val="0"/>
              <w:spacing w:line="256" w:lineRule="auto"/>
              <w:jc w:val="center"/>
              <w:rPr>
                <w:rFonts w:eastAsiaTheme="minorHAnsi" w:cs="Arial"/>
                <w:b/>
                <w:bCs/>
                <w:color w:val="000000"/>
                <w:sz w:val="14"/>
                <w:szCs w:val="14"/>
                <w:lang w:val="es-ES" w:eastAsia="en-US"/>
              </w:rPr>
            </w:pPr>
            <w:bookmarkStart w:id="242" w:name="_Toc22983226"/>
            <w:bookmarkStart w:id="243" w:name="_Toc22021978"/>
            <w:bookmarkStart w:id="244" w:name="_Toc526757517"/>
            <w:bookmarkStart w:id="245" w:name="_Toc522869298"/>
            <w:r>
              <w:rPr>
                <w:rFonts w:eastAsia="Times New Roman" w:cs="Arial"/>
                <w:b/>
                <w:sz w:val="20"/>
                <w:szCs w:val="16"/>
                <w:lang w:val="es-ES" w:eastAsia="en-US"/>
              </w:rPr>
              <w:t xml:space="preserve">Tabla 51. Participaciones a los Municipios </w:t>
            </w:r>
            <w:r>
              <w:rPr>
                <w:rFonts w:eastAsia="Times New Roman" w:cs="Arial"/>
                <w:b/>
                <w:sz w:val="20"/>
                <w:szCs w:val="16"/>
                <w:lang w:val="es-ES" w:eastAsia="en-US"/>
              </w:rPr>
              <w:br/>
            </w:r>
            <w:r>
              <w:rPr>
                <w:rFonts w:eastAsia="Times New Roman" w:cs="Arial"/>
                <w:b/>
                <w:sz w:val="18"/>
                <w:szCs w:val="14"/>
                <w:lang w:val="es-ES" w:eastAsia="en-US"/>
              </w:rPr>
              <w:t>(Desagregado Municipio)</w:t>
            </w:r>
            <w:bookmarkEnd w:id="242"/>
            <w:bookmarkEnd w:id="243"/>
            <w:bookmarkEnd w:id="244"/>
            <w:bookmarkEnd w:id="245"/>
          </w:p>
        </w:tc>
      </w:tr>
      <w:tr w:rsidR="00BF5974" w14:paraId="5803C6A0" w14:textId="77777777" w:rsidTr="00BF5974">
        <w:trPr>
          <w:trHeight w:val="2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0D57CC21" w14:textId="77777777" w:rsidR="00BF5974" w:rsidRDefault="00BF5974">
            <w:pPr>
              <w:autoSpaceDE w:val="0"/>
              <w:autoSpaceDN w:val="0"/>
              <w:adjustRightInd w:val="0"/>
              <w:spacing w:line="256" w:lineRule="auto"/>
              <w:jc w:val="center"/>
              <w:rPr>
                <w:rFonts w:eastAsiaTheme="minorHAnsi" w:cs="Arial"/>
                <w:b/>
                <w:bCs/>
                <w:color w:val="000000"/>
                <w:sz w:val="14"/>
                <w:szCs w:val="14"/>
                <w:lang w:val="es-ES" w:eastAsia="en-US"/>
              </w:rPr>
            </w:pPr>
            <w:r>
              <w:rPr>
                <w:rFonts w:eastAsiaTheme="minorHAnsi" w:cs="Arial"/>
                <w:b/>
                <w:bCs/>
                <w:color w:val="000000"/>
                <w:sz w:val="14"/>
                <w:szCs w:val="14"/>
                <w:lang w:val="es-ES" w:eastAsia="en-US"/>
              </w:rPr>
              <w:t>Municipio</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C3EB88B" w14:textId="77777777" w:rsidR="00BF5974" w:rsidRDefault="00BF5974">
            <w:pPr>
              <w:autoSpaceDE w:val="0"/>
              <w:autoSpaceDN w:val="0"/>
              <w:adjustRightInd w:val="0"/>
              <w:spacing w:line="256" w:lineRule="auto"/>
              <w:jc w:val="center"/>
              <w:rPr>
                <w:rFonts w:eastAsiaTheme="minorHAnsi" w:cs="Arial"/>
                <w:b/>
                <w:bCs/>
                <w:color w:val="000000"/>
                <w:sz w:val="14"/>
                <w:szCs w:val="14"/>
                <w:lang w:val="es-ES" w:eastAsia="en-US"/>
              </w:rPr>
            </w:pPr>
            <w:r>
              <w:rPr>
                <w:rFonts w:eastAsiaTheme="minorHAnsi" w:cs="Arial"/>
                <w:b/>
                <w:bCs/>
                <w:color w:val="000000"/>
                <w:sz w:val="14"/>
                <w:szCs w:val="14"/>
                <w:lang w:val="es-ES" w:eastAsia="en-US"/>
              </w:rPr>
              <w:t>F.G.P.</w:t>
            </w:r>
          </w:p>
        </w:tc>
        <w:tc>
          <w:tcPr>
            <w:tcW w:w="945" w:type="dxa"/>
            <w:tcBorders>
              <w:top w:val="single" w:sz="4" w:space="0" w:color="auto"/>
              <w:left w:val="single" w:sz="4" w:space="0" w:color="auto"/>
              <w:bottom w:val="single" w:sz="4" w:space="0" w:color="auto"/>
              <w:right w:val="single" w:sz="4" w:space="0" w:color="auto"/>
            </w:tcBorders>
            <w:vAlign w:val="center"/>
            <w:hideMark/>
          </w:tcPr>
          <w:p w14:paraId="0D3AB34C" w14:textId="77777777" w:rsidR="00BF5974" w:rsidRDefault="00BF5974">
            <w:pPr>
              <w:autoSpaceDE w:val="0"/>
              <w:autoSpaceDN w:val="0"/>
              <w:adjustRightInd w:val="0"/>
              <w:spacing w:line="256" w:lineRule="auto"/>
              <w:jc w:val="center"/>
              <w:rPr>
                <w:rFonts w:eastAsiaTheme="minorHAnsi" w:cs="Arial"/>
                <w:b/>
                <w:bCs/>
                <w:color w:val="000000"/>
                <w:sz w:val="14"/>
                <w:szCs w:val="14"/>
                <w:lang w:val="es-ES" w:eastAsia="en-US"/>
              </w:rPr>
            </w:pPr>
            <w:r>
              <w:rPr>
                <w:rFonts w:eastAsiaTheme="minorHAnsi" w:cs="Arial"/>
                <w:b/>
                <w:bCs/>
                <w:color w:val="000000"/>
                <w:sz w:val="14"/>
                <w:szCs w:val="14"/>
                <w:lang w:val="es-ES" w:eastAsia="en-US"/>
              </w:rPr>
              <w:t>F.F.M.</w:t>
            </w:r>
          </w:p>
        </w:tc>
        <w:tc>
          <w:tcPr>
            <w:tcW w:w="865" w:type="dxa"/>
            <w:tcBorders>
              <w:top w:val="single" w:sz="4" w:space="0" w:color="auto"/>
              <w:left w:val="single" w:sz="4" w:space="0" w:color="auto"/>
              <w:bottom w:val="single" w:sz="4" w:space="0" w:color="auto"/>
              <w:right w:val="single" w:sz="4" w:space="0" w:color="auto"/>
            </w:tcBorders>
            <w:vAlign w:val="center"/>
            <w:hideMark/>
          </w:tcPr>
          <w:p w14:paraId="1FFD1565" w14:textId="77777777" w:rsidR="00BF5974" w:rsidRDefault="00BF5974">
            <w:pPr>
              <w:autoSpaceDE w:val="0"/>
              <w:autoSpaceDN w:val="0"/>
              <w:adjustRightInd w:val="0"/>
              <w:spacing w:line="256" w:lineRule="auto"/>
              <w:jc w:val="center"/>
              <w:rPr>
                <w:rFonts w:eastAsiaTheme="minorHAnsi" w:cs="Arial"/>
                <w:b/>
                <w:bCs/>
                <w:color w:val="000000"/>
                <w:sz w:val="14"/>
                <w:szCs w:val="14"/>
                <w:lang w:val="es-ES" w:eastAsia="en-US"/>
              </w:rPr>
            </w:pPr>
            <w:r>
              <w:rPr>
                <w:rFonts w:eastAsiaTheme="minorHAnsi" w:cs="Arial"/>
                <w:b/>
                <w:bCs/>
                <w:color w:val="000000"/>
                <w:sz w:val="14"/>
                <w:szCs w:val="14"/>
                <w:lang w:val="es-ES" w:eastAsia="en-US"/>
              </w:rPr>
              <w:t>FOFIR</w:t>
            </w:r>
          </w:p>
        </w:tc>
        <w:tc>
          <w:tcPr>
            <w:tcW w:w="865" w:type="dxa"/>
            <w:tcBorders>
              <w:top w:val="single" w:sz="4" w:space="0" w:color="auto"/>
              <w:left w:val="single" w:sz="4" w:space="0" w:color="auto"/>
              <w:bottom w:val="single" w:sz="4" w:space="0" w:color="auto"/>
              <w:right w:val="single" w:sz="4" w:space="0" w:color="auto"/>
            </w:tcBorders>
            <w:vAlign w:val="center"/>
            <w:hideMark/>
          </w:tcPr>
          <w:p w14:paraId="4B2A92AA" w14:textId="77777777" w:rsidR="00BF5974" w:rsidRDefault="00BF5974">
            <w:pPr>
              <w:autoSpaceDE w:val="0"/>
              <w:autoSpaceDN w:val="0"/>
              <w:adjustRightInd w:val="0"/>
              <w:spacing w:line="256" w:lineRule="auto"/>
              <w:jc w:val="center"/>
              <w:rPr>
                <w:rFonts w:eastAsiaTheme="minorHAnsi" w:cs="Arial"/>
                <w:b/>
                <w:bCs/>
                <w:color w:val="000000"/>
                <w:sz w:val="14"/>
                <w:szCs w:val="14"/>
                <w:lang w:val="es-ES" w:eastAsia="en-US"/>
              </w:rPr>
            </w:pPr>
            <w:r>
              <w:rPr>
                <w:rFonts w:eastAsiaTheme="minorHAnsi" w:cs="Arial"/>
                <w:b/>
                <w:bCs/>
                <w:color w:val="000000"/>
                <w:sz w:val="14"/>
                <w:szCs w:val="14"/>
                <w:lang w:val="es-ES" w:eastAsia="en-US"/>
              </w:rPr>
              <w:t>I.E.P.S.</w:t>
            </w:r>
          </w:p>
        </w:tc>
        <w:tc>
          <w:tcPr>
            <w:tcW w:w="865" w:type="dxa"/>
            <w:tcBorders>
              <w:top w:val="single" w:sz="4" w:space="0" w:color="auto"/>
              <w:left w:val="single" w:sz="4" w:space="0" w:color="auto"/>
              <w:bottom w:val="single" w:sz="4" w:space="0" w:color="auto"/>
              <w:right w:val="single" w:sz="4" w:space="0" w:color="auto"/>
            </w:tcBorders>
            <w:vAlign w:val="center"/>
            <w:hideMark/>
          </w:tcPr>
          <w:p w14:paraId="3B496ED5" w14:textId="77777777" w:rsidR="00BF5974" w:rsidRDefault="00BF5974">
            <w:pPr>
              <w:autoSpaceDE w:val="0"/>
              <w:autoSpaceDN w:val="0"/>
              <w:adjustRightInd w:val="0"/>
              <w:spacing w:line="256" w:lineRule="auto"/>
              <w:jc w:val="center"/>
              <w:rPr>
                <w:rFonts w:eastAsiaTheme="minorHAnsi" w:cs="Arial"/>
                <w:b/>
                <w:bCs/>
                <w:color w:val="000000"/>
                <w:sz w:val="14"/>
                <w:szCs w:val="14"/>
                <w:lang w:val="es-ES" w:eastAsia="en-US"/>
              </w:rPr>
            </w:pPr>
            <w:r>
              <w:rPr>
                <w:rFonts w:eastAsiaTheme="minorHAnsi" w:cs="Arial"/>
                <w:b/>
                <w:bCs/>
                <w:color w:val="000000"/>
                <w:sz w:val="14"/>
                <w:szCs w:val="14"/>
                <w:lang w:val="es-ES" w:eastAsia="en-US"/>
              </w:rPr>
              <w:t>FDO. IEPS GASOL. Y DIESEL</w:t>
            </w:r>
          </w:p>
        </w:tc>
        <w:tc>
          <w:tcPr>
            <w:tcW w:w="945" w:type="dxa"/>
            <w:tcBorders>
              <w:top w:val="single" w:sz="4" w:space="0" w:color="auto"/>
              <w:left w:val="single" w:sz="4" w:space="0" w:color="auto"/>
              <w:bottom w:val="single" w:sz="4" w:space="0" w:color="auto"/>
              <w:right w:val="single" w:sz="4" w:space="0" w:color="auto"/>
            </w:tcBorders>
            <w:vAlign w:val="center"/>
            <w:hideMark/>
          </w:tcPr>
          <w:p w14:paraId="0B2DAA83" w14:textId="77777777" w:rsidR="00BF5974" w:rsidRDefault="00BF5974">
            <w:pPr>
              <w:autoSpaceDE w:val="0"/>
              <w:autoSpaceDN w:val="0"/>
              <w:adjustRightInd w:val="0"/>
              <w:spacing w:line="256" w:lineRule="auto"/>
              <w:jc w:val="center"/>
              <w:rPr>
                <w:rFonts w:eastAsiaTheme="minorHAnsi" w:cs="Arial"/>
                <w:b/>
                <w:bCs/>
                <w:color w:val="000000"/>
                <w:sz w:val="14"/>
                <w:szCs w:val="14"/>
                <w:lang w:val="es-ES" w:eastAsia="en-US"/>
              </w:rPr>
            </w:pPr>
            <w:r>
              <w:rPr>
                <w:rFonts w:eastAsiaTheme="minorHAnsi" w:cs="Arial"/>
                <w:b/>
                <w:bCs/>
                <w:color w:val="000000"/>
                <w:sz w:val="14"/>
                <w:szCs w:val="14"/>
                <w:lang w:val="es-ES" w:eastAsia="en-US"/>
              </w:rPr>
              <w:t>FONDO DE ISR¹</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1F321DA" w14:textId="77777777" w:rsidR="00BF5974" w:rsidRDefault="00BF5974">
            <w:pPr>
              <w:autoSpaceDE w:val="0"/>
              <w:autoSpaceDN w:val="0"/>
              <w:adjustRightInd w:val="0"/>
              <w:spacing w:line="256" w:lineRule="auto"/>
              <w:jc w:val="center"/>
              <w:rPr>
                <w:rFonts w:eastAsiaTheme="minorHAnsi" w:cs="Arial"/>
                <w:b/>
                <w:bCs/>
                <w:color w:val="000000"/>
                <w:sz w:val="14"/>
                <w:szCs w:val="14"/>
                <w:lang w:val="es-ES" w:eastAsia="en-US"/>
              </w:rPr>
            </w:pPr>
            <w:r>
              <w:rPr>
                <w:rFonts w:eastAsiaTheme="minorHAnsi" w:cs="Arial"/>
                <w:b/>
                <w:bCs/>
                <w:color w:val="000000"/>
                <w:sz w:val="14"/>
                <w:szCs w:val="14"/>
                <w:lang w:val="es-ES" w:eastAsia="en-US"/>
              </w:rPr>
              <w:t>0.136% DE LA RFP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66A63A" w14:textId="77777777" w:rsidR="00BF5974" w:rsidRDefault="00BF5974">
            <w:pPr>
              <w:autoSpaceDE w:val="0"/>
              <w:autoSpaceDN w:val="0"/>
              <w:adjustRightInd w:val="0"/>
              <w:spacing w:line="256" w:lineRule="auto"/>
              <w:jc w:val="center"/>
              <w:rPr>
                <w:rFonts w:eastAsiaTheme="minorHAnsi" w:cs="Arial"/>
                <w:b/>
                <w:bCs/>
                <w:color w:val="000000"/>
                <w:sz w:val="14"/>
                <w:szCs w:val="14"/>
                <w:lang w:val="es-ES" w:eastAsia="en-US"/>
              </w:rPr>
            </w:pPr>
            <w:r>
              <w:rPr>
                <w:rFonts w:eastAsiaTheme="minorHAnsi" w:cs="Arial"/>
                <w:b/>
                <w:bCs/>
                <w:color w:val="000000"/>
                <w:sz w:val="14"/>
                <w:szCs w:val="14"/>
                <w:lang w:val="es-ES" w:eastAsia="en-US"/>
              </w:rPr>
              <w:t>Sumas Totales</w:t>
            </w:r>
          </w:p>
        </w:tc>
      </w:tr>
      <w:tr w:rsidR="00BF5974" w14:paraId="198677DA" w14:textId="77777777" w:rsidTr="00BF5974">
        <w:trPr>
          <w:trHeight w:val="20"/>
          <w:jc w:val="center"/>
        </w:trPr>
        <w:tc>
          <w:tcPr>
            <w:tcW w:w="1135" w:type="dxa"/>
            <w:tcBorders>
              <w:top w:val="single" w:sz="4" w:space="0" w:color="auto"/>
              <w:left w:val="single" w:sz="4" w:space="0" w:color="auto"/>
              <w:bottom w:val="single" w:sz="4" w:space="0" w:color="auto"/>
              <w:right w:val="single" w:sz="4" w:space="0" w:color="auto"/>
            </w:tcBorders>
            <w:shd w:val="solid" w:color="FFFFFF" w:fill="auto"/>
            <w:vAlign w:val="center"/>
            <w:hideMark/>
          </w:tcPr>
          <w:p w14:paraId="23E7D3E0" w14:textId="77777777" w:rsidR="00BF5974" w:rsidRDefault="00BF5974">
            <w:pPr>
              <w:autoSpaceDE w:val="0"/>
              <w:autoSpaceDN w:val="0"/>
              <w:adjustRightInd w:val="0"/>
              <w:spacing w:line="256" w:lineRule="auto"/>
              <w:jc w:val="left"/>
              <w:rPr>
                <w:rFonts w:eastAsiaTheme="minorHAnsi" w:cs="Arial"/>
                <w:color w:val="000000"/>
                <w:sz w:val="14"/>
                <w:szCs w:val="14"/>
                <w:lang w:val="es-ES" w:eastAsia="en-US"/>
              </w:rPr>
            </w:pPr>
            <w:r>
              <w:rPr>
                <w:rFonts w:eastAsiaTheme="minorHAnsi" w:cs="Arial"/>
                <w:color w:val="000000"/>
                <w:sz w:val="14"/>
                <w:szCs w:val="14"/>
                <w:lang w:val="es-ES" w:eastAsia="en-US"/>
              </w:rPr>
              <w:t>Armería</w:t>
            </w:r>
          </w:p>
        </w:tc>
        <w:tc>
          <w:tcPr>
            <w:tcW w:w="1148" w:type="dxa"/>
            <w:tcBorders>
              <w:top w:val="single" w:sz="4" w:space="0" w:color="auto"/>
              <w:left w:val="single" w:sz="4" w:space="0" w:color="auto"/>
              <w:bottom w:val="single" w:sz="4" w:space="0" w:color="auto"/>
              <w:right w:val="single" w:sz="4" w:space="0" w:color="auto"/>
            </w:tcBorders>
            <w:hideMark/>
          </w:tcPr>
          <w:p w14:paraId="0FB7F37F"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70,308,257</w:t>
            </w:r>
          </w:p>
        </w:tc>
        <w:tc>
          <w:tcPr>
            <w:tcW w:w="945" w:type="dxa"/>
            <w:tcBorders>
              <w:top w:val="single" w:sz="4" w:space="0" w:color="auto"/>
              <w:left w:val="single" w:sz="4" w:space="0" w:color="auto"/>
              <w:bottom w:val="single" w:sz="4" w:space="0" w:color="auto"/>
              <w:right w:val="single" w:sz="4" w:space="0" w:color="auto"/>
            </w:tcBorders>
            <w:hideMark/>
          </w:tcPr>
          <w:p w14:paraId="1F050EAE"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20,635,504</w:t>
            </w:r>
          </w:p>
        </w:tc>
        <w:tc>
          <w:tcPr>
            <w:tcW w:w="865" w:type="dxa"/>
            <w:tcBorders>
              <w:top w:val="single" w:sz="4" w:space="0" w:color="auto"/>
              <w:left w:val="single" w:sz="4" w:space="0" w:color="auto"/>
              <w:bottom w:val="single" w:sz="4" w:space="0" w:color="auto"/>
              <w:right w:val="single" w:sz="4" w:space="0" w:color="auto"/>
            </w:tcBorders>
            <w:hideMark/>
          </w:tcPr>
          <w:p w14:paraId="2010DDE3"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3,434,568</w:t>
            </w:r>
          </w:p>
        </w:tc>
        <w:tc>
          <w:tcPr>
            <w:tcW w:w="865" w:type="dxa"/>
            <w:tcBorders>
              <w:top w:val="single" w:sz="4" w:space="0" w:color="auto"/>
              <w:left w:val="single" w:sz="4" w:space="0" w:color="auto"/>
              <w:bottom w:val="single" w:sz="4" w:space="0" w:color="auto"/>
              <w:right w:val="single" w:sz="4" w:space="0" w:color="auto"/>
            </w:tcBorders>
            <w:hideMark/>
          </w:tcPr>
          <w:p w14:paraId="421D1B8A"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2,021,870</w:t>
            </w:r>
          </w:p>
        </w:tc>
        <w:tc>
          <w:tcPr>
            <w:tcW w:w="865" w:type="dxa"/>
            <w:tcBorders>
              <w:top w:val="single" w:sz="4" w:space="0" w:color="auto"/>
              <w:left w:val="single" w:sz="4" w:space="0" w:color="auto"/>
              <w:bottom w:val="single" w:sz="4" w:space="0" w:color="auto"/>
              <w:right w:val="single" w:sz="4" w:space="0" w:color="auto"/>
            </w:tcBorders>
            <w:hideMark/>
          </w:tcPr>
          <w:p w14:paraId="71B6614F"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4,570,953</w:t>
            </w:r>
          </w:p>
        </w:tc>
        <w:tc>
          <w:tcPr>
            <w:tcW w:w="945" w:type="dxa"/>
            <w:tcBorders>
              <w:top w:val="single" w:sz="4" w:space="0" w:color="auto"/>
              <w:left w:val="single" w:sz="4" w:space="0" w:color="auto"/>
              <w:bottom w:val="single" w:sz="4" w:space="0" w:color="auto"/>
              <w:right w:val="single" w:sz="4" w:space="0" w:color="auto"/>
            </w:tcBorders>
            <w:hideMark/>
          </w:tcPr>
          <w:p w14:paraId="7CC00E47"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6,180,826</w:t>
            </w:r>
          </w:p>
        </w:tc>
        <w:tc>
          <w:tcPr>
            <w:tcW w:w="1029" w:type="dxa"/>
            <w:tcBorders>
              <w:top w:val="single" w:sz="4" w:space="0" w:color="auto"/>
              <w:left w:val="single" w:sz="4" w:space="0" w:color="auto"/>
              <w:bottom w:val="single" w:sz="4" w:space="0" w:color="auto"/>
              <w:right w:val="single" w:sz="4" w:space="0" w:color="auto"/>
            </w:tcBorders>
            <w:hideMark/>
          </w:tcPr>
          <w:p w14:paraId="6EF0C049"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250DB286" w14:textId="77777777" w:rsidR="00BF5974" w:rsidRDefault="00BF5974">
            <w:pPr>
              <w:autoSpaceDE w:val="0"/>
              <w:autoSpaceDN w:val="0"/>
              <w:adjustRightInd w:val="0"/>
              <w:spacing w:line="256" w:lineRule="auto"/>
              <w:jc w:val="right"/>
              <w:rPr>
                <w:rFonts w:eastAsiaTheme="minorHAnsi" w:cs="Arial"/>
                <w:b/>
                <w:bCs/>
                <w:color w:val="000000"/>
                <w:sz w:val="14"/>
                <w:szCs w:val="14"/>
                <w:lang w:val="es-ES" w:eastAsia="en-US"/>
              </w:rPr>
            </w:pPr>
            <w:r>
              <w:rPr>
                <w:b/>
                <w:bCs/>
                <w:sz w:val="14"/>
                <w:szCs w:val="14"/>
                <w:lang w:val="es-ES" w:eastAsia="en-US"/>
              </w:rPr>
              <w:t>107,151,978</w:t>
            </w:r>
          </w:p>
        </w:tc>
      </w:tr>
      <w:tr w:rsidR="00BF5974" w14:paraId="796ED1E9" w14:textId="77777777" w:rsidTr="00BF5974">
        <w:trPr>
          <w:trHeight w:val="20"/>
          <w:jc w:val="center"/>
        </w:trPr>
        <w:tc>
          <w:tcPr>
            <w:tcW w:w="1135" w:type="dxa"/>
            <w:tcBorders>
              <w:top w:val="single" w:sz="4" w:space="0" w:color="auto"/>
              <w:left w:val="single" w:sz="4" w:space="0" w:color="auto"/>
              <w:bottom w:val="single" w:sz="4" w:space="0" w:color="auto"/>
              <w:right w:val="single" w:sz="4" w:space="0" w:color="auto"/>
            </w:tcBorders>
            <w:shd w:val="solid" w:color="FFFFFF" w:fill="auto"/>
            <w:vAlign w:val="center"/>
            <w:hideMark/>
          </w:tcPr>
          <w:p w14:paraId="56B0B060" w14:textId="77777777" w:rsidR="00BF5974" w:rsidRDefault="00BF5974">
            <w:pPr>
              <w:autoSpaceDE w:val="0"/>
              <w:autoSpaceDN w:val="0"/>
              <w:adjustRightInd w:val="0"/>
              <w:spacing w:line="256" w:lineRule="auto"/>
              <w:jc w:val="left"/>
              <w:rPr>
                <w:rFonts w:eastAsiaTheme="minorHAnsi" w:cs="Arial"/>
                <w:color w:val="000000"/>
                <w:sz w:val="14"/>
                <w:szCs w:val="14"/>
                <w:lang w:val="es-ES" w:eastAsia="en-US"/>
              </w:rPr>
            </w:pPr>
            <w:r>
              <w:rPr>
                <w:rFonts w:eastAsiaTheme="minorHAnsi" w:cs="Arial"/>
                <w:color w:val="000000"/>
                <w:sz w:val="14"/>
                <w:szCs w:val="14"/>
                <w:lang w:val="es-ES" w:eastAsia="en-US"/>
              </w:rPr>
              <w:t>Colima</w:t>
            </w:r>
          </w:p>
        </w:tc>
        <w:tc>
          <w:tcPr>
            <w:tcW w:w="1148" w:type="dxa"/>
            <w:tcBorders>
              <w:top w:val="single" w:sz="4" w:space="0" w:color="auto"/>
              <w:left w:val="single" w:sz="4" w:space="0" w:color="auto"/>
              <w:bottom w:val="single" w:sz="4" w:space="0" w:color="auto"/>
              <w:right w:val="single" w:sz="4" w:space="0" w:color="auto"/>
            </w:tcBorders>
            <w:hideMark/>
          </w:tcPr>
          <w:p w14:paraId="536B25F8"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215,434,325</w:t>
            </w:r>
          </w:p>
        </w:tc>
        <w:tc>
          <w:tcPr>
            <w:tcW w:w="945" w:type="dxa"/>
            <w:tcBorders>
              <w:top w:val="single" w:sz="4" w:space="0" w:color="auto"/>
              <w:left w:val="single" w:sz="4" w:space="0" w:color="auto"/>
              <w:bottom w:val="single" w:sz="4" w:space="0" w:color="auto"/>
              <w:right w:val="single" w:sz="4" w:space="0" w:color="auto"/>
            </w:tcBorders>
            <w:hideMark/>
          </w:tcPr>
          <w:p w14:paraId="509C85CA"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75,732,422</w:t>
            </w:r>
          </w:p>
        </w:tc>
        <w:tc>
          <w:tcPr>
            <w:tcW w:w="865" w:type="dxa"/>
            <w:tcBorders>
              <w:top w:val="single" w:sz="4" w:space="0" w:color="auto"/>
              <w:left w:val="single" w:sz="4" w:space="0" w:color="auto"/>
              <w:bottom w:val="single" w:sz="4" w:space="0" w:color="auto"/>
              <w:right w:val="single" w:sz="4" w:space="0" w:color="auto"/>
            </w:tcBorders>
            <w:hideMark/>
          </w:tcPr>
          <w:p w14:paraId="1FC58966"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10,630,534</w:t>
            </w:r>
          </w:p>
        </w:tc>
        <w:tc>
          <w:tcPr>
            <w:tcW w:w="865" w:type="dxa"/>
            <w:tcBorders>
              <w:top w:val="single" w:sz="4" w:space="0" w:color="auto"/>
              <w:left w:val="single" w:sz="4" w:space="0" w:color="auto"/>
              <w:bottom w:val="single" w:sz="4" w:space="0" w:color="auto"/>
              <w:right w:val="single" w:sz="4" w:space="0" w:color="auto"/>
            </w:tcBorders>
            <w:hideMark/>
          </w:tcPr>
          <w:p w14:paraId="7834E0EC"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4,892,489</w:t>
            </w:r>
          </w:p>
        </w:tc>
        <w:tc>
          <w:tcPr>
            <w:tcW w:w="865" w:type="dxa"/>
            <w:tcBorders>
              <w:top w:val="single" w:sz="4" w:space="0" w:color="auto"/>
              <w:left w:val="single" w:sz="4" w:space="0" w:color="auto"/>
              <w:bottom w:val="single" w:sz="4" w:space="0" w:color="auto"/>
              <w:right w:val="single" w:sz="4" w:space="0" w:color="auto"/>
            </w:tcBorders>
            <w:hideMark/>
          </w:tcPr>
          <w:p w14:paraId="1FA5B9E5"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10,716,418</w:t>
            </w:r>
          </w:p>
        </w:tc>
        <w:tc>
          <w:tcPr>
            <w:tcW w:w="945" w:type="dxa"/>
            <w:tcBorders>
              <w:top w:val="single" w:sz="4" w:space="0" w:color="auto"/>
              <w:left w:val="single" w:sz="4" w:space="0" w:color="auto"/>
              <w:bottom w:val="single" w:sz="4" w:space="0" w:color="auto"/>
              <w:right w:val="single" w:sz="4" w:space="0" w:color="auto"/>
            </w:tcBorders>
            <w:hideMark/>
          </w:tcPr>
          <w:p w14:paraId="33D938EB"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29,895,836</w:t>
            </w:r>
          </w:p>
        </w:tc>
        <w:tc>
          <w:tcPr>
            <w:tcW w:w="1029" w:type="dxa"/>
            <w:tcBorders>
              <w:top w:val="single" w:sz="4" w:space="0" w:color="auto"/>
              <w:left w:val="single" w:sz="4" w:space="0" w:color="auto"/>
              <w:bottom w:val="single" w:sz="4" w:space="0" w:color="auto"/>
              <w:right w:val="single" w:sz="4" w:space="0" w:color="auto"/>
            </w:tcBorders>
            <w:hideMark/>
          </w:tcPr>
          <w:p w14:paraId="2F696816"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79CAF03A" w14:textId="77777777" w:rsidR="00BF5974" w:rsidRDefault="00BF5974">
            <w:pPr>
              <w:autoSpaceDE w:val="0"/>
              <w:autoSpaceDN w:val="0"/>
              <w:adjustRightInd w:val="0"/>
              <w:spacing w:line="256" w:lineRule="auto"/>
              <w:jc w:val="right"/>
              <w:rPr>
                <w:rFonts w:eastAsiaTheme="minorHAnsi" w:cs="Arial"/>
                <w:b/>
                <w:bCs/>
                <w:color w:val="000000"/>
                <w:sz w:val="14"/>
                <w:szCs w:val="14"/>
                <w:lang w:val="es-ES" w:eastAsia="en-US"/>
              </w:rPr>
            </w:pPr>
            <w:r>
              <w:rPr>
                <w:b/>
                <w:bCs/>
                <w:sz w:val="14"/>
                <w:szCs w:val="14"/>
                <w:lang w:val="es-ES" w:eastAsia="en-US"/>
              </w:rPr>
              <w:t>347,302,024</w:t>
            </w:r>
          </w:p>
        </w:tc>
      </w:tr>
      <w:tr w:rsidR="00BF5974" w14:paraId="13A20B36" w14:textId="77777777" w:rsidTr="00BF5974">
        <w:trPr>
          <w:trHeight w:val="20"/>
          <w:jc w:val="center"/>
        </w:trPr>
        <w:tc>
          <w:tcPr>
            <w:tcW w:w="1135" w:type="dxa"/>
            <w:tcBorders>
              <w:top w:val="single" w:sz="4" w:space="0" w:color="auto"/>
              <w:left w:val="single" w:sz="4" w:space="0" w:color="auto"/>
              <w:bottom w:val="single" w:sz="4" w:space="0" w:color="auto"/>
              <w:right w:val="single" w:sz="4" w:space="0" w:color="auto"/>
            </w:tcBorders>
            <w:shd w:val="solid" w:color="FFFFFF" w:fill="auto"/>
            <w:vAlign w:val="center"/>
            <w:hideMark/>
          </w:tcPr>
          <w:p w14:paraId="2B77C6C4" w14:textId="77777777" w:rsidR="00BF5974" w:rsidRDefault="00BF5974">
            <w:pPr>
              <w:autoSpaceDE w:val="0"/>
              <w:autoSpaceDN w:val="0"/>
              <w:adjustRightInd w:val="0"/>
              <w:spacing w:line="256" w:lineRule="auto"/>
              <w:jc w:val="left"/>
              <w:rPr>
                <w:rFonts w:eastAsiaTheme="minorHAnsi" w:cs="Arial"/>
                <w:color w:val="000000"/>
                <w:sz w:val="14"/>
                <w:szCs w:val="14"/>
                <w:lang w:val="es-ES" w:eastAsia="en-US"/>
              </w:rPr>
            </w:pPr>
            <w:r>
              <w:rPr>
                <w:rFonts w:eastAsiaTheme="minorHAnsi" w:cs="Arial"/>
                <w:color w:val="000000"/>
                <w:sz w:val="14"/>
                <w:szCs w:val="14"/>
                <w:lang w:val="es-ES" w:eastAsia="en-US"/>
              </w:rPr>
              <w:t>Comala</w:t>
            </w:r>
          </w:p>
        </w:tc>
        <w:tc>
          <w:tcPr>
            <w:tcW w:w="1148" w:type="dxa"/>
            <w:tcBorders>
              <w:top w:val="single" w:sz="4" w:space="0" w:color="auto"/>
              <w:left w:val="single" w:sz="4" w:space="0" w:color="auto"/>
              <w:bottom w:val="single" w:sz="4" w:space="0" w:color="auto"/>
              <w:right w:val="single" w:sz="4" w:space="0" w:color="auto"/>
            </w:tcBorders>
            <w:hideMark/>
          </w:tcPr>
          <w:p w14:paraId="2D110F11"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64,675,480</w:t>
            </w:r>
          </w:p>
        </w:tc>
        <w:tc>
          <w:tcPr>
            <w:tcW w:w="945" w:type="dxa"/>
            <w:tcBorders>
              <w:top w:val="single" w:sz="4" w:space="0" w:color="auto"/>
              <w:left w:val="single" w:sz="4" w:space="0" w:color="auto"/>
              <w:bottom w:val="single" w:sz="4" w:space="0" w:color="auto"/>
              <w:right w:val="single" w:sz="4" w:space="0" w:color="auto"/>
            </w:tcBorders>
            <w:hideMark/>
          </w:tcPr>
          <w:p w14:paraId="027BCC0E"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18,258,126</w:t>
            </w:r>
          </w:p>
        </w:tc>
        <w:tc>
          <w:tcPr>
            <w:tcW w:w="865" w:type="dxa"/>
            <w:tcBorders>
              <w:top w:val="single" w:sz="4" w:space="0" w:color="auto"/>
              <w:left w:val="single" w:sz="4" w:space="0" w:color="auto"/>
              <w:bottom w:val="single" w:sz="4" w:space="0" w:color="auto"/>
              <w:right w:val="single" w:sz="4" w:space="0" w:color="auto"/>
            </w:tcBorders>
            <w:hideMark/>
          </w:tcPr>
          <w:p w14:paraId="624FF67F"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3,979,090</w:t>
            </w:r>
          </w:p>
        </w:tc>
        <w:tc>
          <w:tcPr>
            <w:tcW w:w="865" w:type="dxa"/>
            <w:tcBorders>
              <w:top w:val="single" w:sz="4" w:space="0" w:color="auto"/>
              <w:left w:val="single" w:sz="4" w:space="0" w:color="auto"/>
              <w:bottom w:val="single" w:sz="4" w:space="0" w:color="auto"/>
              <w:right w:val="single" w:sz="4" w:space="0" w:color="auto"/>
            </w:tcBorders>
            <w:hideMark/>
          </w:tcPr>
          <w:p w14:paraId="30B055EF"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2,216,076</w:t>
            </w:r>
          </w:p>
        </w:tc>
        <w:tc>
          <w:tcPr>
            <w:tcW w:w="865" w:type="dxa"/>
            <w:tcBorders>
              <w:top w:val="single" w:sz="4" w:space="0" w:color="auto"/>
              <w:left w:val="single" w:sz="4" w:space="0" w:color="auto"/>
              <w:bottom w:val="single" w:sz="4" w:space="0" w:color="auto"/>
              <w:right w:val="single" w:sz="4" w:space="0" w:color="auto"/>
            </w:tcBorders>
            <w:hideMark/>
          </w:tcPr>
          <w:p w14:paraId="77DD7C99"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3,188,212</w:t>
            </w:r>
          </w:p>
        </w:tc>
        <w:tc>
          <w:tcPr>
            <w:tcW w:w="945" w:type="dxa"/>
            <w:tcBorders>
              <w:top w:val="single" w:sz="4" w:space="0" w:color="auto"/>
              <w:left w:val="single" w:sz="4" w:space="0" w:color="auto"/>
              <w:bottom w:val="single" w:sz="4" w:space="0" w:color="auto"/>
              <w:right w:val="single" w:sz="4" w:space="0" w:color="auto"/>
            </w:tcBorders>
            <w:hideMark/>
          </w:tcPr>
          <w:p w14:paraId="0702046E"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5,268,498</w:t>
            </w:r>
          </w:p>
        </w:tc>
        <w:tc>
          <w:tcPr>
            <w:tcW w:w="1029" w:type="dxa"/>
            <w:tcBorders>
              <w:top w:val="single" w:sz="4" w:space="0" w:color="auto"/>
              <w:left w:val="single" w:sz="4" w:space="0" w:color="auto"/>
              <w:bottom w:val="single" w:sz="4" w:space="0" w:color="auto"/>
              <w:right w:val="single" w:sz="4" w:space="0" w:color="auto"/>
            </w:tcBorders>
            <w:hideMark/>
          </w:tcPr>
          <w:p w14:paraId="73709366"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40D3AD09" w14:textId="77777777" w:rsidR="00BF5974" w:rsidRDefault="00BF5974">
            <w:pPr>
              <w:autoSpaceDE w:val="0"/>
              <w:autoSpaceDN w:val="0"/>
              <w:adjustRightInd w:val="0"/>
              <w:spacing w:line="256" w:lineRule="auto"/>
              <w:jc w:val="right"/>
              <w:rPr>
                <w:rFonts w:eastAsiaTheme="minorHAnsi" w:cs="Arial"/>
                <w:b/>
                <w:bCs/>
                <w:color w:val="000000"/>
                <w:sz w:val="14"/>
                <w:szCs w:val="14"/>
                <w:lang w:val="es-ES" w:eastAsia="en-US"/>
              </w:rPr>
            </w:pPr>
            <w:r>
              <w:rPr>
                <w:b/>
                <w:bCs/>
                <w:sz w:val="14"/>
                <w:szCs w:val="14"/>
                <w:lang w:val="es-ES" w:eastAsia="en-US"/>
              </w:rPr>
              <w:t>97,585,482</w:t>
            </w:r>
          </w:p>
        </w:tc>
      </w:tr>
      <w:tr w:rsidR="00BF5974" w14:paraId="68D54D60" w14:textId="77777777" w:rsidTr="00BF5974">
        <w:trPr>
          <w:trHeight w:val="20"/>
          <w:jc w:val="center"/>
        </w:trPr>
        <w:tc>
          <w:tcPr>
            <w:tcW w:w="1135" w:type="dxa"/>
            <w:tcBorders>
              <w:top w:val="single" w:sz="4" w:space="0" w:color="auto"/>
              <w:left w:val="single" w:sz="4" w:space="0" w:color="auto"/>
              <w:bottom w:val="single" w:sz="4" w:space="0" w:color="auto"/>
              <w:right w:val="single" w:sz="4" w:space="0" w:color="auto"/>
            </w:tcBorders>
            <w:shd w:val="solid" w:color="FFFFFF" w:fill="auto"/>
            <w:vAlign w:val="center"/>
            <w:hideMark/>
          </w:tcPr>
          <w:p w14:paraId="4A94E165" w14:textId="77777777" w:rsidR="00BF5974" w:rsidRDefault="00BF5974">
            <w:pPr>
              <w:autoSpaceDE w:val="0"/>
              <w:autoSpaceDN w:val="0"/>
              <w:adjustRightInd w:val="0"/>
              <w:spacing w:line="256" w:lineRule="auto"/>
              <w:jc w:val="left"/>
              <w:rPr>
                <w:rFonts w:eastAsiaTheme="minorHAnsi" w:cs="Arial"/>
                <w:color w:val="000000"/>
                <w:sz w:val="14"/>
                <w:szCs w:val="14"/>
                <w:lang w:val="es-ES" w:eastAsia="en-US"/>
              </w:rPr>
            </w:pPr>
            <w:r>
              <w:rPr>
                <w:rFonts w:eastAsiaTheme="minorHAnsi" w:cs="Arial"/>
                <w:color w:val="000000"/>
                <w:sz w:val="14"/>
                <w:szCs w:val="14"/>
                <w:lang w:val="es-ES" w:eastAsia="en-US"/>
              </w:rPr>
              <w:t>Coquimatlán</w:t>
            </w:r>
          </w:p>
        </w:tc>
        <w:tc>
          <w:tcPr>
            <w:tcW w:w="1148" w:type="dxa"/>
            <w:tcBorders>
              <w:top w:val="single" w:sz="4" w:space="0" w:color="auto"/>
              <w:left w:val="single" w:sz="4" w:space="0" w:color="auto"/>
              <w:bottom w:val="single" w:sz="4" w:space="0" w:color="auto"/>
              <w:right w:val="single" w:sz="4" w:space="0" w:color="auto"/>
            </w:tcBorders>
            <w:hideMark/>
          </w:tcPr>
          <w:p w14:paraId="4C97C42B"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60,442,006</w:t>
            </w:r>
          </w:p>
        </w:tc>
        <w:tc>
          <w:tcPr>
            <w:tcW w:w="945" w:type="dxa"/>
            <w:tcBorders>
              <w:top w:val="single" w:sz="4" w:space="0" w:color="auto"/>
              <w:left w:val="single" w:sz="4" w:space="0" w:color="auto"/>
              <w:bottom w:val="single" w:sz="4" w:space="0" w:color="auto"/>
              <w:right w:val="single" w:sz="4" w:space="0" w:color="auto"/>
            </w:tcBorders>
            <w:hideMark/>
          </w:tcPr>
          <w:p w14:paraId="754D95B6"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18,209,059</w:t>
            </w:r>
          </w:p>
        </w:tc>
        <w:tc>
          <w:tcPr>
            <w:tcW w:w="865" w:type="dxa"/>
            <w:tcBorders>
              <w:top w:val="single" w:sz="4" w:space="0" w:color="auto"/>
              <w:left w:val="single" w:sz="4" w:space="0" w:color="auto"/>
              <w:bottom w:val="single" w:sz="4" w:space="0" w:color="auto"/>
              <w:right w:val="single" w:sz="4" w:space="0" w:color="auto"/>
            </w:tcBorders>
            <w:hideMark/>
          </w:tcPr>
          <w:p w14:paraId="3C755D21"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3,172,764</w:t>
            </w:r>
          </w:p>
        </w:tc>
        <w:tc>
          <w:tcPr>
            <w:tcW w:w="865" w:type="dxa"/>
            <w:tcBorders>
              <w:top w:val="single" w:sz="4" w:space="0" w:color="auto"/>
              <w:left w:val="single" w:sz="4" w:space="0" w:color="auto"/>
              <w:bottom w:val="single" w:sz="4" w:space="0" w:color="auto"/>
              <w:right w:val="single" w:sz="4" w:space="0" w:color="auto"/>
            </w:tcBorders>
            <w:hideMark/>
          </w:tcPr>
          <w:p w14:paraId="7D82981F"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1,975,178</w:t>
            </w:r>
          </w:p>
        </w:tc>
        <w:tc>
          <w:tcPr>
            <w:tcW w:w="865" w:type="dxa"/>
            <w:tcBorders>
              <w:top w:val="single" w:sz="4" w:space="0" w:color="auto"/>
              <w:left w:val="single" w:sz="4" w:space="0" w:color="auto"/>
              <w:bottom w:val="single" w:sz="4" w:space="0" w:color="auto"/>
              <w:right w:val="single" w:sz="4" w:space="0" w:color="auto"/>
            </w:tcBorders>
            <w:hideMark/>
          </w:tcPr>
          <w:p w14:paraId="1612D500"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3,481,325</w:t>
            </w:r>
          </w:p>
        </w:tc>
        <w:tc>
          <w:tcPr>
            <w:tcW w:w="945" w:type="dxa"/>
            <w:tcBorders>
              <w:top w:val="single" w:sz="4" w:space="0" w:color="auto"/>
              <w:left w:val="single" w:sz="4" w:space="0" w:color="auto"/>
              <w:bottom w:val="single" w:sz="4" w:space="0" w:color="auto"/>
              <w:right w:val="single" w:sz="4" w:space="0" w:color="auto"/>
            </w:tcBorders>
            <w:hideMark/>
          </w:tcPr>
          <w:p w14:paraId="6B821EAA"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4,781,885</w:t>
            </w:r>
          </w:p>
        </w:tc>
        <w:tc>
          <w:tcPr>
            <w:tcW w:w="1029" w:type="dxa"/>
            <w:tcBorders>
              <w:top w:val="single" w:sz="4" w:space="0" w:color="auto"/>
              <w:left w:val="single" w:sz="4" w:space="0" w:color="auto"/>
              <w:bottom w:val="single" w:sz="4" w:space="0" w:color="auto"/>
              <w:right w:val="single" w:sz="4" w:space="0" w:color="auto"/>
            </w:tcBorders>
            <w:hideMark/>
          </w:tcPr>
          <w:p w14:paraId="79DF4C67"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0682F3F2" w14:textId="77777777" w:rsidR="00BF5974" w:rsidRDefault="00BF5974">
            <w:pPr>
              <w:autoSpaceDE w:val="0"/>
              <w:autoSpaceDN w:val="0"/>
              <w:adjustRightInd w:val="0"/>
              <w:spacing w:line="256" w:lineRule="auto"/>
              <w:jc w:val="right"/>
              <w:rPr>
                <w:rFonts w:eastAsiaTheme="minorHAnsi" w:cs="Arial"/>
                <w:b/>
                <w:bCs/>
                <w:color w:val="000000"/>
                <w:sz w:val="14"/>
                <w:szCs w:val="14"/>
                <w:lang w:val="es-ES" w:eastAsia="en-US"/>
              </w:rPr>
            </w:pPr>
            <w:r>
              <w:rPr>
                <w:b/>
                <w:bCs/>
                <w:sz w:val="14"/>
                <w:szCs w:val="14"/>
                <w:lang w:val="es-ES" w:eastAsia="en-US"/>
              </w:rPr>
              <w:t>92,062,217</w:t>
            </w:r>
          </w:p>
        </w:tc>
      </w:tr>
      <w:tr w:rsidR="00BF5974" w14:paraId="6DD05714" w14:textId="77777777" w:rsidTr="00BF5974">
        <w:trPr>
          <w:trHeight w:val="20"/>
          <w:jc w:val="center"/>
        </w:trPr>
        <w:tc>
          <w:tcPr>
            <w:tcW w:w="1135" w:type="dxa"/>
            <w:tcBorders>
              <w:top w:val="single" w:sz="4" w:space="0" w:color="auto"/>
              <w:left w:val="single" w:sz="4" w:space="0" w:color="auto"/>
              <w:bottom w:val="single" w:sz="4" w:space="0" w:color="auto"/>
              <w:right w:val="single" w:sz="4" w:space="0" w:color="auto"/>
            </w:tcBorders>
            <w:shd w:val="solid" w:color="FFFFFF" w:fill="auto"/>
            <w:vAlign w:val="center"/>
            <w:hideMark/>
          </w:tcPr>
          <w:p w14:paraId="5A063A22" w14:textId="77777777" w:rsidR="00BF5974" w:rsidRDefault="00BF5974">
            <w:pPr>
              <w:autoSpaceDE w:val="0"/>
              <w:autoSpaceDN w:val="0"/>
              <w:adjustRightInd w:val="0"/>
              <w:spacing w:line="256" w:lineRule="auto"/>
              <w:jc w:val="left"/>
              <w:rPr>
                <w:rFonts w:eastAsiaTheme="minorHAnsi" w:cs="Arial"/>
                <w:color w:val="000000"/>
                <w:sz w:val="14"/>
                <w:szCs w:val="14"/>
                <w:lang w:val="es-ES" w:eastAsia="en-US"/>
              </w:rPr>
            </w:pPr>
            <w:r>
              <w:rPr>
                <w:rFonts w:eastAsiaTheme="minorHAnsi" w:cs="Arial"/>
                <w:color w:val="000000"/>
                <w:sz w:val="14"/>
                <w:szCs w:val="14"/>
                <w:lang w:val="es-ES" w:eastAsia="en-US"/>
              </w:rPr>
              <w:t>Cuauhtémoc</w:t>
            </w:r>
          </w:p>
        </w:tc>
        <w:tc>
          <w:tcPr>
            <w:tcW w:w="1148" w:type="dxa"/>
            <w:tcBorders>
              <w:top w:val="single" w:sz="4" w:space="0" w:color="auto"/>
              <w:left w:val="single" w:sz="4" w:space="0" w:color="auto"/>
              <w:bottom w:val="single" w:sz="4" w:space="0" w:color="auto"/>
              <w:right w:val="single" w:sz="4" w:space="0" w:color="auto"/>
            </w:tcBorders>
            <w:hideMark/>
          </w:tcPr>
          <w:p w14:paraId="3BF11786"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73,399,649</w:t>
            </w:r>
          </w:p>
        </w:tc>
        <w:tc>
          <w:tcPr>
            <w:tcW w:w="945" w:type="dxa"/>
            <w:tcBorders>
              <w:top w:val="single" w:sz="4" w:space="0" w:color="auto"/>
              <w:left w:val="single" w:sz="4" w:space="0" w:color="auto"/>
              <w:bottom w:val="single" w:sz="4" w:space="0" w:color="auto"/>
              <w:right w:val="single" w:sz="4" w:space="0" w:color="auto"/>
            </w:tcBorders>
            <w:hideMark/>
          </w:tcPr>
          <w:p w14:paraId="2B203C1C"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20,504,321</w:t>
            </w:r>
          </w:p>
        </w:tc>
        <w:tc>
          <w:tcPr>
            <w:tcW w:w="865" w:type="dxa"/>
            <w:tcBorders>
              <w:top w:val="single" w:sz="4" w:space="0" w:color="auto"/>
              <w:left w:val="single" w:sz="4" w:space="0" w:color="auto"/>
              <w:bottom w:val="single" w:sz="4" w:space="0" w:color="auto"/>
              <w:right w:val="single" w:sz="4" w:space="0" w:color="auto"/>
            </w:tcBorders>
            <w:hideMark/>
          </w:tcPr>
          <w:p w14:paraId="0EAEBC24"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3,498,933</w:t>
            </w:r>
          </w:p>
        </w:tc>
        <w:tc>
          <w:tcPr>
            <w:tcW w:w="865" w:type="dxa"/>
            <w:tcBorders>
              <w:top w:val="single" w:sz="4" w:space="0" w:color="auto"/>
              <w:left w:val="single" w:sz="4" w:space="0" w:color="auto"/>
              <w:bottom w:val="single" w:sz="4" w:space="0" w:color="auto"/>
              <w:right w:val="single" w:sz="4" w:space="0" w:color="auto"/>
            </w:tcBorders>
            <w:hideMark/>
          </w:tcPr>
          <w:p w14:paraId="60746CDF"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2,435,291</w:t>
            </w:r>
          </w:p>
        </w:tc>
        <w:tc>
          <w:tcPr>
            <w:tcW w:w="865" w:type="dxa"/>
            <w:tcBorders>
              <w:top w:val="single" w:sz="4" w:space="0" w:color="auto"/>
              <w:left w:val="single" w:sz="4" w:space="0" w:color="auto"/>
              <w:bottom w:val="single" w:sz="4" w:space="0" w:color="auto"/>
              <w:right w:val="single" w:sz="4" w:space="0" w:color="auto"/>
            </w:tcBorders>
            <w:hideMark/>
          </w:tcPr>
          <w:p w14:paraId="6D817EE6"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6,257,803</w:t>
            </w:r>
          </w:p>
        </w:tc>
        <w:tc>
          <w:tcPr>
            <w:tcW w:w="945" w:type="dxa"/>
            <w:tcBorders>
              <w:top w:val="single" w:sz="4" w:space="0" w:color="auto"/>
              <w:left w:val="single" w:sz="4" w:space="0" w:color="auto"/>
              <w:bottom w:val="single" w:sz="4" w:space="0" w:color="auto"/>
              <w:right w:val="single" w:sz="4" w:space="0" w:color="auto"/>
            </w:tcBorders>
            <w:hideMark/>
          </w:tcPr>
          <w:p w14:paraId="1BEE403B"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7,710,000</w:t>
            </w:r>
          </w:p>
        </w:tc>
        <w:tc>
          <w:tcPr>
            <w:tcW w:w="1029" w:type="dxa"/>
            <w:tcBorders>
              <w:top w:val="single" w:sz="4" w:space="0" w:color="auto"/>
              <w:left w:val="single" w:sz="4" w:space="0" w:color="auto"/>
              <w:bottom w:val="single" w:sz="4" w:space="0" w:color="auto"/>
              <w:right w:val="single" w:sz="4" w:space="0" w:color="auto"/>
            </w:tcBorders>
            <w:hideMark/>
          </w:tcPr>
          <w:p w14:paraId="1E22E8E2"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3C4CEA96" w14:textId="77777777" w:rsidR="00BF5974" w:rsidRDefault="00BF5974">
            <w:pPr>
              <w:autoSpaceDE w:val="0"/>
              <w:autoSpaceDN w:val="0"/>
              <w:adjustRightInd w:val="0"/>
              <w:spacing w:line="256" w:lineRule="auto"/>
              <w:jc w:val="right"/>
              <w:rPr>
                <w:rFonts w:eastAsiaTheme="minorHAnsi" w:cs="Arial"/>
                <w:b/>
                <w:bCs/>
                <w:color w:val="000000"/>
                <w:sz w:val="14"/>
                <w:szCs w:val="14"/>
                <w:lang w:val="es-ES" w:eastAsia="en-US"/>
              </w:rPr>
            </w:pPr>
            <w:r>
              <w:rPr>
                <w:b/>
                <w:bCs/>
                <w:sz w:val="14"/>
                <w:szCs w:val="14"/>
                <w:lang w:val="es-ES" w:eastAsia="en-US"/>
              </w:rPr>
              <w:t>113,805,997</w:t>
            </w:r>
          </w:p>
        </w:tc>
      </w:tr>
      <w:tr w:rsidR="00BF5974" w14:paraId="019289B0" w14:textId="77777777" w:rsidTr="00BF5974">
        <w:trPr>
          <w:trHeight w:val="20"/>
          <w:jc w:val="center"/>
        </w:trPr>
        <w:tc>
          <w:tcPr>
            <w:tcW w:w="1135" w:type="dxa"/>
            <w:tcBorders>
              <w:top w:val="single" w:sz="4" w:space="0" w:color="auto"/>
              <w:left w:val="single" w:sz="4" w:space="0" w:color="auto"/>
              <w:bottom w:val="single" w:sz="4" w:space="0" w:color="auto"/>
              <w:right w:val="single" w:sz="4" w:space="0" w:color="auto"/>
            </w:tcBorders>
            <w:shd w:val="solid" w:color="FFFFFF" w:fill="auto"/>
            <w:vAlign w:val="center"/>
            <w:hideMark/>
          </w:tcPr>
          <w:p w14:paraId="6CA98B41" w14:textId="77777777" w:rsidR="00BF5974" w:rsidRDefault="00BF5974">
            <w:pPr>
              <w:autoSpaceDE w:val="0"/>
              <w:autoSpaceDN w:val="0"/>
              <w:adjustRightInd w:val="0"/>
              <w:spacing w:line="256" w:lineRule="auto"/>
              <w:jc w:val="left"/>
              <w:rPr>
                <w:rFonts w:eastAsiaTheme="minorHAnsi" w:cs="Arial"/>
                <w:color w:val="000000"/>
                <w:sz w:val="14"/>
                <w:szCs w:val="14"/>
                <w:lang w:val="es-ES" w:eastAsia="en-US"/>
              </w:rPr>
            </w:pPr>
            <w:r>
              <w:rPr>
                <w:rFonts w:eastAsiaTheme="minorHAnsi" w:cs="Arial"/>
                <w:color w:val="000000"/>
                <w:sz w:val="14"/>
                <w:szCs w:val="14"/>
                <w:lang w:val="es-ES" w:eastAsia="en-US"/>
              </w:rPr>
              <w:t>Ixtlahuacán</w:t>
            </w:r>
          </w:p>
        </w:tc>
        <w:tc>
          <w:tcPr>
            <w:tcW w:w="1148" w:type="dxa"/>
            <w:tcBorders>
              <w:top w:val="single" w:sz="4" w:space="0" w:color="auto"/>
              <w:left w:val="single" w:sz="4" w:space="0" w:color="auto"/>
              <w:bottom w:val="single" w:sz="4" w:space="0" w:color="auto"/>
              <w:right w:val="single" w:sz="4" w:space="0" w:color="auto"/>
            </w:tcBorders>
            <w:hideMark/>
          </w:tcPr>
          <w:p w14:paraId="3F503985"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83,194,664</w:t>
            </w:r>
          </w:p>
        </w:tc>
        <w:tc>
          <w:tcPr>
            <w:tcW w:w="945" w:type="dxa"/>
            <w:tcBorders>
              <w:top w:val="single" w:sz="4" w:space="0" w:color="auto"/>
              <w:left w:val="single" w:sz="4" w:space="0" w:color="auto"/>
              <w:bottom w:val="single" w:sz="4" w:space="0" w:color="auto"/>
              <w:right w:val="single" w:sz="4" w:space="0" w:color="auto"/>
            </w:tcBorders>
            <w:hideMark/>
          </w:tcPr>
          <w:p w14:paraId="03BB755E"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23,762,024</w:t>
            </w:r>
          </w:p>
        </w:tc>
        <w:tc>
          <w:tcPr>
            <w:tcW w:w="865" w:type="dxa"/>
            <w:tcBorders>
              <w:top w:val="single" w:sz="4" w:space="0" w:color="auto"/>
              <w:left w:val="single" w:sz="4" w:space="0" w:color="auto"/>
              <w:bottom w:val="single" w:sz="4" w:space="0" w:color="auto"/>
              <w:right w:val="single" w:sz="4" w:space="0" w:color="auto"/>
            </w:tcBorders>
            <w:hideMark/>
          </w:tcPr>
          <w:p w14:paraId="499246A7"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4,677,350</w:t>
            </w:r>
          </w:p>
        </w:tc>
        <w:tc>
          <w:tcPr>
            <w:tcW w:w="865" w:type="dxa"/>
            <w:tcBorders>
              <w:top w:val="single" w:sz="4" w:space="0" w:color="auto"/>
              <w:left w:val="single" w:sz="4" w:space="0" w:color="auto"/>
              <w:bottom w:val="single" w:sz="4" w:space="0" w:color="auto"/>
              <w:right w:val="single" w:sz="4" w:space="0" w:color="auto"/>
            </w:tcBorders>
            <w:hideMark/>
          </w:tcPr>
          <w:p w14:paraId="0BAD54A8"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3,069,554</w:t>
            </w:r>
          </w:p>
        </w:tc>
        <w:tc>
          <w:tcPr>
            <w:tcW w:w="865" w:type="dxa"/>
            <w:tcBorders>
              <w:top w:val="single" w:sz="4" w:space="0" w:color="auto"/>
              <w:left w:val="single" w:sz="4" w:space="0" w:color="auto"/>
              <w:bottom w:val="single" w:sz="4" w:space="0" w:color="auto"/>
              <w:right w:val="single" w:sz="4" w:space="0" w:color="auto"/>
            </w:tcBorders>
            <w:hideMark/>
          </w:tcPr>
          <w:p w14:paraId="1395584C"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3,978,683</w:t>
            </w:r>
          </w:p>
        </w:tc>
        <w:tc>
          <w:tcPr>
            <w:tcW w:w="945" w:type="dxa"/>
            <w:tcBorders>
              <w:top w:val="single" w:sz="4" w:space="0" w:color="auto"/>
              <w:left w:val="single" w:sz="4" w:space="0" w:color="auto"/>
              <w:bottom w:val="single" w:sz="4" w:space="0" w:color="auto"/>
              <w:right w:val="single" w:sz="4" w:space="0" w:color="auto"/>
            </w:tcBorders>
            <w:hideMark/>
          </w:tcPr>
          <w:p w14:paraId="636915FA"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6,421,643</w:t>
            </w:r>
          </w:p>
        </w:tc>
        <w:tc>
          <w:tcPr>
            <w:tcW w:w="1029" w:type="dxa"/>
            <w:tcBorders>
              <w:top w:val="single" w:sz="4" w:space="0" w:color="auto"/>
              <w:left w:val="single" w:sz="4" w:space="0" w:color="auto"/>
              <w:bottom w:val="single" w:sz="4" w:space="0" w:color="auto"/>
              <w:right w:val="single" w:sz="4" w:space="0" w:color="auto"/>
            </w:tcBorders>
            <w:hideMark/>
          </w:tcPr>
          <w:p w14:paraId="517D04C4"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442CB117" w14:textId="77777777" w:rsidR="00BF5974" w:rsidRDefault="00BF5974">
            <w:pPr>
              <w:autoSpaceDE w:val="0"/>
              <w:autoSpaceDN w:val="0"/>
              <w:adjustRightInd w:val="0"/>
              <w:spacing w:line="256" w:lineRule="auto"/>
              <w:jc w:val="right"/>
              <w:rPr>
                <w:rFonts w:eastAsiaTheme="minorHAnsi" w:cs="Arial"/>
                <w:b/>
                <w:bCs/>
                <w:color w:val="000000"/>
                <w:sz w:val="14"/>
                <w:szCs w:val="14"/>
                <w:lang w:val="es-ES" w:eastAsia="en-US"/>
              </w:rPr>
            </w:pPr>
            <w:r>
              <w:rPr>
                <w:b/>
                <w:bCs/>
                <w:sz w:val="14"/>
                <w:szCs w:val="14"/>
                <w:lang w:val="es-ES" w:eastAsia="en-US"/>
              </w:rPr>
              <w:t>125,103,918</w:t>
            </w:r>
          </w:p>
        </w:tc>
      </w:tr>
      <w:tr w:rsidR="00BF5974" w14:paraId="58687B99" w14:textId="77777777" w:rsidTr="00BF5974">
        <w:trPr>
          <w:trHeight w:val="20"/>
          <w:jc w:val="center"/>
        </w:trPr>
        <w:tc>
          <w:tcPr>
            <w:tcW w:w="1135" w:type="dxa"/>
            <w:tcBorders>
              <w:top w:val="single" w:sz="4" w:space="0" w:color="auto"/>
              <w:left w:val="single" w:sz="4" w:space="0" w:color="auto"/>
              <w:bottom w:val="single" w:sz="4" w:space="0" w:color="auto"/>
              <w:right w:val="single" w:sz="4" w:space="0" w:color="auto"/>
            </w:tcBorders>
            <w:shd w:val="solid" w:color="FFFFFF" w:fill="auto"/>
            <w:vAlign w:val="center"/>
            <w:hideMark/>
          </w:tcPr>
          <w:p w14:paraId="6DB8DF9B" w14:textId="77777777" w:rsidR="00BF5974" w:rsidRDefault="00BF5974">
            <w:pPr>
              <w:autoSpaceDE w:val="0"/>
              <w:autoSpaceDN w:val="0"/>
              <w:adjustRightInd w:val="0"/>
              <w:spacing w:line="256" w:lineRule="auto"/>
              <w:jc w:val="left"/>
              <w:rPr>
                <w:rFonts w:eastAsiaTheme="minorHAnsi" w:cs="Arial"/>
                <w:color w:val="000000"/>
                <w:sz w:val="14"/>
                <w:szCs w:val="14"/>
                <w:lang w:val="es-ES" w:eastAsia="en-US"/>
              </w:rPr>
            </w:pPr>
            <w:r>
              <w:rPr>
                <w:rFonts w:eastAsiaTheme="minorHAnsi" w:cs="Arial"/>
                <w:color w:val="000000"/>
                <w:sz w:val="14"/>
                <w:szCs w:val="14"/>
                <w:lang w:val="es-ES" w:eastAsia="en-US"/>
              </w:rPr>
              <w:t>Manzanillo</w:t>
            </w:r>
          </w:p>
        </w:tc>
        <w:tc>
          <w:tcPr>
            <w:tcW w:w="1148" w:type="dxa"/>
            <w:tcBorders>
              <w:top w:val="single" w:sz="4" w:space="0" w:color="auto"/>
              <w:left w:val="single" w:sz="4" w:space="0" w:color="auto"/>
              <w:bottom w:val="single" w:sz="4" w:space="0" w:color="auto"/>
              <w:right w:val="single" w:sz="4" w:space="0" w:color="auto"/>
            </w:tcBorders>
            <w:hideMark/>
          </w:tcPr>
          <w:p w14:paraId="68671FC3"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244,675,150</w:t>
            </w:r>
          </w:p>
        </w:tc>
        <w:tc>
          <w:tcPr>
            <w:tcW w:w="945" w:type="dxa"/>
            <w:tcBorders>
              <w:top w:val="single" w:sz="4" w:space="0" w:color="auto"/>
              <w:left w:val="single" w:sz="4" w:space="0" w:color="auto"/>
              <w:bottom w:val="single" w:sz="4" w:space="0" w:color="auto"/>
              <w:right w:val="single" w:sz="4" w:space="0" w:color="auto"/>
            </w:tcBorders>
            <w:hideMark/>
          </w:tcPr>
          <w:p w14:paraId="573A7B24"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84,017,275</w:t>
            </w:r>
          </w:p>
        </w:tc>
        <w:tc>
          <w:tcPr>
            <w:tcW w:w="865" w:type="dxa"/>
            <w:tcBorders>
              <w:top w:val="single" w:sz="4" w:space="0" w:color="auto"/>
              <w:left w:val="single" w:sz="4" w:space="0" w:color="auto"/>
              <w:bottom w:val="single" w:sz="4" w:space="0" w:color="auto"/>
              <w:right w:val="single" w:sz="4" w:space="0" w:color="auto"/>
            </w:tcBorders>
            <w:hideMark/>
          </w:tcPr>
          <w:p w14:paraId="79930537"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11,884,021</w:t>
            </w:r>
          </w:p>
        </w:tc>
        <w:tc>
          <w:tcPr>
            <w:tcW w:w="865" w:type="dxa"/>
            <w:tcBorders>
              <w:top w:val="single" w:sz="4" w:space="0" w:color="auto"/>
              <w:left w:val="single" w:sz="4" w:space="0" w:color="auto"/>
              <w:bottom w:val="single" w:sz="4" w:space="0" w:color="auto"/>
              <w:right w:val="single" w:sz="4" w:space="0" w:color="auto"/>
            </w:tcBorders>
            <w:hideMark/>
          </w:tcPr>
          <w:p w14:paraId="183C19D3"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5,539,413</w:t>
            </w:r>
          </w:p>
        </w:tc>
        <w:tc>
          <w:tcPr>
            <w:tcW w:w="865" w:type="dxa"/>
            <w:tcBorders>
              <w:top w:val="single" w:sz="4" w:space="0" w:color="auto"/>
              <w:left w:val="single" w:sz="4" w:space="0" w:color="auto"/>
              <w:bottom w:val="single" w:sz="4" w:space="0" w:color="auto"/>
              <w:right w:val="single" w:sz="4" w:space="0" w:color="auto"/>
            </w:tcBorders>
            <w:hideMark/>
          </w:tcPr>
          <w:p w14:paraId="54B77D75"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13,296,745</w:t>
            </w:r>
          </w:p>
        </w:tc>
        <w:tc>
          <w:tcPr>
            <w:tcW w:w="945" w:type="dxa"/>
            <w:tcBorders>
              <w:top w:val="single" w:sz="4" w:space="0" w:color="auto"/>
              <w:left w:val="single" w:sz="4" w:space="0" w:color="auto"/>
              <w:bottom w:val="single" w:sz="4" w:space="0" w:color="auto"/>
              <w:right w:val="single" w:sz="4" w:space="0" w:color="auto"/>
            </w:tcBorders>
            <w:hideMark/>
          </w:tcPr>
          <w:p w14:paraId="1E54C820"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69,320,284</w:t>
            </w:r>
          </w:p>
        </w:tc>
        <w:tc>
          <w:tcPr>
            <w:tcW w:w="1029" w:type="dxa"/>
            <w:tcBorders>
              <w:top w:val="single" w:sz="4" w:space="0" w:color="auto"/>
              <w:left w:val="single" w:sz="4" w:space="0" w:color="auto"/>
              <w:bottom w:val="single" w:sz="4" w:space="0" w:color="auto"/>
              <w:right w:val="single" w:sz="4" w:space="0" w:color="auto"/>
            </w:tcBorders>
            <w:hideMark/>
          </w:tcPr>
          <w:p w14:paraId="358E2634" w14:textId="77777777" w:rsidR="00BF5974" w:rsidRDefault="00BF5974">
            <w:pPr>
              <w:spacing w:line="256" w:lineRule="auto"/>
              <w:jc w:val="right"/>
              <w:rPr>
                <w:rFonts w:eastAsiaTheme="minorHAnsi" w:cs="Arial"/>
                <w:color w:val="000000"/>
                <w:sz w:val="14"/>
                <w:szCs w:val="14"/>
                <w:lang w:val="es-ES" w:eastAsia="en-US"/>
              </w:rPr>
            </w:pPr>
            <w:r>
              <w:rPr>
                <w:sz w:val="14"/>
                <w:szCs w:val="14"/>
                <w:lang w:val="es-ES" w:eastAsia="en-US"/>
              </w:rPr>
              <w:t>211,392,756</w:t>
            </w:r>
          </w:p>
        </w:tc>
        <w:tc>
          <w:tcPr>
            <w:tcW w:w="1134" w:type="dxa"/>
            <w:tcBorders>
              <w:top w:val="single" w:sz="4" w:space="0" w:color="auto"/>
              <w:left w:val="single" w:sz="4" w:space="0" w:color="auto"/>
              <w:bottom w:val="single" w:sz="4" w:space="0" w:color="auto"/>
              <w:right w:val="single" w:sz="4" w:space="0" w:color="auto"/>
            </w:tcBorders>
            <w:hideMark/>
          </w:tcPr>
          <w:p w14:paraId="295C63AC" w14:textId="77777777" w:rsidR="00BF5974" w:rsidRDefault="00BF5974">
            <w:pPr>
              <w:autoSpaceDE w:val="0"/>
              <w:autoSpaceDN w:val="0"/>
              <w:adjustRightInd w:val="0"/>
              <w:spacing w:line="256" w:lineRule="auto"/>
              <w:jc w:val="right"/>
              <w:rPr>
                <w:rFonts w:eastAsiaTheme="minorHAnsi" w:cs="Arial"/>
                <w:b/>
                <w:bCs/>
                <w:color w:val="000000"/>
                <w:sz w:val="14"/>
                <w:szCs w:val="14"/>
                <w:lang w:val="es-ES" w:eastAsia="en-US"/>
              </w:rPr>
            </w:pPr>
            <w:r>
              <w:rPr>
                <w:b/>
                <w:bCs/>
                <w:sz w:val="14"/>
                <w:szCs w:val="14"/>
                <w:lang w:val="es-ES" w:eastAsia="en-US"/>
              </w:rPr>
              <w:t>640,125,644</w:t>
            </w:r>
          </w:p>
        </w:tc>
      </w:tr>
      <w:tr w:rsidR="00BF5974" w14:paraId="6D3E809B" w14:textId="77777777" w:rsidTr="00BF5974">
        <w:trPr>
          <w:trHeight w:val="20"/>
          <w:jc w:val="center"/>
        </w:trPr>
        <w:tc>
          <w:tcPr>
            <w:tcW w:w="1135" w:type="dxa"/>
            <w:tcBorders>
              <w:top w:val="single" w:sz="4" w:space="0" w:color="auto"/>
              <w:left w:val="single" w:sz="4" w:space="0" w:color="auto"/>
              <w:bottom w:val="single" w:sz="4" w:space="0" w:color="auto"/>
              <w:right w:val="single" w:sz="4" w:space="0" w:color="auto"/>
            </w:tcBorders>
            <w:shd w:val="solid" w:color="FFFFFF" w:fill="auto"/>
            <w:vAlign w:val="center"/>
            <w:hideMark/>
          </w:tcPr>
          <w:p w14:paraId="3B5A8CAD" w14:textId="77777777" w:rsidR="00BF5974" w:rsidRDefault="00BF5974">
            <w:pPr>
              <w:autoSpaceDE w:val="0"/>
              <w:autoSpaceDN w:val="0"/>
              <w:adjustRightInd w:val="0"/>
              <w:spacing w:line="256" w:lineRule="auto"/>
              <w:jc w:val="left"/>
              <w:rPr>
                <w:rFonts w:eastAsiaTheme="minorHAnsi" w:cs="Arial"/>
                <w:color w:val="000000"/>
                <w:sz w:val="14"/>
                <w:szCs w:val="14"/>
                <w:lang w:val="es-ES" w:eastAsia="en-US"/>
              </w:rPr>
            </w:pPr>
            <w:r>
              <w:rPr>
                <w:rFonts w:eastAsiaTheme="minorHAnsi" w:cs="Arial"/>
                <w:color w:val="000000"/>
                <w:sz w:val="14"/>
                <w:szCs w:val="14"/>
                <w:lang w:val="es-ES" w:eastAsia="en-US"/>
              </w:rPr>
              <w:t>Minatitlán</w:t>
            </w:r>
          </w:p>
        </w:tc>
        <w:tc>
          <w:tcPr>
            <w:tcW w:w="1148" w:type="dxa"/>
            <w:tcBorders>
              <w:top w:val="single" w:sz="4" w:space="0" w:color="auto"/>
              <w:left w:val="single" w:sz="4" w:space="0" w:color="auto"/>
              <w:bottom w:val="single" w:sz="4" w:space="0" w:color="auto"/>
              <w:right w:val="single" w:sz="4" w:space="0" w:color="auto"/>
            </w:tcBorders>
            <w:hideMark/>
          </w:tcPr>
          <w:p w14:paraId="1BD39880"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69,879,583</w:t>
            </w:r>
          </w:p>
        </w:tc>
        <w:tc>
          <w:tcPr>
            <w:tcW w:w="945" w:type="dxa"/>
            <w:tcBorders>
              <w:top w:val="single" w:sz="4" w:space="0" w:color="auto"/>
              <w:left w:val="single" w:sz="4" w:space="0" w:color="auto"/>
              <w:bottom w:val="single" w:sz="4" w:space="0" w:color="auto"/>
              <w:right w:val="single" w:sz="4" w:space="0" w:color="auto"/>
            </w:tcBorders>
            <w:hideMark/>
          </w:tcPr>
          <w:p w14:paraId="1F8E1D33"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16,980,599</w:t>
            </w:r>
          </w:p>
        </w:tc>
        <w:tc>
          <w:tcPr>
            <w:tcW w:w="865" w:type="dxa"/>
            <w:tcBorders>
              <w:top w:val="single" w:sz="4" w:space="0" w:color="auto"/>
              <w:left w:val="single" w:sz="4" w:space="0" w:color="auto"/>
              <w:bottom w:val="single" w:sz="4" w:space="0" w:color="auto"/>
              <w:right w:val="single" w:sz="4" w:space="0" w:color="auto"/>
            </w:tcBorders>
            <w:hideMark/>
          </w:tcPr>
          <w:p w14:paraId="2A02F7EF"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4,176,716</w:t>
            </w:r>
          </w:p>
        </w:tc>
        <w:tc>
          <w:tcPr>
            <w:tcW w:w="865" w:type="dxa"/>
            <w:tcBorders>
              <w:top w:val="single" w:sz="4" w:space="0" w:color="auto"/>
              <w:left w:val="single" w:sz="4" w:space="0" w:color="auto"/>
              <w:bottom w:val="single" w:sz="4" w:space="0" w:color="auto"/>
              <w:right w:val="single" w:sz="4" w:space="0" w:color="auto"/>
            </w:tcBorders>
            <w:hideMark/>
          </w:tcPr>
          <w:p w14:paraId="4EEE4D76"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3,038,247</w:t>
            </w:r>
          </w:p>
        </w:tc>
        <w:tc>
          <w:tcPr>
            <w:tcW w:w="865" w:type="dxa"/>
            <w:tcBorders>
              <w:top w:val="single" w:sz="4" w:space="0" w:color="auto"/>
              <w:left w:val="single" w:sz="4" w:space="0" w:color="auto"/>
              <w:bottom w:val="single" w:sz="4" w:space="0" w:color="auto"/>
              <w:right w:val="single" w:sz="4" w:space="0" w:color="auto"/>
            </w:tcBorders>
            <w:hideMark/>
          </w:tcPr>
          <w:p w14:paraId="271E8634"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639,139</w:t>
            </w:r>
          </w:p>
        </w:tc>
        <w:tc>
          <w:tcPr>
            <w:tcW w:w="945" w:type="dxa"/>
            <w:tcBorders>
              <w:top w:val="single" w:sz="4" w:space="0" w:color="auto"/>
              <w:left w:val="single" w:sz="4" w:space="0" w:color="auto"/>
              <w:bottom w:val="single" w:sz="4" w:space="0" w:color="auto"/>
              <w:right w:val="single" w:sz="4" w:space="0" w:color="auto"/>
            </w:tcBorders>
            <w:hideMark/>
          </w:tcPr>
          <w:p w14:paraId="590F46AA"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4,660,000</w:t>
            </w:r>
          </w:p>
        </w:tc>
        <w:tc>
          <w:tcPr>
            <w:tcW w:w="1029" w:type="dxa"/>
            <w:tcBorders>
              <w:top w:val="single" w:sz="4" w:space="0" w:color="auto"/>
              <w:left w:val="single" w:sz="4" w:space="0" w:color="auto"/>
              <w:bottom w:val="single" w:sz="4" w:space="0" w:color="auto"/>
              <w:right w:val="single" w:sz="4" w:space="0" w:color="auto"/>
            </w:tcBorders>
            <w:hideMark/>
          </w:tcPr>
          <w:p w14:paraId="3A16D66D"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192CF84E" w14:textId="77777777" w:rsidR="00BF5974" w:rsidRDefault="00BF5974">
            <w:pPr>
              <w:autoSpaceDE w:val="0"/>
              <w:autoSpaceDN w:val="0"/>
              <w:adjustRightInd w:val="0"/>
              <w:spacing w:line="256" w:lineRule="auto"/>
              <w:jc w:val="right"/>
              <w:rPr>
                <w:rFonts w:eastAsiaTheme="minorHAnsi" w:cs="Arial"/>
                <w:b/>
                <w:bCs/>
                <w:color w:val="000000"/>
                <w:sz w:val="14"/>
                <w:szCs w:val="14"/>
                <w:lang w:val="es-ES" w:eastAsia="en-US"/>
              </w:rPr>
            </w:pPr>
            <w:r>
              <w:rPr>
                <w:b/>
                <w:bCs/>
                <w:sz w:val="14"/>
                <w:szCs w:val="14"/>
                <w:lang w:val="es-ES" w:eastAsia="en-US"/>
              </w:rPr>
              <w:t>99,374,284</w:t>
            </w:r>
          </w:p>
        </w:tc>
      </w:tr>
      <w:tr w:rsidR="00BF5974" w14:paraId="30E01B7E" w14:textId="77777777" w:rsidTr="00BF5974">
        <w:trPr>
          <w:trHeight w:val="20"/>
          <w:jc w:val="center"/>
        </w:trPr>
        <w:tc>
          <w:tcPr>
            <w:tcW w:w="1135" w:type="dxa"/>
            <w:tcBorders>
              <w:top w:val="single" w:sz="4" w:space="0" w:color="auto"/>
              <w:left w:val="single" w:sz="4" w:space="0" w:color="auto"/>
              <w:bottom w:val="single" w:sz="4" w:space="0" w:color="auto"/>
              <w:right w:val="single" w:sz="4" w:space="0" w:color="auto"/>
            </w:tcBorders>
            <w:shd w:val="solid" w:color="FFFFFF" w:fill="auto"/>
            <w:vAlign w:val="center"/>
            <w:hideMark/>
          </w:tcPr>
          <w:p w14:paraId="11D8A3F6" w14:textId="77777777" w:rsidR="00BF5974" w:rsidRDefault="00BF5974">
            <w:pPr>
              <w:autoSpaceDE w:val="0"/>
              <w:autoSpaceDN w:val="0"/>
              <w:adjustRightInd w:val="0"/>
              <w:spacing w:line="256" w:lineRule="auto"/>
              <w:jc w:val="left"/>
              <w:rPr>
                <w:rFonts w:eastAsiaTheme="minorHAnsi" w:cs="Arial"/>
                <w:color w:val="000000"/>
                <w:sz w:val="14"/>
                <w:szCs w:val="14"/>
                <w:lang w:val="es-ES" w:eastAsia="en-US"/>
              </w:rPr>
            </w:pPr>
            <w:r>
              <w:rPr>
                <w:rFonts w:eastAsiaTheme="minorHAnsi" w:cs="Arial"/>
                <w:color w:val="000000"/>
                <w:sz w:val="14"/>
                <w:szCs w:val="14"/>
                <w:lang w:val="es-ES" w:eastAsia="en-US"/>
              </w:rPr>
              <w:t>Tecomán</w:t>
            </w:r>
          </w:p>
        </w:tc>
        <w:tc>
          <w:tcPr>
            <w:tcW w:w="1148" w:type="dxa"/>
            <w:tcBorders>
              <w:top w:val="single" w:sz="4" w:space="0" w:color="auto"/>
              <w:left w:val="single" w:sz="4" w:space="0" w:color="auto"/>
              <w:bottom w:val="single" w:sz="4" w:space="0" w:color="auto"/>
              <w:right w:val="single" w:sz="4" w:space="0" w:color="auto"/>
            </w:tcBorders>
            <w:hideMark/>
          </w:tcPr>
          <w:p w14:paraId="3F16CC57"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160,054,777</w:t>
            </w:r>
          </w:p>
        </w:tc>
        <w:tc>
          <w:tcPr>
            <w:tcW w:w="945" w:type="dxa"/>
            <w:tcBorders>
              <w:top w:val="single" w:sz="4" w:space="0" w:color="auto"/>
              <w:left w:val="single" w:sz="4" w:space="0" w:color="auto"/>
              <w:bottom w:val="single" w:sz="4" w:space="0" w:color="auto"/>
              <w:right w:val="single" w:sz="4" w:space="0" w:color="auto"/>
            </w:tcBorders>
            <w:hideMark/>
          </w:tcPr>
          <w:p w14:paraId="68A9F361"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52,454,945</w:t>
            </w:r>
          </w:p>
        </w:tc>
        <w:tc>
          <w:tcPr>
            <w:tcW w:w="865" w:type="dxa"/>
            <w:tcBorders>
              <w:top w:val="single" w:sz="4" w:space="0" w:color="auto"/>
              <w:left w:val="single" w:sz="4" w:space="0" w:color="auto"/>
              <w:bottom w:val="single" w:sz="4" w:space="0" w:color="auto"/>
              <w:right w:val="single" w:sz="4" w:space="0" w:color="auto"/>
            </w:tcBorders>
            <w:hideMark/>
          </w:tcPr>
          <w:p w14:paraId="5AEABEE8"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7,465,649</w:t>
            </w:r>
          </w:p>
        </w:tc>
        <w:tc>
          <w:tcPr>
            <w:tcW w:w="865" w:type="dxa"/>
            <w:tcBorders>
              <w:top w:val="single" w:sz="4" w:space="0" w:color="auto"/>
              <w:left w:val="single" w:sz="4" w:space="0" w:color="auto"/>
              <w:bottom w:val="single" w:sz="4" w:space="0" w:color="auto"/>
              <w:right w:val="single" w:sz="4" w:space="0" w:color="auto"/>
            </w:tcBorders>
            <w:hideMark/>
          </w:tcPr>
          <w:p w14:paraId="7AAAAEFB"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4,176,965</w:t>
            </w:r>
          </w:p>
        </w:tc>
        <w:tc>
          <w:tcPr>
            <w:tcW w:w="865" w:type="dxa"/>
            <w:tcBorders>
              <w:top w:val="single" w:sz="4" w:space="0" w:color="auto"/>
              <w:left w:val="single" w:sz="4" w:space="0" w:color="auto"/>
              <w:bottom w:val="single" w:sz="4" w:space="0" w:color="auto"/>
              <w:right w:val="single" w:sz="4" w:space="0" w:color="auto"/>
            </w:tcBorders>
            <w:hideMark/>
          </w:tcPr>
          <w:p w14:paraId="0107D82F"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8,720,478</w:t>
            </w:r>
          </w:p>
        </w:tc>
        <w:tc>
          <w:tcPr>
            <w:tcW w:w="945" w:type="dxa"/>
            <w:tcBorders>
              <w:top w:val="single" w:sz="4" w:space="0" w:color="auto"/>
              <w:left w:val="single" w:sz="4" w:space="0" w:color="auto"/>
              <w:bottom w:val="single" w:sz="4" w:space="0" w:color="auto"/>
              <w:right w:val="single" w:sz="4" w:space="0" w:color="auto"/>
            </w:tcBorders>
            <w:hideMark/>
          </w:tcPr>
          <w:p w14:paraId="24FD4670"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16,500,000</w:t>
            </w:r>
          </w:p>
        </w:tc>
        <w:tc>
          <w:tcPr>
            <w:tcW w:w="1029" w:type="dxa"/>
            <w:tcBorders>
              <w:top w:val="single" w:sz="4" w:space="0" w:color="auto"/>
              <w:left w:val="single" w:sz="4" w:space="0" w:color="auto"/>
              <w:bottom w:val="single" w:sz="4" w:space="0" w:color="auto"/>
              <w:right w:val="single" w:sz="4" w:space="0" w:color="auto"/>
            </w:tcBorders>
            <w:hideMark/>
          </w:tcPr>
          <w:p w14:paraId="2383F57B"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186D36E8" w14:textId="77777777" w:rsidR="00BF5974" w:rsidRDefault="00BF5974">
            <w:pPr>
              <w:autoSpaceDE w:val="0"/>
              <w:autoSpaceDN w:val="0"/>
              <w:adjustRightInd w:val="0"/>
              <w:spacing w:line="256" w:lineRule="auto"/>
              <w:jc w:val="right"/>
              <w:rPr>
                <w:rFonts w:eastAsiaTheme="minorHAnsi" w:cs="Arial"/>
                <w:b/>
                <w:bCs/>
                <w:color w:val="000000"/>
                <w:sz w:val="14"/>
                <w:szCs w:val="14"/>
                <w:lang w:val="es-ES" w:eastAsia="en-US"/>
              </w:rPr>
            </w:pPr>
            <w:r>
              <w:rPr>
                <w:b/>
                <w:bCs/>
                <w:sz w:val="14"/>
                <w:szCs w:val="14"/>
                <w:lang w:val="es-ES" w:eastAsia="en-US"/>
              </w:rPr>
              <w:t>249,372,814</w:t>
            </w:r>
          </w:p>
        </w:tc>
      </w:tr>
      <w:tr w:rsidR="00BF5974" w14:paraId="772CB96D" w14:textId="77777777" w:rsidTr="00BF5974">
        <w:trPr>
          <w:trHeight w:val="20"/>
          <w:jc w:val="center"/>
        </w:trPr>
        <w:tc>
          <w:tcPr>
            <w:tcW w:w="1135" w:type="dxa"/>
            <w:tcBorders>
              <w:top w:val="single" w:sz="4" w:space="0" w:color="auto"/>
              <w:left w:val="single" w:sz="4" w:space="0" w:color="auto"/>
              <w:bottom w:val="single" w:sz="4" w:space="0" w:color="auto"/>
              <w:right w:val="single" w:sz="4" w:space="0" w:color="auto"/>
            </w:tcBorders>
            <w:shd w:val="solid" w:color="FFFFFF" w:fill="auto"/>
            <w:vAlign w:val="center"/>
            <w:hideMark/>
          </w:tcPr>
          <w:p w14:paraId="208B6B42" w14:textId="77777777" w:rsidR="00BF5974" w:rsidRDefault="00BF5974">
            <w:pPr>
              <w:autoSpaceDE w:val="0"/>
              <w:autoSpaceDN w:val="0"/>
              <w:adjustRightInd w:val="0"/>
              <w:spacing w:line="256" w:lineRule="auto"/>
              <w:jc w:val="left"/>
              <w:rPr>
                <w:rFonts w:eastAsiaTheme="minorHAnsi" w:cs="Arial"/>
                <w:color w:val="000000"/>
                <w:sz w:val="14"/>
                <w:szCs w:val="14"/>
                <w:lang w:val="es-ES" w:eastAsia="en-US"/>
              </w:rPr>
            </w:pPr>
            <w:r>
              <w:rPr>
                <w:rFonts w:eastAsiaTheme="minorHAnsi" w:cs="Arial"/>
                <w:color w:val="000000"/>
                <w:sz w:val="14"/>
                <w:szCs w:val="14"/>
                <w:lang w:val="es-ES" w:eastAsia="en-US"/>
              </w:rPr>
              <w:t>Villa de Álvarez</w:t>
            </w:r>
          </w:p>
        </w:tc>
        <w:tc>
          <w:tcPr>
            <w:tcW w:w="1148" w:type="dxa"/>
            <w:tcBorders>
              <w:top w:val="single" w:sz="4" w:space="0" w:color="auto"/>
              <w:left w:val="single" w:sz="4" w:space="0" w:color="auto"/>
              <w:bottom w:val="single" w:sz="4" w:space="0" w:color="auto"/>
              <w:right w:val="single" w:sz="4" w:space="0" w:color="auto"/>
            </w:tcBorders>
            <w:hideMark/>
          </w:tcPr>
          <w:p w14:paraId="1F9E80D5"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159,849,117</w:t>
            </w:r>
          </w:p>
        </w:tc>
        <w:tc>
          <w:tcPr>
            <w:tcW w:w="945" w:type="dxa"/>
            <w:tcBorders>
              <w:top w:val="single" w:sz="4" w:space="0" w:color="auto"/>
              <w:left w:val="single" w:sz="4" w:space="0" w:color="auto"/>
              <w:bottom w:val="single" w:sz="4" w:space="0" w:color="auto"/>
              <w:right w:val="single" w:sz="4" w:space="0" w:color="auto"/>
            </w:tcBorders>
            <w:hideMark/>
          </w:tcPr>
          <w:p w14:paraId="1EC12FE7"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49,456,075</w:t>
            </w:r>
          </w:p>
        </w:tc>
        <w:tc>
          <w:tcPr>
            <w:tcW w:w="865" w:type="dxa"/>
            <w:tcBorders>
              <w:top w:val="single" w:sz="4" w:space="0" w:color="auto"/>
              <w:left w:val="single" w:sz="4" w:space="0" w:color="auto"/>
              <w:bottom w:val="single" w:sz="4" w:space="0" w:color="auto"/>
              <w:right w:val="single" w:sz="4" w:space="0" w:color="auto"/>
            </w:tcBorders>
            <w:hideMark/>
          </w:tcPr>
          <w:p w14:paraId="74577BCE"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8,454,728</w:t>
            </w:r>
          </w:p>
        </w:tc>
        <w:tc>
          <w:tcPr>
            <w:tcW w:w="865" w:type="dxa"/>
            <w:tcBorders>
              <w:top w:val="single" w:sz="4" w:space="0" w:color="auto"/>
              <w:left w:val="single" w:sz="4" w:space="0" w:color="auto"/>
              <w:bottom w:val="single" w:sz="4" w:space="0" w:color="auto"/>
              <w:right w:val="single" w:sz="4" w:space="0" w:color="auto"/>
            </w:tcBorders>
            <w:hideMark/>
          </w:tcPr>
          <w:p w14:paraId="5B358FF3"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4,801,628</w:t>
            </w:r>
          </w:p>
        </w:tc>
        <w:tc>
          <w:tcPr>
            <w:tcW w:w="865" w:type="dxa"/>
            <w:tcBorders>
              <w:top w:val="single" w:sz="4" w:space="0" w:color="auto"/>
              <w:left w:val="single" w:sz="4" w:space="0" w:color="auto"/>
              <w:bottom w:val="single" w:sz="4" w:space="0" w:color="auto"/>
              <w:right w:val="single" w:sz="4" w:space="0" w:color="auto"/>
            </w:tcBorders>
            <w:hideMark/>
          </w:tcPr>
          <w:p w14:paraId="30E0341F"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10,422,443</w:t>
            </w:r>
          </w:p>
        </w:tc>
        <w:tc>
          <w:tcPr>
            <w:tcW w:w="945" w:type="dxa"/>
            <w:tcBorders>
              <w:top w:val="single" w:sz="4" w:space="0" w:color="auto"/>
              <w:left w:val="single" w:sz="4" w:space="0" w:color="auto"/>
              <w:bottom w:val="single" w:sz="4" w:space="0" w:color="auto"/>
              <w:right w:val="single" w:sz="4" w:space="0" w:color="auto"/>
            </w:tcBorders>
            <w:hideMark/>
          </w:tcPr>
          <w:p w14:paraId="243C50BF"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21,600,000</w:t>
            </w:r>
          </w:p>
        </w:tc>
        <w:tc>
          <w:tcPr>
            <w:tcW w:w="1029" w:type="dxa"/>
            <w:tcBorders>
              <w:top w:val="single" w:sz="4" w:space="0" w:color="auto"/>
              <w:left w:val="single" w:sz="4" w:space="0" w:color="auto"/>
              <w:bottom w:val="single" w:sz="4" w:space="0" w:color="auto"/>
              <w:right w:val="single" w:sz="4" w:space="0" w:color="auto"/>
            </w:tcBorders>
            <w:hideMark/>
          </w:tcPr>
          <w:p w14:paraId="38F26DCE" w14:textId="77777777" w:rsidR="00BF5974" w:rsidRDefault="00BF5974">
            <w:pPr>
              <w:autoSpaceDE w:val="0"/>
              <w:autoSpaceDN w:val="0"/>
              <w:adjustRightInd w:val="0"/>
              <w:spacing w:line="256" w:lineRule="auto"/>
              <w:jc w:val="right"/>
              <w:rPr>
                <w:rFonts w:eastAsiaTheme="minorHAnsi" w:cs="Arial"/>
                <w:color w:val="000000"/>
                <w:sz w:val="14"/>
                <w:szCs w:val="14"/>
                <w:lang w:val="es-ES" w:eastAsia="en-US"/>
              </w:rPr>
            </w:pPr>
            <w:r>
              <w:rPr>
                <w:sz w:val="14"/>
                <w:szCs w:val="14"/>
                <w:lang w:val="es-ES"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476B3713" w14:textId="77777777" w:rsidR="00BF5974" w:rsidRDefault="00BF5974">
            <w:pPr>
              <w:autoSpaceDE w:val="0"/>
              <w:autoSpaceDN w:val="0"/>
              <w:adjustRightInd w:val="0"/>
              <w:spacing w:line="256" w:lineRule="auto"/>
              <w:jc w:val="right"/>
              <w:rPr>
                <w:rFonts w:eastAsiaTheme="minorHAnsi" w:cs="Arial"/>
                <w:b/>
                <w:bCs/>
                <w:color w:val="000000"/>
                <w:sz w:val="14"/>
                <w:szCs w:val="14"/>
                <w:lang w:val="es-ES" w:eastAsia="en-US"/>
              </w:rPr>
            </w:pPr>
            <w:r>
              <w:rPr>
                <w:b/>
                <w:bCs/>
                <w:sz w:val="14"/>
                <w:szCs w:val="14"/>
                <w:lang w:val="es-ES" w:eastAsia="en-US"/>
              </w:rPr>
              <w:t>254,583,991</w:t>
            </w:r>
          </w:p>
        </w:tc>
      </w:tr>
      <w:tr w:rsidR="00BF5974" w14:paraId="2F2BC0D5" w14:textId="77777777" w:rsidTr="00BF5974">
        <w:trPr>
          <w:trHeight w:val="20"/>
          <w:jc w:val="center"/>
        </w:trPr>
        <w:tc>
          <w:tcPr>
            <w:tcW w:w="1135" w:type="dxa"/>
            <w:tcBorders>
              <w:top w:val="single" w:sz="4" w:space="0" w:color="auto"/>
              <w:left w:val="single" w:sz="4" w:space="0" w:color="auto"/>
              <w:bottom w:val="single" w:sz="4" w:space="0" w:color="auto"/>
              <w:right w:val="single" w:sz="4" w:space="0" w:color="auto"/>
            </w:tcBorders>
            <w:shd w:val="solid" w:color="FFFFFF" w:fill="auto"/>
            <w:vAlign w:val="center"/>
            <w:hideMark/>
          </w:tcPr>
          <w:p w14:paraId="09D28F86" w14:textId="77777777" w:rsidR="00BF5974" w:rsidRDefault="00BF5974">
            <w:pPr>
              <w:autoSpaceDE w:val="0"/>
              <w:autoSpaceDN w:val="0"/>
              <w:adjustRightInd w:val="0"/>
              <w:spacing w:line="256" w:lineRule="auto"/>
              <w:jc w:val="left"/>
              <w:rPr>
                <w:rFonts w:eastAsiaTheme="minorHAnsi" w:cs="Arial"/>
                <w:b/>
                <w:bCs/>
                <w:color w:val="000000"/>
                <w:sz w:val="14"/>
                <w:szCs w:val="14"/>
                <w:lang w:val="es-ES" w:eastAsia="en-US"/>
              </w:rPr>
            </w:pPr>
            <w:r>
              <w:rPr>
                <w:rFonts w:eastAsiaTheme="minorHAnsi" w:cs="Arial"/>
                <w:b/>
                <w:bCs/>
                <w:color w:val="000000"/>
                <w:sz w:val="14"/>
                <w:szCs w:val="14"/>
                <w:lang w:val="es-ES" w:eastAsia="en-US"/>
              </w:rPr>
              <w:t>Sumas Totales</w:t>
            </w:r>
          </w:p>
        </w:tc>
        <w:tc>
          <w:tcPr>
            <w:tcW w:w="1148" w:type="dxa"/>
            <w:tcBorders>
              <w:top w:val="single" w:sz="4" w:space="0" w:color="auto"/>
              <w:left w:val="single" w:sz="4" w:space="0" w:color="auto"/>
              <w:bottom w:val="single" w:sz="4" w:space="0" w:color="auto"/>
              <w:right w:val="single" w:sz="4" w:space="0" w:color="auto"/>
            </w:tcBorders>
            <w:hideMark/>
          </w:tcPr>
          <w:p w14:paraId="6DD8C425" w14:textId="77777777" w:rsidR="00BF5974" w:rsidRDefault="00BF5974">
            <w:pPr>
              <w:spacing w:line="256" w:lineRule="auto"/>
              <w:jc w:val="right"/>
              <w:rPr>
                <w:rFonts w:eastAsia="Times New Roman" w:cs="Arial"/>
                <w:b/>
                <w:bCs/>
                <w:sz w:val="14"/>
                <w:szCs w:val="14"/>
                <w:lang w:val="es-ES" w:eastAsia="en-US"/>
              </w:rPr>
            </w:pPr>
            <w:r>
              <w:rPr>
                <w:b/>
                <w:bCs/>
                <w:sz w:val="14"/>
                <w:szCs w:val="14"/>
                <w:lang w:val="es-ES" w:eastAsia="en-US"/>
              </w:rPr>
              <w:t>1,201,913,008</w:t>
            </w:r>
          </w:p>
        </w:tc>
        <w:tc>
          <w:tcPr>
            <w:tcW w:w="945" w:type="dxa"/>
            <w:tcBorders>
              <w:top w:val="single" w:sz="4" w:space="0" w:color="auto"/>
              <w:left w:val="single" w:sz="4" w:space="0" w:color="auto"/>
              <w:bottom w:val="single" w:sz="4" w:space="0" w:color="auto"/>
              <w:right w:val="single" w:sz="4" w:space="0" w:color="auto"/>
            </w:tcBorders>
            <w:hideMark/>
          </w:tcPr>
          <w:p w14:paraId="2FE9AFAF" w14:textId="77777777" w:rsidR="00BF5974" w:rsidRDefault="00BF5974">
            <w:pPr>
              <w:autoSpaceDE w:val="0"/>
              <w:autoSpaceDN w:val="0"/>
              <w:adjustRightInd w:val="0"/>
              <w:spacing w:line="256" w:lineRule="auto"/>
              <w:jc w:val="right"/>
              <w:rPr>
                <w:rFonts w:eastAsiaTheme="minorHAnsi" w:cs="Arial"/>
                <w:b/>
                <w:bCs/>
                <w:color w:val="000000"/>
                <w:sz w:val="14"/>
                <w:szCs w:val="14"/>
                <w:lang w:val="es-ES" w:eastAsia="en-US"/>
              </w:rPr>
            </w:pPr>
            <w:r>
              <w:rPr>
                <w:b/>
                <w:bCs/>
                <w:sz w:val="14"/>
                <w:szCs w:val="14"/>
                <w:lang w:val="es-ES" w:eastAsia="en-US"/>
              </w:rPr>
              <w:t>380,010,350</w:t>
            </w:r>
          </w:p>
        </w:tc>
        <w:tc>
          <w:tcPr>
            <w:tcW w:w="865" w:type="dxa"/>
            <w:tcBorders>
              <w:top w:val="single" w:sz="4" w:space="0" w:color="auto"/>
              <w:left w:val="single" w:sz="4" w:space="0" w:color="auto"/>
              <w:bottom w:val="single" w:sz="4" w:space="0" w:color="auto"/>
              <w:right w:val="single" w:sz="4" w:space="0" w:color="auto"/>
            </w:tcBorders>
            <w:hideMark/>
          </w:tcPr>
          <w:p w14:paraId="3305AA50" w14:textId="77777777" w:rsidR="00BF5974" w:rsidRDefault="00BF5974">
            <w:pPr>
              <w:autoSpaceDE w:val="0"/>
              <w:autoSpaceDN w:val="0"/>
              <w:adjustRightInd w:val="0"/>
              <w:spacing w:line="256" w:lineRule="auto"/>
              <w:jc w:val="right"/>
              <w:rPr>
                <w:rFonts w:eastAsiaTheme="minorHAnsi" w:cs="Arial"/>
                <w:b/>
                <w:bCs/>
                <w:color w:val="000000"/>
                <w:sz w:val="14"/>
                <w:szCs w:val="14"/>
                <w:lang w:val="es-ES" w:eastAsia="en-US"/>
              </w:rPr>
            </w:pPr>
            <w:r>
              <w:rPr>
                <w:b/>
                <w:bCs/>
                <w:sz w:val="14"/>
                <w:szCs w:val="14"/>
                <w:lang w:val="es-ES" w:eastAsia="en-US"/>
              </w:rPr>
              <w:t>61,374,353</w:t>
            </w:r>
          </w:p>
        </w:tc>
        <w:tc>
          <w:tcPr>
            <w:tcW w:w="865" w:type="dxa"/>
            <w:tcBorders>
              <w:top w:val="single" w:sz="4" w:space="0" w:color="auto"/>
              <w:left w:val="single" w:sz="4" w:space="0" w:color="auto"/>
              <w:bottom w:val="single" w:sz="4" w:space="0" w:color="auto"/>
              <w:right w:val="single" w:sz="4" w:space="0" w:color="auto"/>
            </w:tcBorders>
            <w:hideMark/>
          </w:tcPr>
          <w:p w14:paraId="7B637B74" w14:textId="77777777" w:rsidR="00BF5974" w:rsidRDefault="00BF5974">
            <w:pPr>
              <w:autoSpaceDE w:val="0"/>
              <w:autoSpaceDN w:val="0"/>
              <w:adjustRightInd w:val="0"/>
              <w:spacing w:line="256" w:lineRule="auto"/>
              <w:jc w:val="right"/>
              <w:rPr>
                <w:rFonts w:eastAsiaTheme="minorHAnsi" w:cs="Arial"/>
                <w:b/>
                <w:bCs/>
                <w:color w:val="000000"/>
                <w:sz w:val="14"/>
                <w:szCs w:val="14"/>
                <w:lang w:val="es-ES" w:eastAsia="en-US"/>
              </w:rPr>
            </w:pPr>
            <w:r>
              <w:rPr>
                <w:b/>
                <w:bCs/>
                <w:sz w:val="14"/>
                <w:szCs w:val="14"/>
                <w:lang w:val="es-ES" w:eastAsia="en-US"/>
              </w:rPr>
              <w:t>34,166,711</w:t>
            </w:r>
          </w:p>
        </w:tc>
        <w:tc>
          <w:tcPr>
            <w:tcW w:w="865" w:type="dxa"/>
            <w:tcBorders>
              <w:top w:val="single" w:sz="4" w:space="0" w:color="auto"/>
              <w:left w:val="single" w:sz="4" w:space="0" w:color="auto"/>
              <w:bottom w:val="single" w:sz="4" w:space="0" w:color="auto"/>
              <w:right w:val="single" w:sz="4" w:space="0" w:color="auto"/>
            </w:tcBorders>
            <w:hideMark/>
          </w:tcPr>
          <w:p w14:paraId="3283FA6B" w14:textId="77777777" w:rsidR="00BF5974" w:rsidRDefault="00BF5974">
            <w:pPr>
              <w:autoSpaceDE w:val="0"/>
              <w:autoSpaceDN w:val="0"/>
              <w:adjustRightInd w:val="0"/>
              <w:spacing w:line="256" w:lineRule="auto"/>
              <w:jc w:val="right"/>
              <w:rPr>
                <w:rFonts w:eastAsiaTheme="minorHAnsi" w:cs="Arial"/>
                <w:b/>
                <w:bCs/>
                <w:color w:val="000000"/>
                <w:sz w:val="14"/>
                <w:szCs w:val="14"/>
                <w:lang w:val="es-ES" w:eastAsia="en-US"/>
              </w:rPr>
            </w:pPr>
            <w:r>
              <w:rPr>
                <w:b/>
                <w:bCs/>
                <w:sz w:val="14"/>
                <w:szCs w:val="14"/>
                <w:lang w:val="es-ES" w:eastAsia="en-US"/>
              </w:rPr>
              <w:t>65,272,199</w:t>
            </w:r>
          </w:p>
        </w:tc>
        <w:tc>
          <w:tcPr>
            <w:tcW w:w="945" w:type="dxa"/>
            <w:tcBorders>
              <w:top w:val="single" w:sz="4" w:space="0" w:color="auto"/>
              <w:left w:val="single" w:sz="4" w:space="0" w:color="auto"/>
              <w:bottom w:val="single" w:sz="4" w:space="0" w:color="auto"/>
              <w:right w:val="single" w:sz="4" w:space="0" w:color="auto"/>
            </w:tcBorders>
            <w:hideMark/>
          </w:tcPr>
          <w:p w14:paraId="0C2A964B" w14:textId="77777777" w:rsidR="00BF5974" w:rsidRDefault="00BF5974">
            <w:pPr>
              <w:autoSpaceDE w:val="0"/>
              <w:autoSpaceDN w:val="0"/>
              <w:adjustRightInd w:val="0"/>
              <w:spacing w:line="256" w:lineRule="auto"/>
              <w:jc w:val="right"/>
              <w:rPr>
                <w:rFonts w:eastAsiaTheme="minorHAnsi" w:cs="Arial"/>
                <w:b/>
                <w:bCs/>
                <w:color w:val="000000"/>
                <w:sz w:val="14"/>
                <w:szCs w:val="14"/>
                <w:lang w:val="es-ES" w:eastAsia="en-US"/>
              </w:rPr>
            </w:pPr>
            <w:r>
              <w:rPr>
                <w:b/>
                <w:bCs/>
                <w:sz w:val="14"/>
                <w:szCs w:val="14"/>
                <w:lang w:val="es-ES" w:eastAsia="en-US"/>
              </w:rPr>
              <w:t>172,338,972</w:t>
            </w:r>
          </w:p>
        </w:tc>
        <w:tc>
          <w:tcPr>
            <w:tcW w:w="1029" w:type="dxa"/>
            <w:tcBorders>
              <w:top w:val="single" w:sz="4" w:space="0" w:color="auto"/>
              <w:left w:val="single" w:sz="4" w:space="0" w:color="auto"/>
              <w:bottom w:val="single" w:sz="4" w:space="0" w:color="auto"/>
              <w:right w:val="single" w:sz="4" w:space="0" w:color="auto"/>
            </w:tcBorders>
            <w:hideMark/>
          </w:tcPr>
          <w:p w14:paraId="58D4704B" w14:textId="77777777" w:rsidR="00BF5974" w:rsidRDefault="00BF5974">
            <w:pPr>
              <w:autoSpaceDE w:val="0"/>
              <w:autoSpaceDN w:val="0"/>
              <w:adjustRightInd w:val="0"/>
              <w:spacing w:line="256" w:lineRule="auto"/>
              <w:jc w:val="right"/>
              <w:rPr>
                <w:rFonts w:eastAsiaTheme="minorHAnsi" w:cs="Arial"/>
                <w:b/>
                <w:bCs/>
                <w:color w:val="000000"/>
                <w:sz w:val="14"/>
                <w:szCs w:val="14"/>
                <w:lang w:val="es-ES" w:eastAsia="en-US"/>
              </w:rPr>
            </w:pPr>
            <w:r>
              <w:rPr>
                <w:b/>
                <w:bCs/>
                <w:sz w:val="14"/>
                <w:szCs w:val="14"/>
                <w:lang w:val="es-ES" w:eastAsia="en-US"/>
              </w:rPr>
              <w:t>211,392,756</w:t>
            </w:r>
          </w:p>
        </w:tc>
        <w:tc>
          <w:tcPr>
            <w:tcW w:w="1134" w:type="dxa"/>
            <w:tcBorders>
              <w:top w:val="single" w:sz="4" w:space="0" w:color="auto"/>
              <w:left w:val="single" w:sz="4" w:space="0" w:color="auto"/>
              <w:bottom w:val="single" w:sz="4" w:space="0" w:color="auto"/>
              <w:right w:val="single" w:sz="4" w:space="0" w:color="auto"/>
            </w:tcBorders>
            <w:hideMark/>
          </w:tcPr>
          <w:p w14:paraId="68E4DE29" w14:textId="77777777" w:rsidR="00BF5974" w:rsidRDefault="00BF5974">
            <w:pPr>
              <w:autoSpaceDE w:val="0"/>
              <w:autoSpaceDN w:val="0"/>
              <w:adjustRightInd w:val="0"/>
              <w:spacing w:line="256" w:lineRule="auto"/>
              <w:jc w:val="right"/>
              <w:rPr>
                <w:rFonts w:eastAsiaTheme="minorHAnsi" w:cs="Arial"/>
                <w:b/>
                <w:bCs/>
                <w:color w:val="000000"/>
                <w:sz w:val="14"/>
                <w:szCs w:val="14"/>
                <w:lang w:val="es-ES" w:eastAsia="en-US"/>
              </w:rPr>
            </w:pPr>
            <w:r>
              <w:rPr>
                <w:b/>
                <w:bCs/>
                <w:sz w:val="14"/>
                <w:szCs w:val="14"/>
                <w:lang w:val="es-ES" w:eastAsia="en-US"/>
              </w:rPr>
              <w:t>2,126,468,349</w:t>
            </w:r>
          </w:p>
        </w:tc>
      </w:tr>
    </w:tbl>
    <w:p w14:paraId="3C918179" w14:textId="77777777" w:rsidR="00BF5974" w:rsidRDefault="00BF5974" w:rsidP="00BF5974">
      <w:pPr>
        <w:shd w:val="clear" w:color="auto" w:fill="FFFFFF"/>
        <w:ind w:left="142"/>
        <w:contextualSpacing/>
        <w:rPr>
          <w:rFonts w:eastAsia="Times New Roman" w:cs="Arial"/>
          <w:sz w:val="18"/>
          <w:lang w:val="es-ES" w:eastAsia="es-ES"/>
        </w:rPr>
      </w:pPr>
      <w:r>
        <w:rPr>
          <w:rFonts w:eastAsia="Times New Roman" w:cs="Arial"/>
          <w:b/>
          <w:sz w:val="18"/>
          <w:lang w:val="es-ES" w:eastAsia="es-ES"/>
        </w:rPr>
        <w:t>Nota</w:t>
      </w:r>
      <w:r>
        <w:rPr>
          <w:rFonts w:eastAsia="Times New Roman" w:cs="Arial"/>
          <w:sz w:val="18"/>
          <w:lang w:val="es-ES" w:eastAsia="es-ES"/>
        </w:rPr>
        <w:t>: La suma total podría no coincidir debido al redondeo</w:t>
      </w:r>
    </w:p>
    <w:p w14:paraId="3520CD7C" w14:textId="77777777" w:rsidR="00BF5974" w:rsidRDefault="00BF5974" w:rsidP="00BF5974">
      <w:pPr>
        <w:shd w:val="clear" w:color="auto" w:fill="FFFFFF"/>
        <w:ind w:left="426" w:hanging="426"/>
        <w:contextualSpacing/>
        <w:rPr>
          <w:rFonts w:eastAsia="Times New Roman" w:cs="Arial"/>
          <w:lang w:val="es-ES" w:eastAsia="es-ES"/>
        </w:rPr>
      </w:pPr>
    </w:p>
    <w:p w14:paraId="4677CF4F" w14:textId="77777777" w:rsidR="00BF5974" w:rsidRDefault="00BF5974" w:rsidP="00BF5974">
      <w:pPr>
        <w:shd w:val="clear" w:color="auto" w:fill="FFFFFF"/>
        <w:ind w:left="426" w:hanging="426"/>
        <w:contextualSpacing/>
        <w:rPr>
          <w:rFonts w:eastAsia="Times New Roman" w:cs="Arial"/>
          <w:lang w:val="es-ES" w:eastAsia="es-ES"/>
        </w:rPr>
      </w:pPr>
      <w:r>
        <w:rPr>
          <w:rFonts w:eastAsia="Times New Roman" w:cs="Arial"/>
          <w:lang w:val="es-ES" w:eastAsia="es-ES"/>
        </w:rPr>
        <w:t>II.</w:t>
      </w:r>
      <w:r>
        <w:rPr>
          <w:rFonts w:eastAsia="Times New Roman" w:cs="Arial"/>
          <w:lang w:val="es-ES" w:eastAsia="es-ES"/>
        </w:rPr>
        <w:tab/>
        <w:t>Los recursos federales por concepto Incentivos derivados de la Colaboración Fiscal con la Federación, presentan la siguiente estimación:</w:t>
      </w:r>
    </w:p>
    <w:p w14:paraId="7D58EB8D" w14:textId="77777777" w:rsidR="00BF5974" w:rsidRDefault="00BF5974" w:rsidP="00BF5974">
      <w:pPr>
        <w:keepNext/>
        <w:keepLines/>
        <w:outlineLvl w:val="1"/>
        <w:rPr>
          <w:rFonts w:eastAsiaTheme="majorEastAsia" w:cs="Arial"/>
          <w:b/>
          <w:sz w:val="16"/>
          <w:szCs w:val="16"/>
          <w:lang w:val="es-ES"/>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71"/>
        <w:gridCol w:w="1276"/>
      </w:tblGrid>
      <w:tr w:rsidR="00BF5974" w14:paraId="6E005899" w14:textId="77777777" w:rsidTr="00BF5974">
        <w:trPr>
          <w:trHeight w:val="20"/>
          <w:tblHeader/>
          <w:jc w:val="center"/>
        </w:trPr>
        <w:tc>
          <w:tcPr>
            <w:tcW w:w="8647" w:type="dxa"/>
            <w:gridSpan w:val="2"/>
            <w:tcBorders>
              <w:top w:val="nil"/>
              <w:left w:val="nil"/>
              <w:bottom w:val="single" w:sz="4" w:space="0" w:color="auto"/>
              <w:right w:val="nil"/>
            </w:tcBorders>
            <w:noWrap/>
            <w:vAlign w:val="center"/>
            <w:hideMark/>
          </w:tcPr>
          <w:p w14:paraId="575188F7" w14:textId="77777777" w:rsidR="00BF5974" w:rsidRDefault="00BF5974">
            <w:pPr>
              <w:spacing w:line="256" w:lineRule="auto"/>
              <w:jc w:val="center"/>
              <w:rPr>
                <w:rFonts w:eastAsia="Times New Roman" w:cs="Arial"/>
                <w:b/>
                <w:bCs/>
                <w:sz w:val="20"/>
                <w:lang w:val="es-ES" w:eastAsia="en-US"/>
              </w:rPr>
            </w:pPr>
            <w:bookmarkStart w:id="246" w:name="_Toc526757518"/>
            <w:bookmarkStart w:id="247" w:name="_Toc522869299"/>
            <w:bookmarkStart w:id="248" w:name="_Toc22983227"/>
            <w:bookmarkStart w:id="249" w:name="_Toc22021979"/>
            <w:r>
              <w:rPr>
                <w:rFonts w:eastAsia="Times New Roman" w:cs="Arial"/>
                <w:b/>
                <w:sz w:val="20"/>
                <w:lang w:val="es-ES" w:eastAsia="en-US"/>
              </w:rPr>
              <w:t xml:space="preserve">Tabla 52. </w:t>
            </w:r>
            <w:bookmarkEnd w:id="246"/>
            <w:bookmarkEnd w:id="247"/>
            <w:r>
              <w:rPr>
                <w:rFonts w:eastAsia="Times New Roman" w:cs="Arial"/>
                <w:b/>
                <w:sz w:val="20"/>
                <w:lang w:val="es-ES" w:eastAsia="en-US"/>
              </w:rPr>
              <w:t>Incentivos Derivados de la Colaboración Fiscal con la Federación</w:t>
            </w:r>
            <w:bookmarkEnd w:id="248"/>
            <w:bookmarkEnd w:id="249"/>
          </w:p>
        </w:tc>
      </w:tr>
      <w:tr w:rsidR="00BF5974" w14:paraId="27963AF5" w14:textId="77777777" w:rsidTr="00BF5974">
        <w:trPr>
          <w:trHeight w:val="20"/>
          <w:tblHeader/>
          <w:jc w:val="center"/>
        </w:trPr>
        <w:tc>
          <w:tcPr>
            <w:tcW w:w="7371" w:type="dxa"/>
            <w:tcBorders>
              <w:top w:val="single" w:sz="4" w:space="0" w:color="auto"/>
              <w:left w:val="single" w:sz="4" w:space="0" w:color="auto"/>
              <w:bottom w:val="single" w:sz="4" w:space="0" w:color="auto"/>
              <w:right w:val="single" w:sz="4" w:space="0" w:color="auto"/>
            </w:tcBorders>
            <w:noWrap/>
            <w:vAlign w:val="center"/>
            <w:hideMark/>
          </w:tcPr>
          <w:p w14:paraId="1E53E2DD" w14:textId="77777777" w:rsidR="00BF5974" w:rsidRDefault="00BF5974">
            <w:pPr>
              <w:spacing w:line="256" w:lineRule="auto"/>
              <w:jc w:val="center"/>
              <w:rPr>
                <w:rFonts w:eastAsia="Times New Roman" w:cs="Arial"/>
                <w:b/>
                <w:bCs/>
                <w:sz w:val="18"/>
                <w:lang w:val="es-ES" w:eastAsia="en-US"/>
              </w:rPr>
            </w:pPr>
            <w:r>
              <w:rPr>
                <w:rFonts w:eastAsia="Times New Roman" w:cs="Arial"/>
                <w:b/>
                <w:bCs/>
                <w:sz w:val="18"/>
                <w:lang w:val="es-ES" w:eastAsia="en-US"/>
              </w:rPr>
              <w:t>Concepto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3306BD" w14:textId="77777777" w:rsidR="00BF5974" w:rsidRDefault="00BF5974">
            <w:pPr>
              <w:spacing w:line="256" w:lineRule="auto"/>
              <w:jc w:val="center"/>
              <w:rPr>
                <w:rFonts w:eastAsia="Times New Roman" w:cs="Arial"/>
                <w:b/>
                <w:bCs/>
                <w:sz w:val="18"/>
                <w:lang w:val="es-ES" w:eastAsia="en-US"/>
              </w:rPr>
            </w:pPr>
            <w:r>
              <w:rPr>
                <w:rFonts w:eastAsia="Times New Roman" w:cs="Arial"/>
                <w:b/>
                <w:bCs/>
                <w:sz w:val="18"/>
                <w:lang w:val="es-ES" w:eastAsia="en-US"/>
              </w:rPr>
              <w:t>Asignación Presupuestal</w:t>
            </w:r>
          </w:p>
        </w:tc>
      </w:tr>
      <w:tr w:rsidR="00BF5974" w14:paraId="3DD11ABC" w14:textId="77777777" w:rsidTr="00BF5974">
        <w:trPr>
          <w:trHeight w:val="20"/>
          <w:jc w:val="center"/>
        </w:trPr>
        <w:tc>
          <w:tcPr>
            <w:tcW w:w="7371" w:type="dxa"/>
            <w:tcBorders>
              <w:top w:val="single" w:sz="4" w:space="0" w:color="auto"/>
              <w:left w:val="single" w:sz="4" w:space="0" w:color="auto"/>
              <w:bottom w:val="single" w:sz="4" w:space="0" w:color="auto"/>
              <w:right w:val="single" w:sz="4" w:space="0" w:color="auto"/>
            </w:tcBorders>
            <w:noWrap/>
            <w:vAlign w:val="center"/>
            <w:hideMark/>
          </w:tcPr>
          <w:p w14:paraId="4960889E" w14:textId="77777777" w:rsidR="00BF5974" w:rsidRDefault="00BF5974">
            <w:pPr>
              <w:spacing w:line="256" w:lineRule="auto"/>
              <w:rPr>
                <w:rFonts w:eastAsia="Times New Roman" w:cs="Arial"/>
                <w:sz w:val="18"/>
                <w:lang w:val="es-ES" w:eastAsia="en-US"/>
              </w:rPr>
            </w:pPr>
            <w:r>
              <w:rPr>
                <w:rFonts w:eastAsia="Times New Roman" w:cs="Arial"/>
                <w:sz w:val="18"/>
                <w:lang w:val="es-ES" w:eastAsia="en-US"/>
              </w:rPr>
              <w:t>Fondo de Compensación del Impuesto Sobre Automóviles Nuevos (</w:t>
            </w:r>
            <w:r>
              <w:rPr>
                <w:rFonts w:eastAsia="Times New Roman" w:cs="Arial"/>
                <w:b/>
                <w:sz w:val="18"/>
                <w:lang w:val="es-ES" w:eastAsia="en-US"/>
              </w:rPr>
              <w:t>FDO. COMP. ISAN</w:t>
            </w:r>
            <w:r>
              <w:rPr>
                <w:rFonts w:eastAsia="Times New Roman" w:cs="Arial"/>
                <w:sz w:val="18"/>
                <w:lang w:val="es-ES" w:eastAsia="en-US"/>
              </w:rPr>
              <w:t>).</w:t>
            </w:r>
          </w:p>
        </w:tc>
        <w:tc>
          <w:tcPr>
            <w:tcW w:w="1276" w:type="dxa"/>
            <w:tcBorders>
              <w:top w:val="single" w:sz="4" w:space="0" w:color="auto"/>
              <w:left w:val="single" w:sz="4" w:space="0" w:color="auto"/>
              <w:bottom w:val="single" w:sz="4" w:space="0" w:color="auto"/>
              <w:right w:val="single" w:sz="4" w:space="0" w:color="auto"/>
            </w:tcBorders>
            <w:hideMark/>
          </w:tcPr>
          <w:p w14:paraId="1765F768" w14:textId="77777777" w:rsidR="00BF5974" w:rsidRDefault="00BF5974">
            <w:pPr>
              <w:spacing w:line="256" w:lineRule="auto"/>
              <w:jc w:val="right"/>
              <w:rPr>
                <w:rFonts w:eastAsia="Times New Roman" w:cs="Arial"/>
                <w:sz w:val="18"/>
                <w:szCs w:val="18"/>
                <w:lang w:val="es-ES" w:eastAsia="en-US"/>
              </w:rPr>
            </w:pPr>
            <w:r>
              <w:rPr>
                <w:sz w:val="18"/>
                <w:szCs w:val="18"/>
                <w:lang w:val="es-ES" w:eastAsia="en-US"/>
              </w:rPr>
              <w:t>4,147,352</w:t>
            </w:r>
          </w:p>
        </w:tc>
      </w:tr>
      <w:tr w:rsidR="00BF5974" w14:paraId="4E69DDB8" w14:textId="77777777" w:rsidTr="00BF5974">
        <w:trPr>
          <w:trHeight w:val="20"/>
          <w:jc w:val="center"/>
        </w:trPr>
        <w:tc>
          <w:tcPr>
            <w:tcW w:w="7371" w:type="dxa"/>
            <w:tcBorders>
              <w:top w:val="single" w:sz="4" w:space="0" w:color="auto"/>
              <w:left w:val="single" w:sz="4" w:space="0" w:color="auto"/>
              <w:bottom w:val="single" w:sz="4" w:space="0" w:color="auto"/>
              <w:right w:val="single" w:sz="4" w:space="0" w:color="auto"/>
            </w:tcBorders>
            <w:noWrap/>
            <w:vAlign w:val="center"/>
            <w:hideMark/>
          </w:tcPr>
          <w:p w14:paraId="19FB82DA" w14:textId="77777777" w:rsidR="00BF5974" w:rsidRDefault="00BF5974">
            <w:pPr>
              <w:spacing w:line="256" w:lineRule="auto"/>
              <w:rPr>
                <w:rFonts w:eastAsia="Times New Roman" w:cs="Arial"/>
                <w:sz w:val="18"/>
                <w:lang w:val="es-ES" w:eastAsia="en-US"/>
              </w:rPr>
            </w:pPr>
            <w:r>
              <w:rPr>
                <w:rFonts w:eastAsia="Times New Roman" w:cs="Arial"/>
                <w:sz w:val="18"/>
                <w:lang w:val="es-ES" w:eastAsia="en-US"/>
              </w:rPr>
              <w:t>Impuesto Sobre Automóviles Nuevos (</w:t>
            </w:r>
            <w:r>
              <w:rPr>
                <w:rFonts w:eastAsia="Times New Roman" w:cs="Arial"/>
                <w:b/>
                <w:sz w:val="18"/>
                <w:lang w:val="es-ES" w:eastAsia="en-US"/>
              </w:rPr>
              <w:t>Incentivo ISAN</w:t>
            </w:r>
            <w:r>
              <w:rPr>
                <w:rFonts w:eastAsia="Times New Roman" w:cs="Arial"/>
                <w:sz w:val="18"/>
                <w:lang w:val="es-ES" w:eastAsia="en-US"/>
              </w:rPr>
              <w:t>).</w:t>
            </w:r>
          </w:p>
        </w:tc>
        <w:tc>
          <w:tcPr>
            <w:tcW w:w="1276" w:type="dxa"/>
            <w:tcBorders>
              <w:top w:val="single" w:sz="4" w:space="0" w:color="auto"/>
              <w:left w:val="single" w:sz="4" w:space="0" w:color="auto"/>
              <w:bottom w:val="single" w:sz="4" w:space="0" w:color="auto"/>
              <w:right w:val="single" w:sz="4" w:space="0" w:color="auto"/>
            </w:tcBorders>
            <w:hideMark/>
          </w:tcPr>
          <w:p w14:paraId="60D7B5E4" w14:textId="77777777" w:rsidR="00BF5974" w:rsidRDefault="00BF5974">
            <w:pPr>
              <w:spacing w:line="256" w:lineRule="auto"/>
              <w:jc w:val="right"/>
              <w:rPr>
                <w:rFonts w:eastAsia="Times New Roman" w:cs="Arial"/>
                <w:sz w:val="18"/>
                <w:szCs w:val="18"/>
                <w:lang w:val="es-ES" w:eastAsia="en-US"/>
              </w:rPr>
            </w:pPr>
            <w:r>
              <w:rPr>
                <w:sz w:val="18"/>
                <w:szCs w:val="18"/>
                <w:lang w:val="es-ES" w:eastAsia="en-US"/>
              </w:rPr>
              <w:t>25,281,475</w:t>
            </w:r>
          </w:p>
        </w:tc>
      </w:tr>
      <w:tr w:rsidR="00BF5974" w14:paraId="134D4108" w14:textId="77777777" w:rsidTr="00BF5974">
        <w:trPr>
          <w:trHeight w:val="20"/>
          <w:jc w:val="center"/>
        </w:trPr>
        <w:tc>
          <w:tcPr>
            <w:tcW w:w="7371" w:type="dxa"/>
            <w:tcBorders>
              <w:top w:val="single" w:sz="4" w:space="0" w:color="auto"/>
              <w:left w:val="single" w:sz="4" w:space="0" w:color="auto"/>
              <w:bottom w:val="single" w:sz="4" w:space="0" w:color="auto"/>
              <w:right w:val="single" w:sz="4" w:space="0" w:color="auto"/>
            </w:tcBorders>
            <w:noWrap/>
            <w:vAlign w:val="center"/>
            <w:hideMark/>
          </w:tcPr>
          <w:p w14:paraId="4E6BB947" w14:textId="77777777" w:rsidR="00BF5974" w:rsidRDefault="00BF5974">
            <w:pPr>
              <w:spacing w:line="256" w:lineRule="auto"/>
              <w:rPr>
                <w:rFonts w:eastAsia="Times New Roman" w:cs="Arial"/>
                <w:sz w:val="18"/>
                <w:lang w:val="es-ES" w:eastAsia="en-US"/>
              </w:rPr>
            </w:pPr>
            <w:r>
              <w:rPr>
                <w:rFonts w:cs="Arial"/>
                <w:sz w:val="18"/>
                <w:lang w:val="es-ES" w:eastAsia="en-US"/>
              </w:rPr>
              <w:t>ISR Enajenación de Bienes Inmuebles (</w:t>
            </w:r>
            <w:r>
              <w:rPr>
                <w:rFonts w:cs="Arial"/>
                <w:b/>
                <w:sz w:val="18"/>
                <w:lang w:val="es-ES" w:eastAsia="en-US"/>
              </w:rPr>
              <w:t>ISR. E.B.I.</w:t>
            </w:r>
            <w:r>
              <w:rPr>
                <w:rFonts w:cs="Arial"/>
                <w:sz w:val="18"/>
                <w:lang w:val="es-ES" w:eastAsia="en-US"/>
              </w:rPr>
              <w:t>).</w:t>
            </w:r>
          </w:p>
        </w:tc>
        <w:tc>
          <w:tcPr>
            <w:tcW w:w="1276" w:type="dxa"/>
            <w:tcBorders>
              <w:top w:val="single" w:sz="4" w:space="0" w:color="auto"/>
              <w:left w:val="single" w:sz="4" w:space="0" w:color="auto"/>
              <w:bottom w:val="single" w:sz="4" w:space="0" w:color="auto"/>
              <w:right w:val="single" w:sz="4" w:space="0" w:color="auto"/>
            </w:tcBorders>
            <w:hideMark/>
          </w:tcPr>
          <w:p w14:paraId="15AFC60B" w14:textId="77777777" w:rsidR="00BF5974" w:rsidRDefault="00BF5974">
            <w:pPr>
              <w:spacing w:line="256" w:lineRule="auto"/>
              <w:jc w:val="right"/>
              <w:rPr>
                <w:rFonts w:eastAsia="Times New Roman" w:cs="Arial"/>
                <w:sz w:val="18"/>
                <w:szCs w:val="18"/>
                <w:lang w:val="es-ES" w:eastAsia="en-US"/>
              </w:rPr>
            </w:pPr>
            <w:r>
              <w:rPr>
                <w:sz w:val="18"/>
                <w:szCs w:val="18"/>
                <w:lang w:val="es-ES" w:eastAsia="en-US"/>
              </w:rPr>
              <w:t>4,481,971</w:t>
            </w:r>
          </w:p>
        </w:tc>
      </w:tr>
      <w:tr w:rsidR="00BF5974" w14:paraId="0F9E3787" w14:textId="77777777" w:rsidTr="00BF5974">
        <w:trPr>
          <w:trHeight w:val="20"/>
          <w:jc w:val="center"/>
        </w:trPr>
        <w:tc>
          <w:tcPr>
            <w:tcW w:w="7371" w:type="dxa"/>
            <w:tcBorders>
              <w:top w:val="single" w:sz="4" w:space="0" w:color="auto"/>
              <w:left w:val="single" w:sz="4" w:space="0" w:color="auto"/>
              <w:bottom w:val="single" w:sz="4" w:space="0" w:color="auto"/>
              <w:right w:val="single" w:sz="4" w:space="0" w:color="auto"/>
            </w:tcBorders>
            <w:noWrap/>
            <w:vAlign w:val="center"/>
            <w:hideMark/>
          </w:tcPr>
          <w:p w14:paraId="15C489C1" w14:textId="77777777" w:rsidR="00BF5974" w:rsidRDefault="00BF5974">
            <w:pPr>
              <w:spacing w:line="256" w:lineRule="auto"/>
              <w:rPr>
                <w:rFonts w:cs="Arial"/>
                <w:sz w:val="18"/>
                <w:lang w:val="es-ES" w:eastAsia="en-US"/>
              </w:rPr>
            </w:pPr>
            <w:r>
              <w:rPr>
                <w:rFonts w:cs="Arial"/>
                <w:sz w:val="18"/>
                <w:lang w:val="es-ES" w:eastAsia="en-US"/>
              </w:rPr>
              <w:t>Zona Marítimo Terrestre.</w:t>
            </w:r>
          </w:p>
        </w:tc>
        <w:tc>
          <w:tcPr>
            <w:tcW w:w="1276" w:type="dxa"/>
            <w:tcBorders>
              <w:top w:val="single" w:sz="4" w:space="0" w:color="auto"/>
              <w:left w:val="single" w:sz="4" w:space="0" w:color="auto"/>
              <w:bottom w:val="single" w:sz="4" w:space="0" w:color="auto"/>
              <w:right w:val="single" w:sz="4" w:space="0" w:color="auto"/>
            </w:tcBorders>
            <w:hideMark/>
          </w:tcPr>
          <w:p w14:paraId="2FE56D48" w14:textId="77777777" w:rsidR="00BF5974" w:rsidRDefault="00BF5974">
            <w:pPr>
              <w:spacing w:line="256" w:lineRule="auto"/>
              <w:jc w:val="right"/>
              <w:rPr>
                <w:rFonts w:eastAsia="Times New Roman" w:cs="Arial"/>
                <w:sz w:val="18"/>
                <w:szCs w:val="18"/>
                <w:lang w:val="es-ES" w:eastAsia="en-US"/>
              </w:rPr>
            </w:pPr>
            <w:r>
              <w:rPr>
                <w:sz w:val="18"/>
                <w:szCs w:val="18"/>
                <w:lang w:val="es-ES" w:eastAsia="en-US"/>
              </w:rPr>
              <w:t>8,967,736</w:t>
            </w:r>
          </w:p>
        </w:tc>
      </w:tr>
      <w:tr w:rsidR="00BF5974" w14:paraId="0D55C5C8" w14:textId="77777777" w:rsidTr="00BF5974">
        <w:trPr>
          <w:trHeight w:val="20"/>
          <w:jc w:val="center"/>
        </w:trPr>
        <w:tc>
          <w:tcPr>
            <w:tcW w:w="7371" w:type="dxa"/>
            <w:tcBorders>
              <w:top w:val="single" w:sz="4" w:space="0" w:color="auto"/>
              <w:left w:val="single" w:sz="4" w:space="0" w:color="auto"/>
              <w:bottom w:val="single" w:sz="4" w:space="0" w:color="auto"/>
              <w:right w:val="single" w:sz="4" w:space="0" w:color="auto"/>
            </w:tcBorders>
            <w:noWrap/>
            <w:vAlign w:val="center"/>
            <w:hideMark/>
          </w:tcPr>
          <w:p w14:paraId="43C4FDC0" w14:textId="77777777" w:rsidR="00BF5974" w:rsidRDefault="00BF5974">
            <w:pPr>
              <w:spacing w:line="256" w:lineRule="auto"/>
              <w:jc w:val="center"/>
              <w:rPr>
                <w:rFonts w:eastAsia="Times New Roman" w:cs="Arial"/>
                <w:b/>
                <w:bCs/>
                <w:sz w:val="18"/>
                <w:lang w:val="es-ES" w:eastAsia="en-US"/>
              </w:rPr>
            </w:pPr>
            <w:r>
              <w:rPr>
                <w:rFonts w:eastAsia="Times New Roman" w:cs="Arial"/>
                <w:b/>
                <w:bCs/>
                <w:sz w:val="18"/>
                <w:lang w:val="es-ES" w:eastAsia="en-US"/>
              </w:rPr>
              <w:t>Total</w:t>
            </w:r>
          </w:p>
        </w:tc>
        <w:tc>
          <w:tcPr>
            <w:tcW w:w="1276" w:type="dxa"/>
            <w:tcBorders>
              <w:top w:val="single" w:sz="4" w:space="0" w:color="auto"/>
              <w:left w:val="single" w:sz="4" w:space="0" w:color="auto"/>
              <w:bottom w:val="single" w:sz="4" w:space="0" w:color="auto"/>
              <w:right w:val="single" w:sz="4" w:space="0" w:color="auto"/>
            </w:tcBorders>
            <w:hideMark/>
          </w:tcPr>
          <w:p w14:paraId="77478211" w14:textId="77777777" w:rsidR="00BF5974" w:rsidRDefault="00BF5974">
            <w:pPr>
              <w:spacing w:line="256" w:lineRule="auto"/>
              <w:jc w:val="right"/>
              <w:rPr>
                <w:rFonts w:eastAsia="Times New Roman" w:cs="Arial"/>
                <w:b/>
                <w:bCs/>
                <w:sz w:val="18"/>
                <w:szCs w:val="18"/>
                <w:lang w:val="es-ES" w:eastAsia="en-US"/>
              </w:rPr>
            </w:pPr>
            <w:r>
              <w:rPr>
                <w:b/>
                <w:bCs/>
                <w:sz w:val="18"/>
                <w:szCs w:val="18"/>
                <w:lang w:val="es-ES" w:eastAsia="en-US"/>
              </w:rPr>
              <w:t>42,878,534</w:t>
            </w:r>
          </w:p>
        </w:tc>
      </w:tr>
    </w:tbl>
    <w:p w14:paraId="2E914A05" w14:textId="77777777" w:rsidR="00BF5974" w:rsidRDefault="00BF5974" w:rsidP="00BF5974">
      <w:pPr>
        <w:shd w:val="clear" w:color="auto" w:fill="FFFFFF"/>
        <w:ind w:left="142"/>
        <w:contextualSpacing/>
        <w:rPr>
          <w:rFonts w:eastAsia="Times New Roman" w:cs="Arial"/>
          <w:sz w:val="18"/>
          <w:lang w:val="es-ES" w:eastAsia="es-ES"/>
        </w:rPr>
      </w:pPr>
      <w:r>
        <w:rPr>
          <w:rFonts w:eastAsia="Times New Roman" w:cs="Arial"/>
          <w:b/>
          <w:sz w:val="18"/>
          <w:lang w:val="es-ES" w:eastAsia="es-ES"/>
        </w:rPr>
        <w:t>Nota</w:t>
      </w:r>
      <w:r>
        <w:rPr>
          <w:rFonts w:eastAsia="Times New Roman" w:cs="Arial"/>
          <w:sz w:val="18"/>
          <w:lang w:val="es-ES" w:eastAsia="es-ES"/>
        </w:rPr>
        <w:t>: La suma total podría no coincidir debido al redondeo</w:t>
      </w:r>
    </w:p>
    <w:p w14:paraId="16D17CC8" w14:textId="419D8746" w:rsidR="00BF5974" w:rsidRDefault="00BF5974" w:rsidP="00BF5974">
      <w:pPr>
        <w:rPr>
          <w:rFonts w:cs="Arial"/>
          <w:lang w:val="es-ES"/>
        </w:rPr>
      </w:pPr>
    </w:p>
    <w:p w14:paraId="535B6A49" w14:textId="77777777" w:rsidR="00105286" w:rsidRDefault="00105286" w:rsidP="00BF5974">
      <w:pPr>
        <w:rPr>
          <w:rFonts w:cs="Arial"/>
          <w:lang w:val="es-ES"/>
        </w:rPr>
      </w:pPr>
    </w:p>
    <w:tbl>
      <w:tblPr>
        <w:tblW w:w="7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7"/>
        <w:gridCol w:w="1134"/>
        <w:gridCol w:w="1141"/>
        <w:gridCol w:w="1266"/>
        <w:gridCol w:w="1141"/>
        <w:gridCol w:w="1151"/>
      </w:tblGrid>
      <w:tr w:rsidR="00BF5974" w14:paraId="6DD098EC" w14:textId="77777777" w:rsidTr="00BF5974">
        <w:trPr>
          <w:trHeight w:val="20"/>
          <w:tblHeader/>
          <w:jc w:val="center"/>
        </w:trPr>
        <w:tc>
          <w:tcPr>
            <w:tcW w:w="7260" w:type="dxa"/>
            <w:gridSpan w:val="6"/>
            <w:tcBorders>
              <w:top w:val="nil"/>
              <w:left w:val="nil"/>
              <w:bottom w:val="single" w:sz="4" w:space="0" w:color="auto"/>
              <w:right w:val="nil"/>
            </w:tcBorders>
            <w:noWrap/>
            <w:vAlign w:val="center"/>
            <w:hideMark/>
          </w:tcPr>
          <w:p w14:paraId="7DACCBC2" w14:textId="77777777" w:rsidR="00BF5974" w:rsidRDefault="00BF5974">
            <w:pPr>
              <w:keepNext/>
              <w:keepLines/>
              <w:spacing w:line="256" w:lineRule="auto"/>
              <w:jc w:val="center"/>
              <w:outlineLvl w:val="1"/>
              <w:rPr>
                <w:rFonts w:eastAsia="Times New Roman" w:cs="Arial"/>
                <w:b/>
                <w:sz w:val="18"/>
                <w:szCs w:val="18"/>
                <w:lang w:val="es-ES" w:eastAsia="en-US"/>
              </w:rPr>
            </w:pPr>
            <w:bookmarkStart w:id="250" w:name="_Toc22983228"/>
            <w:bookmarkStart w:id="251" w:name="_Toc22021980"/>
            <w:r>
              <w:rPr>
                <w:rFonts w:eastAsia="Times New Roman" w:cs="Arial"/>
                <w:b/>
                <w:sz w:val="18"/>
                <w:szCs w:val="18"/>
                <w:lang w:val="es-ES" w:eastAsia="en-US"/>
              </w:rPr>
              <w:t>Tabla 53. Incentivos Derivados de la Colaboración Fiscal con la Federación</w:t>
            </w:r>
            <w:bookmarkEnd w:id="250"/>
            <w:bookmarkEnd w:id="251"/>
          </w:p>
          <w:p w14:paraId="6911E023" w14:textId="77777777" w:rsidR="00BF5974" w:rsidRDefault="00BF5974">
            <w:pPr>
              <w:spacing w:line="256" w:lineRule="auto"/>
              <w:jc w:val="center"/>
              <w:rPr>
                <w:rFonts w:eastAsia="Times New Roman" w:cs="Arial"/>
                <w:b/>
                <w:bCs/>
                <w:sz w:val="18"/>
                <w:szCs w:val="18"/>
                <w:lang w:val="es-ES" w:eastAsia="en-US"/>
              </w:rPr>
            </w:pPr>
            <w:r>
              <w:rPr>
                <w:rFonts w:eastAsia="Times New Roman" w:cs="Arial"/>
                <w:b/>
                <w:sz w:val="18"/>
                <w:szCs w:val="18"/>
                <w:lang w:val="es-ES" w:eastAsia="en-US"/>
              </w:rPr>
              <w:t>(Desagregado Municipio)</w:t>
            </w:r>
          </w:p>
        </w:tc>
      </w:tr>
      <w:tr w:rsidR="00BF5974" w14:paraId="54ABE2CC" w14:textId="77777777" w:rsidTr="00BF5974">
        <w:trPr>
          <w:trHeight w:val="20"/>
          <w:jc w:val="center"/>
        </w:trPr>
        <w:tc>
          <w:tcPr>
            <w:tcW w:w="1427" w:type="dxa"/>
            <w:tcBorders>
              <w:top w:val="single" w:sz="4" w:space="0" w:color="auto"/>
              <w:left w:val="single" w:sz="4" w:space="0" w:color="auto"/>
              <w:bottom w:val="single" w:sz="4" w:space="0" w:color="auto"/>
              <w:right w:val="single" w:sz="4" w:space="0" w:color="auto"/>
            </w:tcBorders>
            <w:noWrap/>
            <w:vAlign w:val="center"/>
            <w:hideMark/>
          </w:tcPr>
          <w:p w14:paraId="76877963" w14:textId="77777777" w:rsidR="00BF5974" w:rsidRDefault="00BF5974">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Municipio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48BB48" w14:textId="77777777" w:rsidR="00BF5974" w:rsidRDefault="00BF5974">
            <w:pPr>
              <w:spacing w:line="256" w:lineRule="auto"/>
              <w:jc w:val="center"/>
              <w:rPr>
                <w:rFonts w:eastAsia="Times New Roman" w:cs="Arial"/>
                <w:b/>
                <w:bCs/>
                <w:sz w:val="18"/>
                <w:szCs w:val="18"/>
                <w:lang w:val="es-ES" w:eastAsia="en-US"/>
              </w:rPr>
            </w:pPr>
            <w:r>
              <w:rPr>
                <w:rFonts w:eastAsia="Times New Roman" w:cs="Arial"/>
                <w:b/>
                <w:bCs/>
                <w:sz w:val="16"/>
                <w:szCs w:val="16"/>
                <w:lang w:val="es-ES" w:eastAsia="en-US"/>
              </w:rPr>
              <w:t>FDO. COMP. ISAN</w:t>
            </w:r>
          </w:p>
        </w:tc>
        <w:tc>
          <w:tcPr>
            <w:tcW w:w="1141" w:type="dxa"/>
            <w:tcBorders>
              <w:top w:val="single" w:sz="4" w:space="0" w:color="auto"/>
              <w:left w:val="single" w:sz="4" w:space="0" w:color="auto"/>
              <w:bottom w:val="single" w:sz="4" w:space="0" w:color="auto"/>
              <w:right w:val="single" w:sz="4" w:space="0" w:color="auto"/>
            </w:tcBorders>
            <w:vAlign w:val="center"/>
            <w:hideMark/>
          </w:tcPr>
          <w:p w14:paraId="6F459DC8" w14:textId="77777777" w:rsidR="00BF5974" w:rsidRDefault="00BF5974">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Incentivo ISAN</w:t>
            </w:r>
          </w:p>
        </w:tc>
        <w:tc>
          <w:tcPr>
            <w:tcW w:w="1266" w:type="dxa"/>
            <w:tcBorders>
              <w:top w:val="single" w:sz="4" w:space="0" w:color="auto"/>
              <w:left w:val="single" w:sz="4" w:space="0" w:color="auto"/>
              <w:bottom w:val="single" w:sz="4" w:space="0" w:color="auto"/>
              <w:right w:val="single" w:sz="4" w:space="0" w:color="auto"/>
            </w:tcBorders>
            <w:vAlign w:val="center"/>
            <w:hideMark/>
          </w:tcPr>
          <w:p w14:paraId="5CC2FFAF" w14:textId="77777777" w:rsidR="00BF5974" w:rsidRDefault="00BF5974">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 xml:space="preserve">ISR. E.B.I. </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FD7CA7F" w14:textId="77777777" w:rsidR="00BF5974" w:rsidRDefault="00BF5974">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ZOFEMAT</w:t>
            </w:r>
          </w:p>
        </w:tc>
        <w:tc>
          <w:tcPr>
            <w:tcW w:w="1151" w:type="dxa"/>
            <w:tcBorders>
              <w:top w:val="single" w:sz="4" w:space="0" w:color="auto"/>
              <w:left w:val="single" w:sz="4" w:space="0" w:color="auto"/>
              <w:bottom w:val="single" w:sz="4" w:space="0" w:color="auto"/>
              <w:right w:val="single" w:sz="4" w:space="0" w:color="auto"/>
            </w:tcBorders>
            <w:noWrap/>
            <w:vAlign w:val="center"/>
            <w:hideMark/>
          </w:tcPr>
          <w:p w14:paraId="54802F85" w14:textId="77777777" w:rsidR="00BF5974" w:rsidRDefault="00BF5974">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Sumas Totales</w:t>
            </w:r>
          </w:p>
        </w:tc>
      </w:tr>
      <w:tr w:rsidR="00BF5974" w14:paraId="3F820653" w14:textId="77777777" w:rsidTr="00BF5974">
        <w:trPr>
          <w:trHeight w:val="20"/>
          <w:jc w:val="center"/>
        </w:trPr>
        <w:tc>
          <w:tcPr>
            <w:tcW w:w="14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289203" w14:textId="77777777" w:rsidR="00BF5974" w:rsidRDefault="00BF5974">
            <w:pPr>
              <w:spacing w:line="256" w:lineRule="auto"/>
              <w:jc w:val="left"/>
              <w:rPr>
                <w:rFonts w:eastAsia="Times New Roman" w:cs="Arial"/>
                <w:sz w:val="18"/>
                <w:szCs w:val="18"/>
                <w:lang w:val="es-ES" w:eastAsia="en-US"/>
              </w:rPr>
            </w:pPr>
            <w:r>
              <w:rPr>
                <w:rFonts w:eastAsia="Times New Roman" w:cs="Arial"/>
                <w:sz w:val="18"/>
                <w:szCs w:val="18"/>
                <w:lang w:val="es-ES" w:eastAsia="en-US"/>
              </w:rPr>
              <w:t>Armería</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C765820"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238,435</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131FB811"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1,453,456</w:t>
            </w:r>
          </w:p>
        </w:tc>
        <w:tc>
          <w:tcPr>
            <w:tcW w:w="1266" w:type="dxa"/>
            <w:tcBorders>
              <w:top w:val="single" w:sz="4" w:space="0" w:color="auto"/>
              <w:left w:val="single" w:sz="4" w:space="0" w:color="auto"/>
              <w:bottom w:val="single" w:sz="4" w:space="0" w:color="auto"/>
              <w:right w:val="single" w:sz="4" w:space="0" w:color="auto"/>
            </w:tcBorders>
            <w:noWrap/>
            <w:vAlign w:val="bottom"/>
            <w:hideMark/>
          </w:tcPr>
          <w:p w14:paraId="42E52224"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29,676</w:t>
            </w:r>
          </w:p>
        </w:tc>
        <w:tc>
          <w:tcPr>
            <w:tcW w:w="1141" w:type="dxa"/>
            <w:tcBorders>
              <w:top w:val="single" w:sz="4" w:space="0" w:color="auto"/>
              <w:left w:val="single" w:sz="4" w:space="0" w:color="auto"/>
              <w:bottom w:val="single" w:sz="4" w:space="0" w:color="auto"/>
              <w:right w:val="single" w:sz="4" w:space="0" w:color="auto"/>
            </w:tcBorders>
            <w:vAlign w:val="bottom"/>
            <w:hideMark/>
          </w:tcPr>
          <w:p w14:paraId="6B5BA13B"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108,396</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354552B0" w14:textId="77777777" w:rsidR="00BF5974" w:rsidRDefault="00BF5974">
            <w:pPr>
              <w:spacing w:line="256" w:lineRule="auto"/>
              <w:jc w:val="right"/>
              <w:rPr>
                <w:rFonts w:cs="Arial"/>
                <w:b/>
                <w:bCs/>
                <w:sz w:val="18"/>
                <w:szCs w:val="18"/>
                <w:lang w:val="es-ES" w:eastAsia="en-US"/>
              </w:rPr>
            </w:pPr>
            <w:r>
              <w:rPr>
                <w:rFonts w:cs="Arial"/>
                <w:b/>
                <w:bCs/>
                <w:color w:val="000000"/>
                <w:sz w:val="18"/>
                <w:szCs w:val="18"/>
                <w:lang w:val="es-ES" w:eastAsia="en-US"/>
              </w:rPr>
              <w:t>1,829,963</w:t>
            </w:r>
          </w:p>
        </w:tc>
      </w:tr>
      <w:tr w:rsidR="00BF5974" w14:paraId="6FFAB47B" w14:textId="77777777" w:rsidTr="00BF5974">
        <w:trPr>
          <w:trHeight w:val="20"/>
          <w:jc w:val="center"/>
        </w:trPr>
        <w:tc>
          <w:tcPr>
            <w:tcW w:w="14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397691" w14:textId="77777777" w:rsidR="00BF5974" w:rsidRDefault="00BF5974">
            <w:pPr>
              <w:spacing w:line="256" w:lineRule="auto"/>
              <w:jc w:val="left"/>
              <w:rPr>
                <w:rFonts w:eastAsia="Times New Roman" w:cs="Arial"/>
                <w:sz w:val="18"/>
                <w:szCs w:val="18"/>
                <w:lang w:val="es-ES" w:eastAsia="en-US"/>
              </w:rPr>
            </w:pPr>
            <w:r>
              <w:rPr>
                <w:rFonts w:eastAsia="Times New Roman" w:cs="Arial"/>
                <w:sz w:val="18"/>
                <w:szCs w:val="18"/>
                <w:lang w:val="es-ES" w:eastAsia="en-US"/>
              </w:rPr>
              <w:t>Colima</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9867F68"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637,773</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07D26D76"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3,887,742</w:t>
            </w:r>
          </w:p>
        </w:tc>
        <w:tc>
          <w:tcPr>
            <w:tcW w:w="1266" w:type="dxa"/>
            <w:tcBorders>
              <w:top w:val="single" w:sz="4" w:space="0" w:color="auto"/>
              <w:left w:val="single" w:sz="4" w:space="0" w:color="auto"/>
              <w:bottom w:val="single" w:sz="4" w:space="0" w:color="auto"/>
              <w:right w:val="single" w:sz="4" w:space="0" w:color="auto"/>
            </w:tcBorders>
            <w:noWrap/>
            <w:vAlign w:val="bottom"/>
            <w:hideMark/>
          </w:tcPr>
          <w:p w14:paraId="2EBDEF95"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1,050,301</w:t>
            </w:r>
          </w:p>
        </w:tc>
        <w:tc>
          <w:tcPr>
            <w:tcW w:w="1141" w:type="dxa"/>
            <w:tcBorders>
              <w:top w:val="single" w:sz="4" w:space="0" w:color="auto"/>
              <w:left w:val="single" w:sz="4" w:space="0" w:color="auto"/>
              <w:bottom w:val="single" w:sz="4" w:space="0" w:color="auto"/>
              <w:right w:val="single" w:sz="4" w:space="0" w:color="auto"/>
            </w:tcBorders>
            <w:vAlign w:val="bottom"/>
            <w:hideMark/>
          </w:tcPr>
          <w:p w14:paraId="479CE4F2" w14:textId="77777777" w:rsidR="00BF5974" w:rsidRDefault="00BF5974">
            <w:pPr>
              <w:spacing w:line="256" w:lineRule="auto"/>
              <w:jc w:val="right"/>
              <w:rPr>
                <w:rFonts w:cs="Arial"/>
                <w:sz w:val="18"/>
                <w:szCs w:val="18"/>
                <w:lang w:val="es-ES" w:eastAsia="en-US"/>
              </w:rPr>
            </w:pPr>
            <w:r>
              <w:rPr>
                <w:rFonts w:cs="Arial"/>
                <w:sz w:val="18"/>
                <w:szCs w:val="18"/>
                <w:lang w:val="es-ES" w:eastAsia="en-US"/>
              </w:rPr>
              <w:t>0</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6907EC22" w14:textId="77777777" w:rsidR="00BF5974" w:rsidRDefault="00BF5974">
            <w:pPr>
              <w:spacing w:line="256" w:lineRule="auto"/>
              <w:jc w:val="right"/>
              <w:rPr>
                <w:rFonts w:cs="Arial"/>
                <w:b/>
                <w:bCs/>
                <w:sz w:val="18"/>
                <w:szCs w:val="18"/>
                <w:lang w:val="es-ES" w:eastAsia="en-US"/>
              </w:rPr>
            </w:pPr>
            <w:r>
              <w:rPr>
                <w:rFonts w:cs="Arial"/>
                <w:b/>
                <w:bCs/>
                <w:color w:val="000000"/>
                <w:sz w:val="18"/>
                <w:szCs w:val="18"/>
                <w:lang w:val="es-ES" w:eastAsia="en-US"/>
              </w:rPr>
              <w:t>5,575,816</w:t>
            </w:r>
          </w:p>
        </w:tc>
      </w:tr>
      <w:tr w:rsidR="00BF5974" w14:paraId="12A0015B" w14:textId="77777777" w:rsidTr="00BF5974">
        <w:trPr>
          <w:trHeight w:val="20"/>
          <w:jc w:val="center"/>
        </w:trPr>
        <w:tc>
          <w:tcPr>
            <w:tcW w:w="14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EAD49B" w14:textId="77777777" w:rsidR="00BF5974" w:rsidRDefault="00BF5974">
            <w:pPr>
              <w:spacing w:line="256" w:lineRule="auto"/>
              <w:jc w:val="left"/>
              <w:rPr>
                <w:rFonts w:eastAsia="Times New Roman" w:cs="Arial"/>
                <w:sz w:val="18"/>
                <w:szCs w:val="18"/>
                <w:lang w:val="es-ES" w:eastAsia="en-US"/>
              </w:rPr>
            </w:pPr>
            <w:r>
              <w:rPr>
                <w:rFonts w:eastAsia="Times New Roman" w:cs="Arial"/>
                <w:sz w:val="18"/>
                <w:szCs w:val="18"/>
                <w:lang w:val="es-ES" w:eastAsia="en-US"/>
              </w:rPr>
              <w:t>Comala</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EEB3D4F"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229,894</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519BFB68"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1,401,388</w:t>
            </w:r>
          </w:p>
        </w:tc>
        <w:tc>
          <w:tcPr>
            <w:tcW w:w="1266" w:type="dxa"/>
            <w:tcBorders>
              <w:top w:val="single" w:sz="4" w:space="0" w:color="auto"/>
              <w:left w:val="single" w:sz="4" w:space="0" w:color="auto"/>
              <w:bottom w:val="single" w:sz="4" w:space="0" w:color="auto"/>
              <w:right w:val="single" w:sz="4" w:space="0" w:color="auto"/>
            </w:tcBorders>
            <w:noWrap/>
            <w:vAlign w:val="bottom"/>
            <w:hideMark/>
          </w:tcPr>
          <w:p w14:paraId="68089A6C"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97,569</w:t>
            </w:r>
          </w:p>
        </w:tc>
        <w:tc>
          <w:tcPr>
            <w:tcW w:w="1141" w:type="dxa"/>
            <w:tcBorders>
              <w:top w:val="single" w:sz="4" w:space="0" w:color="auto"/>
              <w:left w:val="single" w:sz="4" w:space="0" w:color="auto"/>
              <w:bottom w:val="single" w:sz="4" w:space="0" w:color="auto"/>
              <w:right w:val="single" w:sz="4" w:space="0" w:color="auto"/>
            </w:tcBorders>
            <w:vAlign w:val="bottom"/>
            <w:hideMark/>
          </w:tcPr>
          <w:p w14:paraId="2D1912AD" w14:textId="77777777" w:rsidR="00BF5974" w:rsidRDefault="00BF5974">
            <w:pPr>
              <w:spacing w:line="256" w:lineRule="auto"/>
              <w:jc w:val="right"/>
              <w:rPr>
                <w:rFonts w:cs="Arial"/>
                <w:sz w:val="18"/>
                <w:szCs w:val="18"/>
                <w:lang w:val="es-ES" w:eastAsia="en-US"/>
              </w:rPr>
            </w:pPr>
            <w:r>
              <w:rPr>
                <w:rFonts w:cs="Arial"/>
                <w:sz w:val="18"/>
                <w:szCs w:val="18"/>
                <w:lang w:val="es-ES" w:eastAsia="en-US"/>
              </w:rPr>
              <w:t>0</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35EE50D6" w14:textId="77777777" w:rsidR="00BF5974" w:rsidRDefault="00BF5974">
            <w:pPr>
              <w:spacing w:line="256" w:lineRule="auto"/>
              <w:jc w:val="right"/>
              <w:rPr>
                <w:rFonts w:cs="Arial"/>
                <w:b/>
                <w:bCs/>
                <w:sz w:val="18"/>
                <w:szCs w:val="18"/>
                <w:lang w:val="es-ES" w:eastAsia="en-US"/>
              </w:rPr>
            </w:pPr>
            <w:r>
              <w:rPr>
                <w:rFonts w:cs="Arial"/>
                <w:b/>
                <w:bCs/>
                <w:color w:val="000000"/>
                <w:sz w:val="18"/>
                <w:szCs w:val="18"/>
                <w:lang w:val="es-ES" w:eastAsia="en-US"/>
              </w:rPr>
              <w:t>1,728,851</w:t>
            </w:r>
          </w:p>
        </w:tc>
      </w:tr>
      <w:tr w:rsidR="00BF5974" w14:paraId="7AE9CEB4" w14:textId="77777777" w:rsidTr="00BF5974">
        <w:trPr>
          <w:trHeight w:val="20"/>
          <w:jc w:val="center"/>
        </w:trPr>
        <w:tc>
          <w:tcPr>
            <w:tcW w:w="14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60AAD8" w14:textId="77777777" w:rsidR="00BF5974" w:rsidRDefault="00BF5974">
            <w:pPr>
              <w:spacing w:line="256" w:lineRule="auto"/>
              <w:jc w:val="left"/>
              <w:rPr>
                <w:rFonts w:eastAsia="Times New Roman" w:cs="Arial"/>
                <w:sz w:val="18"/>
                <w:szCs w:val="18"/>
                <w:lang w:val="es-ES" w:eastAsia="en-US"/>
              </w:rPr>
            </w:pPr>
            <w:r>
              <w:rPr>
                <w:rFonts w:eastAsia="Times New Roman" w:cs="Arial"/>
                <w:sz w:val="18"/>
                <w:szCs w:val="18"/>
                <w:lang w:val="es-ES" w:eastAsia="en-US"/>
              </w:rPr>
              <w:t>Coquimatlán</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A86EF71"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214,049</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059CAD21"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1,304,800</w:t>
            </w:r>
          </w:p>
        </w:tc>
        <w:tc>
          <w:tcPr>
            <w:tcW w:w="1266" w:type="dxa"/>
            <w:tcBorders>
              <w:top w:val="single" w:sz="4" w:space="0" w:color="auto"/>
              <w:left w:val="single" w:sz="4" w:space="0" w:color="auto"/>
              <w:bottom w:val="single" w:sz="4" w:space="0" w:color="auto"/>
              <w:right w:val="single" w:sz="4" w:space="0" w:color="auto"/>
            </w:tcBorders>
            <w:noWrap/>
            <w:vAlign w:val="bottom"/>
            <w:hideMark/>
          </w:tcPr>
          <w:p w14:paraId="66AA6DC1"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56,907</w:t>
            </w:r>
          </w:p>
        </w:tc>
        <w:tc>
          <w:tcPr>
            <w:tcW w:w="1141" w:type="dxa"/>
            <w:tcBorders>
              <w:top w:val="single" w:sz="4" w:space="0" w:color="auto"/>
              <w:left w:val="single" w:sz="4" w:space="0" w:color="auto"/>
              <w:bottom w:val="single" w:sz="4" w:space="0" w:color="auto"/>
              <w:right w:val="single" w:sz="4" w:space="0" w:color="auto"/>
            </w:tcBorders>
            <w:vAlign w:val="bottom"/>
            <w:hideMark/>
          </w:tcPr>
          <w:p w14:paraId="334169BE" w14:textId="77777777" w:rsidR="00BF5974" w:rsidRDefault="00BF5974">
            <w:pPr>
              <w:spacing w:line="256" w:lineRule="auto"/>
              <w:jc w:val="right"/>
              <w:rPr>
                <w:rFonts w:cs="Arial"/>
                <w:sz w:val="18"/>
                <w:szCs w:val="18"/>
                <w:lang w:val="es-ES" w:eastAsia="en-US"/>
              </w:rPr>
            </w:pPr>
            <w:r>
              <w:rPr>
                <w:rFonts w:cs="Arial"/>
                <w:sz w:val="18"/>
                <w:szCs w:val="18"/>
                <w:lang w:val="es-ES" w:eastAsia="en-US"/>
              </w:rPr>
              <w:t>0</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6F8275B0" w14:textId="77777777" w:rsidR="00BF5974" w:rsidRDefault="00BF5974">
            <w:pPr>
              <w:spacing w:line="256" w:lineRule="auto"/>
              <w:jc w:val="right"/>
              <w:rPr>
                <w:rFonts w:cs="Arial"/>
                <w:b/>
                <w:bCs/>
                <w:sz w:val="18"/>
                <w:szCs w:val="18"/>
                <w:lang w:val="es-ES" w:eastAsia="en-US"/>
              </w:rPr>
            </w:pPr>
            <w:r>
              <w:rPr>
                <w:rFonts w:cs="Arial"/>
                <w:b/>
                <w:bCs/>
                <w:color w:val="000000"/>
                <w:sz w:val="18"/>
                <w:szCs w:val="18"/>
                <w:lang w:val="es-ES" w:eastAsia="en-US"/>
              </w:rPr>
              <w:t>1,575,756</w:t>
            </w:r>
          </w:p>
        </w:tc>
      </w:tr>
      <w:tr w:rsidR="00BF5974" w14:paraId="1AA570DC" w14:textId="77777777" w:rsidTr="00BF5974">
        <w:trPr>
          <w:trHeight w:val="20"/>
          <w:jc w:val="center"/>
        </w:trPr>
        <w:tc>
          <w:tcPr>
            <w:tcW w:w="14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ABD3A3" w14:textId="77777777" w:rsidR="00BF5974" w:rsidRDefault="00BF5974">
            <w:pPr>
              <w:spacing w:line="256" w:lineRule="auto"/>
              <w:jc w:val="left"/>
              <w:rPr>
                <w:rFonts w:eastAsia="Times New Roman" w:cs="Arial"/>
                <w:sz w:val="18"/>
                <w:szCs w:val="18"/>
                <w:lang w:val="es-ES" w:eastAsia="en-US"/>
              </w:rPr>
            </w:pPr>
            <w:r>
              <w:rPr>
                <w:rFonts w:eastAsia="Times New Roman" w:cs="Arial"/>
                <w:sz w:val="18"/>
                <w:szCs w:val="18"/>
                <w:lang w:val="es-ES" w:eastAsia="en-US"/>
              </w:rPr>
              <w:t>Cuauhtémoc</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8E304FC"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252,128</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7842F942"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1,536,924</w:t>
            </w:r>
          </w:p>
        </w:tc>
        <w:tc>
          <w:tcPr>
            <w:tcW w:w="1266" w:type="dxa"/>
            <w:tcBorders>
              <w:top w:val="single" w:sz="4" w:space="0" w:color="auto"/>
              <w:left w:val="single" w:sz="4" w:space="0" w:color="auto"/>
              <w:bottom w:val="single" w:sz="4" w:space="0" w:color="auto"/>
              <w:right w:val="single" w:sz="4" w:space="0" w:color="auto"/>
            </w:tcBorders>
            <w:noWrap/>
            <w:vAlign w:val="bottom"/>
            <w:hideMark/>
          </w:tcPr>
          <w:p w14:paraId="3C613E48"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431,310</w:t>
            </w:r>
          </w:p>
        </w:tc>
        <w:tc>
          <w:tcPr>
            <w:tcW w:w="1141" w:type="dxa"/>
            <w:tcBorders>
              <w:top w:val="single" w:sz="4" w:space="0" w:color="auto"/>
              <w:left w:val="single" w:sz="4" w:space="0" w:color="auto"/>
              <w:bottom w:val="single" w:sz="4" w:space="0" w:color="auto"/>
              <w:right w:val="single" w:sz="4" w:space="0" w:color="auto"/>
            </w:tcBorders>
            <w:vAlign w:val="bottom"/>
            <w:hideMark/>
          </w:tcPr>
          <w:p w14:paraId="799F19CF" w14:textId="77777777" w:rsidR="00BF5974" w:rsidRDefault="00BF5974">
            <w:pPr>
              <w:spacing w:line="256" w:lineRule="auto"/>
              <w:jc w:val="right"/>
              <w:rPr>
                <w:rFonts w:cs="Arial"/>
                <w:sz w:val="18"/>
                <w:szCs w:val="18"/>
                <w:lang w:val="es-ES" w:eastAsia="en-US"/>
              </w:rPr>
            </w:pPr>
            <w:r>
              <w:rPr>
                <w:rFonts w:cs="Arial"/>
                <w:sz w:val="18"/>
                <w:szCs w:val="18"/>
                <w:lang w:val="es-ES" w:eastAsia="en-US"/>
              </w:rPr>
              <w:t>0</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67AE093E" w14:textId="77777777" w:rsidR="00BF5974" w:rsidRDefault="00BF5974">
            <w:pPr>
              <w:spacing w:line="256" w:lineRule="auto"/>
              <w:jc w:val="right"/>
              <w:rPr>
                <w:rFonts w:cs="Arial"/>
                <w:b/>
                <w:bCs/>
                <w:sz w:val="18"/>
                <w:szCs w:val="18"/>
                <w:lang w:val="es-ES" w:eastAsia="en-US"/>
              </w:rPr>
            </w:pPr>
            <w:r>
              <w:rPr>
                <w:rFonts w:cs="Arial"/>
                <w:b/>
                <w:bCs/>
                <w:color w:val="000000"/>
                <w:sz w:val="18"/>
                <w:szCs w:val="18"/>
                <w:lang w:val="es-ES" w:eastAsia="en-US"/>
              </w:rPr>
              <w:t>2,220,362</w:t>
            </w:r>
          </w:p>
        </w:tc>
      </w:tr>
      <w:tr w:rsidR="00BF5974" w14:paraId="7AA51158" w14:textId="77777777" w:rsidTr="00BF5974">
        <w:trPr>
          <w:trHeight w:val="20"/>
          <w:jc w:val="center"/>
        </w:trPr>
        <w:tc>
          <w:tcPr>
            <w:tcW w:w="14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E75986" w14:textId="77777777" w:rsidR="00BF5974" w:rsidRDefault="00BF5974">
            <w:pPr>
              <w:spacing w:line="256" w:lineRule="auto"/>
              <w:jc w:val="left"/>
              <w:rPr>
                <w:rFonts w:eastAsia="Times New Roman" w:cs="Arial"/>
                <w:sz w:val="18"/>
                <w:szCs w:val="18"/>
                <w:lang w:val="es-ES" w:eastAsia="en-US"/>
              </w:rPr>
            </w:pPr>
            <w:r>
              <w:rPr>
                <w:rFonts w:eastAsia="Times New Roman" w:cs="Arial"/>
                <w:sz w:val="18"/>
                <w:szCs w:val="18"/>
                <w:lang w:val="es-ES" w:eastAsia="en-US"/>
              </w:rPr>
              <w:t>Ixtlahuacán</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1624CF5"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404,654</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132F46B2"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2,466,697</w:t>
            </w:r>
          </w:p>
        </w:tc>
        <w:tc>
          <w:tcPr>
            <w:tcW w:w="1266" w:type="dxa"/>
            <w:tcBorders>
              <w:top w:val="single" w:sz="4" w:space="0" w:color="auto"/>
              <w:left w:val="single" w:sz="4" w:space="0" w:color="auto"/>
              <w:bottom w:val="single" w:sz="4" w:space="0" w:color="auto"/>
              <w:right w:val="single" w:sz="4" w:space="0" w:color="auto"/>
            </w:tcBorders>
            <w:noWrap/>
            <w:vAlign w:val="bottom"/>
            <w:hideMark/>
          </w:tcPr>
          <w:p w14:paraId="17B7DF87"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2,987</w:t>
            </w:r>
          </w:p>
        </w:tc>
        <w:tc>
          <w:tcPr>
            <w:tcW w:w="1141" w:type="dxa"/>
            <w:tcBorders>
              <w:top w:val="single" w:sz="4" w:space="0" w:color="auto"/>
              <w:left w:val="single" w:sz="4" w:space="0" w:color="auto"/>
              <w:bottom w:val="single" w:sz="4" w:space="0" w:color="auto"/>
              <w:right w:val="single" w:sz="4" w:space="0" w:color="auto"/>
            </w:tcBorders>
            <w:vAlign w:val="bottom"/>
            <w:hideMark/>
          </w:tcPr>
          <w:p w14:paraId="0406EEC0" w14:textId="77777777" w:rsidR="00BF5974" w:rsidRDefault="00BF5974">
            <w:pPr>
              <w:spacing w:line="256" w:lineRule="auto"/>
              <w:jc w:val="right"/>
              <w:rPr>
                <w:rFonts w:cs="Arial"/>
                <w:sz w:val="18"/>
                <w:szCs w:val="18"/>
                <w:lang w:val="es-ES" w:eastAsia="en-US"/>
              </w:rPr>
            </w:pPr>
            <w:r>
              <w:rPr>
                <w:rFonts w:cs="Arial"/>
                <w:sz w:val="18"/>
                <w:szCs w:val="18"/>
                <w:lang w:val="es-ES" w:eastAsia="en-US"/>
              </w:rPr>
              <w:t>0</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1901F1C7" w14:textId="77777777" w:rsidR="00BF5974" w:rsidRDefault="00BF5974">
            <w:pPr>
              <w:spacing w:line="256" w:lineRule="auto"/>
              <w:jc w:val="right"/>
              <w:rPr>
                <w:rFonts w:cs="Arial"/>
                <w:b/>
                <w:bCs/>
                <w:sz w:val="18"/>
                <w:szCs w:val="18"/>
                <w:lang w:val="es-ES" w:eastAsia="en-US"/>
              </w:rPr>
            </w:pPr>
            <w:r>
              <w:rPr>
                <w:rFonts w:cs="Arial"/>
                <w:b/>
                <w:bCs/>
                <w:color w:val="000000"/>
                <w:sz w:val="18"/>
                <w:szCs w:val="18"/>
                <w:lang w:val="es-ES" w:eastAsia="en-US"/>
              </w:rPr>
              <w:t>2,874,338</w:t>
            </w:r>
          </w:p>
        </w:tc>
      </w:tr>
      <w:tr w:rsidR="00BF5974" w14:paraId="0001EFF0" w14:textId="77777777" w:rsidTr="00BF5974">
        <w:trPr>
          <w:trHeight w:val="20"/>
          <w:jc w:val="center"/>
        </w:trPr>
        <w:tc>
          <w:tcPr>
            <w:tcW w:w="14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9743B2" w14:textId="77777777" w:rsidR="00BF5974" w:rsidRDefault="00BF5974">
            <w:pPr>
              <w:spacing w:line="256" w:lineRule="auto"/>
              <w:jc w:val="left"/>
              <w:rPr>
                <w:rFonts w:eastAsia="Times New Roman" w:cs="Arial"/>
                <w:sz w:val="18"/>
                <w:szCs w:val="18"/>
                <w:lang w:val="es-ES" w:eastAsia="en-US"/>
              </w:rPr>
            </w:pPr>
            <w:r>
              <w:rPr>
                <w:rFonts w:eastAsia="Times New Roman" w:cs="Arial"/>
                <w:sz w:val="18"/>
                <w:szCs w:val="18"/>
                <w:lang w:val="es-ES" w:eastAsia="en-US"/>
              </w:rPr>
              <w:t>Manzanillo</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B0CDEB4"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746,230</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27C86D78"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4,548,877</w:t>
            </w:r>
          </w:p>
        </w:tc>
        <w:tc>
          <w:tcPr>
            <w:tcW w:w="1266" w:type="dxa"/>
            <w:tcBorders>
              <w:top w:val="single" w:sz="4" w:space="0" w:color="auto"/>
              <w:left w:val="single" w:sz="4" w:space="0" w:color="auto"/>
              <w:bottom w:val="single" w:sz="4" w:space="0" w:color="auto"/>
              <w:right w:val="single" w:sz="4" w:space="0" w:color="auto"/>
            </w:tcBorders>
            <w:noWrap/>
            <w:vAlign w:val="bottom"/>
            <w:hideMark/>
          </w:tcPr>
          <w:p w14:paraId="4F1C5269"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1,667,268</w:t>
            </w:r>
          </w:p>
        </w:tc>
        <w:tc>
          <w:tcPr>
            <w:tcW w:w="1141" w:type="dxa"/>
            <w:tcBorders>
              <w:top w:val="single" w:sz="4" w:space="0" w:color="auto"/>
              <w:left w:val="single" w:sz="4" w:space="0" w:color="auto"/>
              <w:bottom w:val="single" w:sz="4" w:space="0" w:color="auto"/>
              <w:right w:val="single" w:sz="4" w:space="0" w:color="auto"/>
            </w:tcBorders>
            <w:vAlign w:val="bottom"/>
            <w:hideMark/>
          </w:tcPr>
          <w:p w14:paraId="0C925A5E"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8,556,055</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65A181EB" w14:textId="77777777" w:rsidR="00BF5974" w:rsidRDefault="00BF5974">
            <w:pPr>
              <w:spacing w:line="256" w:lineRule="auto"/>
              <w:jc w:val="right"/>
              <w:rPr>
                <w:rFonts w:cs="Arial"/>
                <w:b/>
                <w:bCs/>
                <w:sz w:val="18"/>
                <w:szCs w:val="18"/>
                <w:lang w:val="es-ES" w:eastAsia="en-US"/>
              </w:rPr>
            </w:pPr>
            <w:r>
              <w:rPr>
                <w:rFonts w:cs="Arial"/>
                <w:b/>
                <w:bCs/>
                <w:color w:val="000000"/>
                <w:sz w:val="18"/>
                <w:szCs w:val="18"/>
                <w:lang w:val="es-ES" w:eastAsia="en-US"/>
              </w:rPr>
              <w:t>15,518,430</w:t>
            </w:r>
          </w:p>
        </w:tc>
      </w:tr>
      <w:tr w:rsidR="00BF5974" w14:paraId="3FB4E680" w14:textId="77777777" w:rsidTr="00BF5974">
        <w:trPr>
          <w:trHeight w:val="20"/>
          <w:jc w:val="center"/>
        </w:trPr>
        <w:tc>
          <w:tcPr>
            <w:tcW w:w="14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5E7C50" w14:textId="77777777" w:rsidR="00BF5974" w:rsidRDefault="00BF5974">
            <w:pPr>
              <w:spacing w:line="256" w:lineRule="auto"/>
              <w:jc w:val="left"/>
              <w:rPr>
                <w:rFonts w:eastAsia="Times New Roman" w:cs="Arial"/>
                <w:sz w:val="18"/>
                <w:szCs w:val="18"/>
                <w:lang w:val="es-ES" w:eastAsia="en-US"/>
              </w:rPr>
            </w:pPr>
            <w:r>
              <w:rPr>
                <w:rFonts w:eastAsia="Times New Roman" w:cs="Arial"/>
                <w:sz w:val="18"/>
                <w:szCs w:val="18"/>
                <w:lang w:val="es-ES" w:eastAsia="en-US"/>
              </w:rPr>
              <w:t>Minatitlán</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4D3F6C2"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345,719</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02AE552F"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2,107,441</w:t>
            </w:r>
          </w:p>
        </w:tc>
        <w:tc>
          <w:tcPr>
            <w:tcW w:w="1266" w:type="dxa"/>
            <w:tcBorders>
              <w:top w:val="single" w:sz="4" w:space="0" w:color="auto"/>
              <w:left w:val="single" w:sz="4" w:space="0" w:color="auto"/>
              <w:bottom w:val="single" w:sz="4" w:space="0" w:color="auto"/>
              <w:right w:val="single" w:sz="4" w:space="0" w:color="auto"/>
            </w:tcBorders>
            <w:noWrap/>
            <w:vAlign w:val="bottom"/>
            <w:hideMark/>
          </w:tcPr>
          <w:p w14:paraId="7506A458"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24,621</w:t>
            </w:r>
          </w:p>
        </w:tc>
        <w:tc>
          <w:tcPr>
            <w:tcW w:w="1141" w:type="dxa"/>
            <w:tcBorders>
              <w:top w:val="single" w:sz="4" w:space="0" w:color="auto"/>
              <w:left w:val="single" w:sz="4" w:space="0" w:color="auto"/>
              <w:bottom w:val="single" w:sz="4" w:space="0" w:color="auto"/>
              <w:right w:val="single" w:sz="4" w:space="0" w:color="auto"/>
            </w:tcBorders>
            <w:vAlign w:val="bottom"/>
            <w:hideMark/>
          </w:tcPr>
          <w:p w14:paraId="1ADBAD9F" w14:textId="77777777" w:rsidR="00BF5974" w:rsidRDefault="00BF5974">
            <w:pPr>
              <w:spacing w:line="256" w:lineRule="auto"/>
              <w:jc w:val="right"/>
              <w:rPr>
                <w:rFonts w:cs="Arial"/>
                <w:sz w:val="18"/>
                <w:szCs w:val="18"/>
                <w:lang w:val="es-ES" w:eastAsia="en-US"/>
              </w:rPr>
            </w:pPr>
            <w:r>
              <w:rPr>
                <w:rFonts w:cs="Arial"/>
                <w:sz w:val="18"/>
                <w:szCs w:val="18"/>
                <w:lang w:val="es-ES" w:eastAsia="en-US"/>
              </w:rPr>
              <w:t>0</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78A07BA8" w14:textId="77777777" w:rsidR="00BF5974" w:rsidRDefault="00BF5974">
            <w:pPr>
              <w:spacing w:line="256" w:lineRule="auto"/>
              <w:jc w:val="right"/>
              <w:rPr>
                <w:rFonts w:cs="Arial"/>
                <w:b/>
                <w:bCs/>
                <w:sz w:val="18"/>
                <w:szCs w:val="18"/>
                <w:lang w:val="es-ES" w:eastAsia="en-US"/>
              </w:rPr>
            </w:pPr>
            <w:r>
              <w:rPr>
                <w:rFonts w:cs="Arial"/>
                <w:b/>
                <w:bCs/>
                <w:color w:val="000000"/>
                <w:sz w:val="18"/>
                <w:szCs w:val="18"/>
                <w:lang w:val="es-ES" w:eastAsia="en-US"/>
              </w:rPr>
              <w:t>2,477,781</w:t>
            </w:r>
          </w:p>
        </w:tc>
      </w:tr>
      <w:tr w:rsidR="00BF5974" w14:paraId="49204CCB" w14:textId="77777777" w:rsidTr="00BF5974">
        <w:trPr>
          <w:trHeight w:val="20"/>
          <w:jc w:val="center"/>
        </w:trPr>
        <w:tc>
          <w:tcPr>
            <w:tcW w:w="14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FB89C1" w14:textId="77777777" w:rsidR="00BF5974" w:rsidRDefault="00BF5974">
            <w:pPr>
              <w:spacing w:line="256" w:lineRule="auto"/>
              <w:jc w:val="left"/>
              <w:rPr>
                <w:rFonts w:eastAsia="Times New Roman" w:cs="Arial"/>
                <w:sz w:val="18"/>
                <w:szCs w:val="18"/>
                <w:lang w:val="es-ES" w:eastAsia="en-US"/>
              </w:rPr>
            </w:pPr>
            <w:r>
              <w:rPr>
                <w:rFonts w:eastAsia="Times New Roman" w:cs="Arial"/>
                <w:sz w:val="18"/>
                <w:szCs w:val="18"/>
                <w:lang w:val="es-ES" w:eastAsia="en-US"/>
              </w:rPr>
              <w:t>Tecomán</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1E06F01"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501,122</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7A0F548C"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3,054,744</w:t>
            </w:r>
          </w:p>
        </w:tc>
        <w:tc>
          <w:tcPr>
            <w:tcW w:w="1266" w:type="dxa"/>
            <w:tcBorders>
              <w:top w:val="single" w:sz="4" w:space="0" w:color="auto"/>
              <w:left w:val="single" w:sz="4" w:space="0" w:color="auto"/>
              <w:bottom w:val="single" w:sz="4" w:space="0" w:color="auto"/>
              <w:right w:val="single" w:sz="4" w:space="0" w:color="auto"/>
            </w:tcBorders>
            <w:noWrap/>
            <w:vAlign w:val="bottom"/>
            <w:hideMark/>
          </w:tcPr>
          <w:p w14:paraId="392B813C"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287,942</w:t>
            </w:r>
          </w:p>
        </w:tc>
        <w:tc>
          <w:tcPr>
            <w:tcW w:w="1141" w:type="dxa"/>
            <w:tcBorders>
              <w:top w:val="single" w:sz="4" w:space="0" w:color="auto"/>
              <w:left w:val="single" w:sz="4" w:space="0" w:color="auto"/>
              <w:bottom w:val="single" w:sz="4" w:space="0" w:color="auto"/>
              <w:right w:val="single" w:sz="4" w:space="0" w:color="auto"/>
            </w:tcBorders>
            <w:vAlign w:val="bottom"/>
            <w:hideMark/>
          </w:tcPr>
          <w:p w14:paraId="5509B6BC"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303,285</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70B41F43" w14:textId="77777777" w:rsidR="00BF5974" w:rsidRDefault="00BF5974">
            <w:pPr>
              <w:spacing w:line="256" w:lineRule="auto"/>
              <w:jc w:val="right"/>
              <w:rPr>
                <w:rFonts w:cs="Arial"/>
                <w:b/>
                <w:bCs/>
                <w:sz w:val="18"/>
                <w:szCs w:val="18"/>
                <w:lang w:val="es-ES" w:eastAsia="en-US"/>
              </w:rPr>
            </w:pPr>
            <w:r>
              <w:rPr>
                <w:rFonts w:cs="Arial"/>
                <w:b/>
                <w:bCs/>
                <w:color w:val="000000"/>
                <w:sz w:val="18"/>
                <w:szCs w:val="18"/>
                <w:lang w:val="es-ES" w:eastAsia="en-US"/>
              </w:rPr>
              <w:t>4,147,093</w:t>
            </w:r>
          </w:p>
        </w:tc>
      </w:tr>
      <w:tr w:rsidR="00BF5974" w14:paraId="667C6DBB" w14:textId="77777777" w:rsidTr="00BF5974">
        <w:trPr>
          <w:trHeight w:val="20"/>
          <w:jc w:val="center"/>
        </w:trPr>
        <w:tc>
          <w:tcPr>
            <w:tcW w:w="14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2EE088" w14:textId="77777777" w:rsidR="00BF5974" w:rsidRDefault="00BF5974">
            <w:pPr>
              <w:spacing w:line="256" w:lineRule="auto"/>
              <w:jc w:val="left"/>
              <w:rPr>
                <w:rFonts w:eastAsia="Times New Roman" w:cs="Arial"/>
                <w:sz w:val="18"/>
                <w:szCs w:val="18"/>
                <w:lang w:val="es-ES" w:eastAsia="en-US"/>
              </w:rPr>
            </w:pPr>
            <w:r>
              <w:rPr>
                <w:rFonts w:eastAsia="Times New Roman" w:cs="Arial"/>
                <w:sz w:val="18"/>
                <w:szCs w:val="18"/>
                <w:lang w:val="es-ES" w:eastAsia="en-US"/>
              </w:rPr>
              <w:t>Villa de Álvarez</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C68CAF9"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577,348</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3B3F9F2E"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3,519,406</w:t>
            </w:r>
          </w:p>
        </w:tc>
        <w:tc>
          <w:tcPr>
            <w:tcW w:w="1266" w:type="dxa"/>
            <w:tcBorders>
              <w:top w:val="single" w:sz="4" w:space="0" w:color="auto"/>
              <w:left w:val="single" w:sz="4" w:space="0" w:color="auto"/>
              <w:bottom w:val="single" w:sz="4" w:space="0" w:color="auto"/>
              <w:right w:val="single" w:sz="4" w:space="0" w:color="auto"/>
            </w:tcBorders>
            <w:noWrap/>
            <w:vAlign w:val="bottom"/>
            <w:hideMark/>
          </w:tcPr>
          <w:p w14:paraId="12CA70B2"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833,390</w:t>
            </w:r>
          </w:p>
        </w:tc>
        <w:tc>
          <w:tcPr>
            <w:tcW w:w="1141" w:type="dxa"/>
            <w:tcBorders>
              <w:top w:val="single" w:sz="4" w:space="0" w:color="auto"/>
              <w:left w:val="single" w:sz="4" w:space="0" w:color="auto"/>
              <w:bottom w:val="single" w:sz="4" w:space="0" w:color="auto"/>
              <w:right w:val="single" w:sz="4" w:space="0" w:color="auto"/>
            </w:tcBorders>
            <w:vAlign w:val="bottom"/>
            <w:hideMark/>
          </w:tcPr>
          <w:p w14:paraId="7B520CFD" w14:textId="77777777" w:rsidR="00BF5974" w:rsidRDefault="00BF5974">
            <w:pPr>
              <w:spacing w:line="256" w:lineRule="auto"/>
              <w:jc w:val="right"/>
              <w:rPr>
                <w:rFonts w:cs="Arial"/>
                <w:sz w:val="18"/>
                <w:szCs w:val="18"/>
                <w:lang w:val="es-ES" w:eastAsia="en-US"/>
              </w:rPr>
            </w:pPr>
            <w:r>
              <w:rPr>
                <w:rFonts w:cs="Arial"/>
                <w:sz w:val="18"/>
                <w:szCs w:val="18"/>
                <w:lang w:val="es-ES" w:eastAsia="en-US"/>
              </w:rPr>
              <w:t>0</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15C94C2F" w14:textId="77777777" w:rsidR="00BF5974" w:rsidRDefault="00BF5974">
            <w:pPr>
              <w:spacing w:line="256" w:lineRule="auto"/>
              <w:jc w:val="right"/>
              <w:rPr>
                <w:rFonts w:cs="Arial"/>
                <w:b/>
                <w:bCs/>
                <w:sz w:val="18"/>
                <w:szCs w:val="18"/>
                <w:lang w:val="es-ES" w:eastAsia="en-US"/>
              </w:rPr>
            </w:pPr>
            <w:r>
              <w:rPr>
                <w:rFonts w:cs="Arial"/>
                <w:b/>
                <w:bCs/>
                <w:color w:val="000000"/>
                <w:sz w:val="18"/>
                <w:szCs w:val="18"/>
                <w:lang w:val="es-ES" w:eastAsia="en-US"/>
              </w:rPr>
              <w:t>4,930,144</w:t>
            </w:r>
          </w:p>
        </w:tc>
      </w:tr>
      <w:tr w:rsidR="00BF5974" w14:paraId="0D420A4A" w14:textId="77777777" w:rsidTr="00BF5974">
        <w:trPr>
          <w:trHeight w:val="20"/>
          <w:jc w:val="center"/>
        </w:trPr>
        <w:tc>
          <w:tcPr>
            <w:tcW w:w="1427" w:type="dxa"/>
            <w:tcBorders>
              <w:top w:val="single" w:sz="4" w:space="0" w:color="auto"/>
              <w:left w:val="single" w:sz="4" w:space="0" w:color="auto"/>
              <w:bottom w:val="single" w:sz="4" w:space="0" w:color="auto"/>
              <w:right w:val="single" w:sz="4" w:space="0" w:color="auto"/>
            </w:tcBorders>
            <w:noWrap/>
            <w:vAlign w:val="center"/>
            <w:hideMark/>
          </w:tcPr>
          <w:p w14:paraId="4E8A83C9" w14:textId="77777777" w:rsidR="00BF5974" w:rsidRDefault="00BF5974">
            <w:pPr>
              <w:spacing w:line="256" w:lineRule="auto"/>
              <w:jc w:val="center"/>
              <w:rPr>
                <w:rFonts w:eastAsia="Times New Roman" w:cs="Arial"/>
                <w:b/>
                <w:bCs/>
                <w:sz w:val="18"/>
                <w:szCs w:val="18"/>
                <w:lang w:val="es-ES" w:eastAsia="en-US"/>
              </w:rPr>
            </w:pPr>
            <w:r>
              <w:rPr>
                <w:rFonts w:eastAsia="Times New Roman" w:cs="Arial"/>
                <w:b/>
                <w:bCs/>
                <w:sz w:val="18"/>
                <w:szCs w:val="18"/>
                <w:lang w:val="es-ES" w:eastAsia="en-US"/>
              </w:rPr>
              <w:t>Totales</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2EEA297" w14:textId="77777777" w:rsidR="00BF5974" w:rsidRDefault="00BF5974">
            <w:pPr>
              <w:spacing w:line="256" w:lineRule="auto"/>
              <w:jc w:val="right"/>
              <w:rPr>
                <w:rFonts w:eastAsia="Times New Roman" w:cs="Arial"/>
                <w:b/>
                <w:bCs/>
                <w:sz w:val="18"/>
                <w:szCs w:val="18"/>
                <w:lang w:val="es-ES" w:eastAsia="en-US"/>
              </w:rPr>
            </w:pPr>
            <w:r>
              <w:rPr>
                <w:rFonts w:cs="Arial"/>
                <w:b/>
                <w:bCs/>
                <w:sz w:val="18"/>
                <w:szCs w:val="18"/>
                <w:lang w:val="es-ES" w:eastAsia="en-US"/>
              </w:rPr>
              <w:t>4,147,352</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07E05C44" w14:textId="77777777" w:rsidR="00BF5974" w:rsidRDefault="00BF5974">
            <w:pPr>
              <w:spacing w:line="256" w:lineRule="auto"/>
              <w:jc w:val="right"/>
              <w:rPr>
                <w:rFonts w:eastAsia="Times New Roman" w:cs="Arial"/>
                <w:b/>
                <w:bCs/>
                <w:sz w:val="18"/>
                <w:szCs w:val="18"/>
                <w:lang w:val="es-ES" w:eastAsia="en-US"/>
              </w:rPr>
            </w:pPr>
            <w:r>
              <w:rPr>
                <w:rFonts w:cs="Arial"/>
                <w:b/>
                <w:bCs/>
                <w:sz w:val="18"/>
                <w:szCs w:val="18"/>
                <w:lang w:val="es-ES" w:eastAsia="en-US"/>
              </w:rPr>
              <w:t>25,281,475</w:t>
            </w:r>
          </w:p>
        </w:tc>
        <w:tc>
          <w:tcPr>
            <w:tcW w:w="1266" w:type="dxa"/>
            <w:tcBorders>
              <w:top w:val="single" w:sz="4" w:space="0" w:color="auto"/>
              <w:left w:val="single" w:sz="4" w:space="0" w:color="auto"/>
              <w:bottom w:val="single" w:sz="4" w:space="0" w:color="auto"/>
              <w:right w:val="single" w:sz="4" w:space="0" w:color="auto"/>
            </w:tcBorders>
            <w:noWrap/>
            <w:vAlign w:val="bottom"/>
            <w:hideMark/>
          </w:tcPr>
          <w:p w14:paraId="45405546" w14:textId="77777777" w:rsidR="00BF5974" w:rsidRDefault="00BF5974">
            <w:pPr>
              <w:spacing w:line="256" w:lineRule="auto"/>
              <w:jc w:val="right"/>
              <w:rPr>
                <w:rFonts w:eastAsia="Times New Roman" w:cs="Arial"/>
                <w:b/>
                <w:bCs/>
                <w:sz w:val="18"/>
                <w:szCs w:val="18"/>
                <w:lang w:val="es-ES" w:eastAsia="en-US"/>
              </w:rPr>
            </w:pPr>
            <w:r>
              <w:rPr>
                <w:rFonts w:cs="Arial"/>
                <w:b/>
                <w:bCs/>
                <w:sz w:val="18"/>
                <w:szCs w:val="18"/>
                <w:lang w:val="es-ES" w:eastAsia="en-US"/>
              </w:rPr>
              <w:t>4,481,971</w:t>
            </w:r>
          </w:p>
        </w:tc>
        <w:tc>
          <w:tcPr>
            <w:tcW w:w="1141" w:type="dxa"/>
            <w:tcBorders>
              <w:top w:val="single" w:sz="4" w:space="0" w:color="auto"/>
              <w:left w:val="single" w:sz="4" w:space="0" w:color="auto"/>
              <w:bottom w:val="single" w:sz="4" w:space="0" w:color="auto"/>
              <w:right w:val="single" w:sz="4" w:space="0" w:color="auto"/>
            </w:tcBorders>
            <w:vAlign w:val="bottom"/>
            <w:hideMark/>
          </w:tcPr>
          <w:p w14:paraId="50143D97" w14:textId="77777777" w:rsidR="00BF5974" w:rsidRDefault="00BF5974">
            <w:pPr>
              <w:spacing w:line="256" w:lineRule="auto"/>
              <w:jc w:val="right"/>
              <w:rPr>
                <w:rFonts w:ascii="Calibri" w:eastAsia="Times New Roman" w:hAnsi="Calibri" w:cs="Calibri"/>
                <w:b/>
                <w:bCs/>
                <w:color w:val="000000"/>
                <w:lang w:val="es-ES" w:eastAsia="en-US"/>
              </w:rPr>
            </w:pPr>
            <w:r>
              <w:rPr>
                <w:rFonts w:ascii="Calibri" w:hAnsi="Calibri" w:cs="Calibri"/>
                <w:b/>
                <w:bCs/>
                <w:color w:val="000000"/>
                <w:lang w:val="es-ES" w:eastAsia="en-US"/>
              </w:rPr>
              <w:t>8,967,736</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338B978F" w14:textId="77777777" w:rsidR="00BF5974" w:rsidRDefault="00BF5974">
            <w:pPr>
              <w:spacing w:line="256" w:lineRule="auto"/>
              <w:jc w:val="right"/>
              <w:rPr>
                <w:rFonts w:cs="Arial"/>
                <w:b/>
                <w:bCs/>
                <w:sz w:val="18"/>
                <w:szCs w:val="18"/>
                <w:lang w:val="es-ES" w:eastAsia="en-US"/>
              </w:rPr>
            </w:pPr>
            <w:r>
              <w:rPr>
                <w:rFonts w:cs="Arial"/>
                <w:b/>
                <w:bCs/>
                <w:color w:val="000000"/>
                <w:sz w:val="18"/>
                <w:szCs w:val="18"/>
                <w:lang w:val="es-ES" w:eastAsia="en-US"/>
              </w:rPr>
              <w:t>42,878,534</w:t>
            </w:r>
          </w:p>
        </w:tc>
      </w:tr>
    </w:tbl>
    <w:p w14:paraId="39917B58" w14:textId="77777777" w:rsidR="00BF5974" w:rsidRDefault="00BF5974" w:rsidP="00BF5974">
      <w:pPr>
        <w:ind w:left="567"/>
        <w:rPr>
          <w:rFonts w:cs="Arial"/>
          <w:sz w:val="18"/>
          <w:lang w:val="es-ES"/>
        </w:rPr>
      </w:pPr>
      <w:r>
        <w:rPr>
          <w:rFonts w:cs="Arial"/>
          <w:b/>
          <w:sz w:val="18"/>
          <w:lang w:val="es-ES"/>
        </w:rPr>
        <w:t>Nota</w:t>
      </w:r>
      <w:r>
        <w:rPr>
          <w:rFonts w:cs="Arial"/>
          <w:sz w:val="18"/>
          <w:lang w:val="es-ES"/>
        </w:rPr>
        <w:t>: La suma de los parciales puede no coincidir con el total debido al redondeo de cifras</w:t>
      </w:r>
    </w:p>
    <w:p w14:paraId="1D35BD3B" w14:textId="778094A4" w:rsidR="00BF5974" w:rsidRDefault="00BF5974" w:rsidP="00BF5974">
      <w:pPr>
        <w:rPr>
          <w:rFonts w:cs="Arial"/>
          <w:lang w:val="es-ES"/>
        </w:rPr>
      </w:pPr>
    </w:p>
    <w:p w14:paraId="1AD35084" w14:textId="77777777" w:rsidR="00105286" w:rsidRDefault="00105286" w:rsidP="00BF5974">
      <w:pPr>
        <w:rPr>
          <w:rFonts w:cs="Arial"/>
          <w:lang w:val="es-ES"/>
        </w:rPr>
      </w:pPr>
    </w:p>
    <w:p w14:paraId="31A9473E" w14:textId="77777777" w:rsidR="00BF5974" w:rsidRDefault="00BF5974" w:rsidP="00BF5974">
      <w:pPr>
        <w:shd w:val="clear" w:color="auto" w:fill="FFFFFF"/>
        <w:ind w:left="426" w:hanging="426"/>
        <w:contextualSpacing/>
        <w:rPr>
          <w:rFonts w:eastAsia="Times New Roman" w:cs="Arial"/>
          <w:lang w:val="es-ES" w:eastAsia="es-ES"/>
        </w:rPr>
      </w:pPr>
      <w:r>
        <w:rPr>
          <w:rFonts w:eastAsia="Times New Roman" w:cs="Arial"/>
          <w:lang w:val="es-ES" w:eastAsia="es-ES"/>
        </w:rPr>
        <w:t>III.</w:t>
      </w:r>
      <w:r>
        <w:rPr>
          <w:rFonts w:eastAsia="Times New Roman" w:cs="Arial"/>
          <w:lang w:val="es-ES" w:eastAsia="es-ES"/>
        </w:rPr>
        <w:tab/>
        <w:t>Los recursos provenientes del Ramo 33 Aportaciones Federales para Entidades Federativas y Municipios, que ejercerán los municipios del Estado, tendrán la siguiente distribución de acuerdo a los conceptos previstos en la Ley de Coordinación Fiscal:</w:t>
      </w:r>
    </w:p>
    <w:p w14:paraId="461EE1F3" w14:textId="77777777" w:rsidR="00BF5974" w:rsidRDefault="00BF5974" w:rsidP="00BF5974">
      <w:pPr>
        <w:keepNext/>
        <w:keepLines/>
        <w:jc w:val="center"/>
        <w:outlineLvl w:val="1"/>
        <w:rPr>
          <w:rFonts w:eastAsia="Times New Roman" w:cs="Arial"/>
          <w:b/>
          <w:lang w:val="es-ES" w:eastAsia="es-ES"/>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418"/>
      </w:tblGrid>
      <w:tr w:rsidR="00BF5974" w14:paraId="06FD1B78" w14:textId="77777777" w:rsidTr="00BF5974">
        <w:trPr>
          <w:trHeight w:val="227"/>
          <w:tblHeader/>
          <w:jc w:val="center"/>
        </w:trPr>
        <w:tc>
          <w:tcPr>
            <w:tcW w:w="8364" w:type="dxa"/>
            <w:gridSpan w:val="2"/>
            <w:tcBorders>
              <w:top w:val="nil"/>
              <w:left w:val="nil"/>
              <w:bottom w:val="single" w:sz="4" w:space="0" w:color="auto"/>
              <w:right w:val="nil"/>
            </w:tcBorders>
            <w:noWrap/>
            <w:vAlign w:val="center"/>
            <w:hideMark/>
          </w:tcPr>
          <w:p w14:paraId="29CF0B9C" w14:textId="77777777" w:rsidR="00BF5974" w:rsidRDefault="00BF5974">
            <w:pPr>
              <w:shd w:val="clear" w:color="auto" w:fill="FFFFFF"/>
              <w:spacing w:line="256" w:lineRule="auto"/>
              <w:jc w:val="center"/>
              <w:rPr>
                <w:rFonts w:cs="Arial"/>
                <w:b/>
                <w:bCs/>
                <w:sz w:val="20"/>
                <w:lang w:val="es-ES" w:eastAsia="es-ES"/>
              </w:rPr>
            </w:pPr>
            <w:bookmarkStart w:id="252" w:name="_Toc22021981"/>
            <w:bookmarkStart w:id="253" w:name="_Toc526757519"/>
            <w:bookmarkStart w:id="254" w:name="_Toc522869300"/>
            <w:r>
              <w:rPr>
                <w:rFonts w:eastAsia="Times New Roman" w:cs="Arial"/>
                <w:b/>
                <w:sz w:val="20"/>
                <w:lang w:val="es-ES" w:eastAsia="en-US"/>
              </w:rPr>
              <w:t xml:space="preserve">Tabla 54. Aportaciones Federales (Ramo 33) </w:t>
            </w:r>
            <w:r>
              <w:rPr>
                <w:rFonts w:eastAsia="Times New Roman" w:cs="Arial"/>
                <w:b/>
                <w:sz w:val="20"/>
                <w:lang w:val="es-ES" w:eastAsia="es-ES"/>
              </w:rPr>
              <w:t xml:space="preserve">a los Municipios </w:t>
            </w:r>
            <w:r>
              <w:rPr>
                <w:rFonts w:eastAsia="Times New Roman" w:cs="Arial"/>
                <w:b/>
                <w:sz w:val="20"/>
                <w:lang w:val="es-ES" w:eastAsia="es-ES"/>
              </w:rPr>
              <w:br/>
              <w:t>(Agregado)</w:t>
            </w:r>
            <w:bookmarkEnd w:id="252"/>
            <w:bookmarkEnd w:id="253"/>
            <w:bookmarkEnd w:id="254"/>
          </w:p>
        </w:tc>
      </w:tr>
      <w:tr w:rsidR="00BF5974" w14:paraId="2E7D11DA" w14:textId="77777777" w:rsidTr="00BF5974">
        <w:trPr>
          <w:trHeight w:val="227"/>
          <w:tblHeader/>
          <w:jc w:val="center"/>
        </w:trPr>
        <w:tc>
          <w:tcPr>
            <w:tcW w:w="6946" w:type="dxa"/>
            <w:tcBorders>
              <w:top w:val="single" w:sz="4" w:space="0" w:color="auto"/>
              <w:left w:val="single" w:sz="4" w:space="0" w:color="auto"/>
              <w:bottom w:val="single" w:sz="4" w:space="0" w:color="auto"/>
              <w:right w:val="single" w:sz="4" w:space="0" w:color="auto"/>
            </w:tcBorders>
            <w:noWrap/>
            <w:vAlign w:val="center"/>
            <w:hideMark/>
          </w:tcPr>
          <w:p w14:paraId="37137C1F" w14:textId="77777777" w:rsidR="00BF5974" w:rsidRDefault="00BF5974">
            <w:pPr>
              <w:shd w:val="clear" w:color="auto" w:fill="FFFFFF"/>
              <w:spacing w:line="256" w:lineRule="auto"/>
              <w:jc w:val="center"/>
              <w:rPr>
                <w:rFonts w:cs="Arial"/>
                <w:b/>
                <w:bCs/>
                <w:sz w:val="18"/>
                <w:lang w:val="es-ES" w:eastAsia="es-ES"/>
              </w:rPr>
            </w:pPr>
            <w:r>
              <w:rPr>
                <w:rFonts w:cs="Arial"/>
                <w:b/>
                <w:bCs/>
                <w:sz w:val="18"/>
                <w:lang w:val="es-ES" w:eastAsia="es-ES"/>
              </w:rPr>
              <w:t>Concepto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8D8D94" w14:textId="77777777" w:rsidR="00BF5974" w:rsidRDefault="00BF5974">
            <w:pPr>
              <w:shd w:val="clear" w:color="auto" w:fill="FFFFFF"/>
              <w:spacing w:line="256" w:lineRule="auto"/>
              <w:jc w:val="center"/>
              <w:rPr>
                <w:rFonts w:cs="Arial"/>
                <w:b/>
                <w:bCs/>
                <w:sz w:val="18"/>
                <w:lang w:val="es-ES" w:eastAsia="es-ES"/>
              </w:rPr>
            </w:pPr>
            <w:r>
              <w:rPr>
                <w:rFonts w:cs="Arial"/>
                <w:b/>
                <w:bCs/>
                <w:sz w:val="18"/>
                <w:lang w:val="es-ES" w:eastAsia="es-ES"/>
              </w:rPr>
              <w:t>Asignación Presupuestal</w:t>
            </w:r>
          </w:p>
        </w:tc>
      </w:tr>
      <w:tr w:rsidR="00BF5974" w14:paraId="148F5441" w14:textId="77777777" w:rsidTr="00BF5974">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0F229CAF" w14:textId="77777777" w:rsidR="00BF5974" w:rsidRDefault="00BF5974">
            <w:pPr>
              <w:shd w:val="clear" w:color="auto" w:fill="FFFFFF"/>
              <w:spacing w:line="256" w:lineRule="auto"/>
              <w:rPr>
                <w:rFonts w:cs="Arial"/>
                <w:sz w:val="18"/>
                <w:lang w:val="es-ES" w:eastAsia="es-ES"/>
              </w:rPr>
            </w:pPr>
            <w:r>
              <w:rPr>
                <w:rFonts w:cs="Arial"/>
                <w:sz w:val="18"/>
                <w:lang w:val="es-ES" w:eastAsia="es-ES"/>
              </w:rPr>
              <w:t>Fondo de Aportaciones para la Infraestructura Social Municipal (</w:t>
            </w:r>
            <w:r>
              <w:rPr>
                <w:rFonts w:cs="Arial"/>
                <w:b/>
                <w:sz w:val="18"/>
                <w:lang w:val="es-ES" w:eastAsia="es-ES"/>
              </w:rPr>
              <w:t>FISMDF</w:t>
            </w:r>
            <w:r>
              <w:rPr>
                <w:rFonts w:cs="Arial"/>
                <w:sz w:val="18"/>
                <w:lang w:val="es-ES" w:eastAsia="es-ES"/>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DE1A54D"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478,039,158</w:t>
            </w:r>
          </w:p>
        </w:tc>
      </w:tr>
      <w:tr w:rsidR="00BF5974" w14:paraId="4ECCD532" w14:textId="77777777" w:rsidTr="00BF5974">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599FF22A" w14:textId="77777777" w:rsidR="00BF5974" w:rsidRDefault="00BF5974">
            <w:pPr>
              <w:shd w:val="clear" w:color="auto" w:fill="FFFFFF"/>
              <w:spacing w:line="256" w:lineRule="auto"/>
              <w:rPr>
                <w:rFonts w:cs="Arial"/>
                <w:sz w:val="18"/>
                <w:lang w:val="es-ES" w:eastAsia="es-ES"/>
              </w:rPr>
            </w:pPr>
            <w:r>
              <w:rPr>
                <w:rFonts w:cs="Arial"/>
                <w:sz w:val="18"/>
                <w:lang w:val="es-ES" w:eastAsia="es-ES"/>
              </w:rPr>
              <w:t>Fondo de Aportaciones para el Fortalecimiento de los Municipios y de las Demarcaciones Territoriales del Distrito Federal (</w:t>
            </w:r>
            <w:r>
              <w:rPr>
                <w:rFonts w:cs="Arial"/>
                <w:b/>
                <w:sz w:val="18"/>
                <w:lang w:val="es-ES" w:eastAsia="es-ES"/>
              </w:rPr>
              <w:t>FORTAMUN</w:t>
            </w:r>
            <w:r>
              <w:rPr>
                <w:rFonts w:cs="Arial"/>
                <w:sz w:val="18"/>
                <w:lang w:val="es-ES" w:eastAsia="es-ES"/>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81A2A12" w14:textId="77777777" w:rsidR="00BF5974" w:rsidRDefault="00BF5974">
            <w:pPr>
              <w:spacing w:line="256" w:lineRule="auto"/>
              <w:jc w:val="right"/>
              <w:rPr>
                <w:rFonts w:eastAsia="Times New Roman" w:cs="Arial"/>
                <w:sz w:val="18"/>
                <w:szCs w:val="18"/>
                <w:lang w:val="es-ES" w:eastAsia="en-US"/>
              </w:rPr>
            </w:pPr>
            <w:r>
              <w:rPr>
                <w:rFonts w:cs="Arial"/>
                <w:sz w:val="18"/>
                <w:szCs w:val="18"/>
                <w:lang w:val="es-ES" w:eastAsia="en-US"/>
              </w:rPr>
              <w:t>687,030,357</w:t>
            </w:r>
          </w:p>
        </w:tc>
      </w:tr>
      <w:tr w:rsidR="00BF5974" w14:paraId="337C8DF3" w14:textId="77777777" w:rsidTr="00BF5974">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231BC525" w14:textId="77777777" w:rsidR="00BF5974" w:rsidRDefault="00BF5974">
            <w:pPr>
              <w:shd w:val="clear" w:color="auto" w:fill="FFFFFF"/>
              <w:spacing w:line="256" w:lineRule="auto"/>
              <w:jc w:val="center"/>
              <w:rPr>
                <w:rFonts w:cs="Arial"/>
                <w:b/>
                <w:sz w:val="18"/>
                <w:lang w:val="es-ES" w:eastAsia="es-ES"/>
              </w:rPr>
            </w:pPr>
            <w:r>
              <w:rPr>
                <w:rFonts w:cs="Arial"/>
                <w:b/>
                <w:sz w:val="18"/>
                <w:lang w:val="es-ES" w:eastAsia="es-ES"/>
              </w:rPr>
              <w:t>Total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B66D815" w14:textId="77777777" w:rsidR="00BF5974" w:rsidRDefault="00BF5974">
            <w:pPr>
              <w:spacing w:line="256" w:lineRule="auto"/>
              <w:jc w:val="right"/>
              <w:rPr>
                <w:rFonts w:eastAsia="Times New Roman" w:cs="Arial"/>
                <w:b/>
                <w:bCs/>
                <w:sz w:val="18"/>
                <w:szCs w:val="18"/>
                <w:lang w:val="es-ES" w:eastAsia="en-US"/>
              </w:rPr>
            </w:pPr>
            <w:r>
              <w:rPr>
                <w:rFonts w:cs="Arial"/>
                <w:b/>
                <w:bCs/>
                <w:sz w:val="18"/>
                <w:szCs w:val="18"/>
                <w:lang w:val="es-ES" w:eastAsia="en-US"/>
              </w:rPr>
              <w:t>1,165,069,515</w:t>
            </w:r>
          </w:p>
        </w:tc>
      </w:tr>
    </w:tbl>
    <w:p w14:paraId="4C5E618B" w14:textId="77777777" w:rsidR="00BF5974" w:rsidRDefault="00BF5974" w:rsidP="00BF5974">
      <w:pPr>
        <w:keepNext/>
        <w:keepLines/>
        <w:outlineLvl w:val="2"/>
        <w:rPr>
          <w:rFonts w:eastAsia="Times New Roman" w:cs="Arial"/>
          <w:b/>
          <w:szCs w:val="24"/>
          <w:lang w:val="es-E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1468"/>
        <w:gridCol w:w="1468"/>
        <w:gridCol w:w="1368"/>
      </w:tblGrid>
      <w:tr w:rsidR="00BF5974" w14:paraId="788DB7A9" w14:textId="77777777" w:rsidTr="00BF5974">
        <w:trPr>
          <w:trHeight w:val="20"/>
          <w:tblHeader/>
          <w:jc w:val="center"/>
        </w:trPr>
        <w:tc>
          <w:tcPr>
            <w:tcW w:w="7282" w:type="dxa"/>
            <w:gridSpan w:val="4"/>
            <w:tcBorders>
              <w:top w:val="nil"/>
              <w:left w:val="nil"/>
              <w:bottom w:val="single" w:sz="4" w:space="0" w:color="auto"/>
              <w:right w:val="nil"/>
            </w:tcBorders>
            <w:vAlign w:val="center"/>
            <w:hideMark/>
          </w:tcPr>
          <w:p w14:paraId="5BD0E929" w14:textId="77777777" w:rsidR="00BF5974" w:rsidRDefault="00BF5974">
            <w:pPr>
              <w:spacing w:line="256" w:lineRule="auto"/>
              <w:jc w:val="center"/>
              <w:rPr>
                <w:rFonts w:cs="Arial"/>
                <w:b/>
                <w:sz w:val="20"/>
                <w:szCs w:val="18"/>
                <w:lang w:val="es-ES" w:eastAsia="en-US"/>
              </w:rPr>
            </w:pPr>
            <w:bookmarkStart w:id="255" w:name="_Toc22021982"/>
            <w:bookmarkStart w:id="256" w:name="_Toc526757520"/>
            <w:bookmarkStart w:id="257" w:name="_Toc522869301"/>
            <w:r>
              <w:rPr>
                <w:rFonts w:eastAsia="Times New Roman" w:cs="Arial"/>
                <w:b/>
                <w:sz w:val="20"/>
                <w:szCs w:val="18"/>
                <w:lang w:val="es-ES" w:eastAsia="en-US"/>
              </w:rPr>
              <w:t xml:space="preserve">Tabla 55. Aportaciones Federales (Ramo 33) </w:t>
            </w:r>
            <w:r>
              <w:rPr>
                <w:rFonts w:eastAsia="Times New Roman" w:cs="Arial"/>
                <w:b/>
                <w:sz w:val="20"/>
                <w:szCs w:val="18"/>
                <w:lang w:val="es-ES" w:eastAsia="es-ES"/>
              </w:rPr>
              <w:t>a los Municipios</w:t>
            </w:r>
            <w:bookmarkEnd w:id="255"/>
            <w:bookmarkEnd w:id="256"/>
            <w:bookmarkEnd w:id="257"/>
          </w:p>
        </w:tc>
      </w:tr>
      <w:tr w:rsidR="00BF5974" w14:paraId="2B0D68ED" w14:textId="77777777" w:rsidTr="00BF5974">
        <w:trPr>
          <w:trHeight w:val="20"/>
          <w:tblHeader/>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6FCBD291" w14:textId="77777777" w:rsidR="00BF5974" w:rsidRDefault="00BF5974">
            <w:pPr>
              <w:spacing w:line="256" w:lineRule="auto"/>
              <w:jc w:val="center"/>
              <w:rPr>
                <w:rFonts w:cs="Arial"/>
                <w:b/>
                <w:bCs/>
                <w:sz w:val="18"/>
                <w:szCs w:val="18"/>
                <w:lang w:val="es-ES" w:eastAsia="en-US"/>
              </w:rPr>
            </w:pPr>
            <w:r>
              <w:rPr>
                <w:rFonts w:cs="Arial"/>
                <w:b/>
                <w:bCs/>
                <w:sz w:val="18"/>
                <w:szCs w:val="18"/>
                <w:lang w:val="es-ES" w:eastAsia="en-US"/>
              </w:rPr>
              <w:t>Municipios</w:t>
            </w:r>
          </w:p>
        </w:tc>
        <w:tc>
          <w:tcPr>
            <w:tcW w:w="1468" w:type="dxa"/>
            <w:tcBorders>
              <w:top w:val="single" w:sz="4" w:space="0" w:color="auto"/>
              <w:left w:val="single" w:sz="4" w:space="0" w:color="auto"/>
              <w:bottom w:val="single" w:sz="4" w:space="0" w:color="auto"/>
              <w:right w:val="single" w:sz="4" w:space="0" w:color="auto"/>
            </w:tcBorders>
            <w:vAlign w:val="center"/>
            <w:hideMark/>
          </w:tcPr>
          <w:p w14:paraId="7959EE65" w14:textId="77777777" w:rsidR="00BF5974" w:rsidRDefault="00BF5974">
            <w:pPr>
              <w:spacing w:line="256" w:lineRule="auto"/>
              <w:jc w:val="center"/>
              <w:rPr>
                <w:rFonts w:cs="Arial"/>
                <w:b/>
                <w:sz w:val="18"/>
                <w:szCs w:val="18"/>
                <w:lang w:val="es-ES" w:eastAsia="en-US"/>
              </w:rPr>
            </w:pPr>
            <w:r>
              <w:rPr>
                <w:rFonts w:cs="Arial"/>
                <w:b/>
                <w:sz w:val="18"/>
                <w:szCs w:val="18"/>
                <w:lang w:val="es-ES" w:eastAsia="en-US"/>
              </w:rPr>
              <w:t>FISMDF</w:t>
            </w:r>
          </w:p>
        </w:tc>
        <w:tc>
          <w:tcPr>
            <w:tcW w:w="1468" w:type="dxa"/>
            <w:tcBorders>
              <w:top w:val="single" w:sz="4" w:space="0" w:color="auto"/>
              <w:left w:val="single" w:sz="4" w:space="0" w:color="auto"/>
              <w:bottom w:val="single" w:sz="4" w:space="0" w:color="auto"/>
              <w:right w:val="single" w:sz="4" w:space="0" w:color="auto"/>
            </w:tcBorders>
            <w:vAlign w:val="center"/>
            <w:hideMark/>
          </w:tcPr>
          <w:p w14:paraId="0A1BA449" w14:textId="77777777" w:rsidR="00BF5974" w:rsidRDefault="00BF5974">
            <w:pPr>
              <w:spacing w:line="256" w:lineRule="auto"/>
              <w:jc w:val="center"/>
              <w:rPr>
                <w:rFonts w:cs="Arial"/>
                <w:b/>
                <w:sz w:val="18"/>
                <w:szCs w:val="18"/>
                <w:lang w:val="es-ES" w:eastAsia="en-US"/>
              </w:rPr>
            </w:pPr>
            <w:r>
              <w:rPr>
                <w:rFonts w:cs="Arial"/>
                <w:b/>
                <w:sz w:val="18"/>
                <w:szCs w:val="18"/>
                <w:lang w:val="es-ES" w:eastAsia="en-US"/>
              </w:rPr>
              <w:t>FORTAMUN</w:t>
            </w:r>
          </w:p>
        </w:tc>
        <w:tc>
          <w:tcPr>
            <w:tcW w:w="1368" w:type="dxa"/>
            <w:tcBorders>
              <w:top w:val="single" w:sz="4" w:space="0" w:color="auto"/>
              <w:left w:val="single" w:sz="4" w:space="0" w:color="auto"/>
              <w:bottom w:val="single" w:sz="4" w:space="0" w:color="auto"/>
              <w:right w:val="single" w:sz="4" w:space="0" w:color="auto"/>
            </w:tcBorders>
            <w:vAlign w:val="center"/>
            <w:hideMark/>
          </w:tcPr>
          <w:p w14:paraId="617A4747" w14:textId="77777777" w:rsidR="00BF5974" w:rsidRDefault="00BF5974">
            <w:pPr>
              <w:spacing w:line="256" w:lineRule="auto"/>
              <w:jc w:val="center"/>
              <w:rPr>
                <w:rFonts w:cs="Arial"/>
                <w:b/>
                <w:sz w:val="18"/>
                <w:szCs w:val="18"/>
                <w:lang w:val="es-ES" w:eastAsia="en-US"/>
              </w:rPr>
            </w:pPr>
            <w:r>
              <w:rPr>
                <w:rFonts w:cs="Arial"/>
                <w:b/>
                <w:sz w:val="18"/>
                <w:szCs w:val="18"/>
                <w:lang w:val="es-ES" w:eastAsia="en-US"/>
              </w:rPr>
              <w:t>Asignación Presupuestal</w:t>
            </w:r>
          </w:p>
        </w:tc>
      </w:tr>
      <w:tr w:rsidR="00BF5974" w14:paraId="5E48AF87" w14:textId="77777777" w:rsidTr="00BF5974">
        <w:trPr>
          <w:trHeight w:val="20"/>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3C7F28C9" w14:textId="77777777" w:rsidR="00BF5974" w:rsidRDefault="00BF5974">
            <w:pPr>
              <w:spacing w:line="256" w:lineRule="auto"/>
              <w:rPr>
                <w:rFonts w:cs="Arial"/>
                <w:sz w:val="18"/>
                <w:szCs w:val="18"/>
                <w:lang w:val="es-ES" w:eastAsia="en-US"/>
              </w:rPr>
            </w:pPr>
            <w:r>
              <w:rPr>
                <w:rFonts w:cs="Arial"/>
                <w:sz w:val="18"/>
                <w:szCs w:val="18"/>
                <w:lang w:val="es-ES" w:eastAsia="en-US"/>
              </w:rPr>
              <w:t>Armería</w:t>
            </w:r>
          </w:p>
        </w:tc>
        <w:tc>
          <w:tcPr>
            <w:tcW w:w="1468" w:type="dxa"/>
            <w:tcBorders>
              <w:top w:val="single" w:sz="4" w:space="0" w:color="auto"/>
              <w:left w:val="single" w:sz="4" w:space="0" w:color="auto"/>
              <w:bottom w:val="single" w:sz="4" w:space="0" w:color="auto"/>
              <w:right w:val="single" w:sz="4" w:space="0" w:color="auto"/>
            </w:tcBorders>
            <w:vAlign w:val="bottom"/>
            <w:hideMark/>
          </w:tcPr>
          <w:p w14:paraId="754C74F1" w14:textId="77777777" w:rsidR="00BF5974" w:rsidRDefault="00BF5974">
            <w:pPr>
              <w:spacing w:line="256" w:lineRule="auto"/>
              <w:jc w:val="right"/>
              <w:rPr>
                <w:rFonts w:cs="Arial"/>
                <w:sz w:val="18"/>
                <w:szCs w:val="18"/>
                <w:lang w:val="es-ES" w:eastAsia="en-US"/>
              </w:rPr>
            </w:pPr>
            <w:r>
              <w:rPr>
                <w:rFonts w:cs="Arial"/>
                <w:sz w:val="18"/>
                <w:szCs w:val="18"/>
                <w:lang w:val="es-ES" w:eastAsia="en-US"/>
              </w:rPr>
              <w:t>36,490,692</w:t>
            </w:r>
          </w:p>
        </w:tc>
        <w:tc>
          <w:tcPr>
            <w:tcW w:w="1468" w:type="dxa"/>
            <w:tcBorders>
              <w:top w:val="single" w:sz="4" w:space="0" w:color="auto"/>
              <w:left w:val="single" w:sz="4" w:space="0" w:color="auto"/>
              <w:bottom w:val="single" w:sz="4" w:space="0" w:color="auto"/>
              <w:right w:val="single" w:sz="4" w:space="0" w:color="auto"/>
            </w:tcBorders>
            <w:vAlign w:val="bottom"/>
            <w:hideMark/>
          </w:tcPr>
          <w:p w14:paraId="112F3E29" w14:textId="77777777" w:rsidR="00BF5974" w:rsidRDefault="00BF5974">
            <w:pPr>
              <w:spacing w:line="256" w:lineRule="auto"/>
              <w:jc w:val="right"/>
              <w:rPr>
                <w:rFonts w:cs="Arial"/>
                <w:sz w:val="18"/>
                <w:szCs w:val="18"/>
                <w:lang w:val="es-ES" w:eastAsia="en-US"/>
              </w:rPr>
            </w:pPr>
            <w:r>
              <w:rPr>
                <w:rFonts w:cs="Arial"/>
                <w:sz w:val="18"/>
                <w:szCs w:val="18"/>
                <w:lang w:val="es-ES" w:eastAsia="en-US"/>
              </w:rPr>
              <w:t>25,950,416</w:t>
            </w:r>
          </w:p>
        </w:tc>
        <w:tc>
          <w:tcPr>
            <w:tcW w:w="1368" w:type="dxa"/>
            <w:tcBorders>
              <w:top w:val="single" w:sz="4" w:space="0" w:color="auto"/>
              <w:left w:val="single" w:sz="4" w:space="0" w:color="auto"/>
              <w:bottom w:val="single" w:sz="4" w:space="0" w:color="auto"/>
              <w:right w:val="single" w:sz="4" w:space="0" w:color="auto"/>
            </w:tcBorders>
            <w:vAlign w:val="bottom"/>
            <w:hideMark/>
          </w:tcPr>
          <w:p w14:paraId="5C706111" w14:textId="77777777" w:rsidR="00BF5974" w:rsidRDefault="00BF5974">
            <w:pPr>
              <w:spacing w:line="256" w:lineRule="auto"/>
              <w:jc w:val="right"/>
              <w:rPr>
                <w:rFonts w:cs="Arial"/>
                <w:b/>
                <w:bCs/>
                <w:sz w:val="18"/>
                <w:szCs w:val="18"/>
                <w:lang w:val="es-ES" w:eastAsia="en-US"/>
              </w:rPr>
            </w:pPr>
            <w:r>
              <w:rPr>
                <w:rFonts w:cs="Arial"/>
                <w:sz w:val="18"/>
                <w:szCs w:val="18"/>
                <w:lang w:val="es-ES" w:eastAsia="en-US"/>
              </w:rPr>
              <w:t>62,441,108</w:t>
            </w:r>
          </w:p>
        </w:tc>
      </w:tr>
      <w:tr w:rsidR="00BF5974" w14:paraId="09BF7516" w14:textId="77777777" w:rsidTr="00BF5974">
        <w:trPr>
          <w:trHeight w:val="20"/>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2582AC88" w14:textId="77777777" w:rsidR="00BF5974" w:rsidRDefault="00BF5974">
            <w:pPr>
              <w:spacing w:line="256" w:lineRule="auto"/>
              <w:rPr>
                <w:rFonts w:cs="Arial"/>
                <w:sz w:val="18"/>
                <w:szCs w:val="18"/>
                <w:lang w:val="es-ES" w:eastAsia="en-US"/>
              </w:rPr>
            </w:pPr>
            <w:r>
              <w:rPr>
                <w:rFonts w:cs="Arial"/>
                <w:sz w:val="18"/>
                <w:szCs w:val="18"/>
                <w:lang w:val="es-ES" w:eastAsia="en-US"/>
              </w:rPr>
              <w:t>Colima</w:t>
            </w:r>
          </w:p>
        </w:tc>
        <w:tc>
          <w:tcPr>
            <w:tcW w:w="1468" w:type="dxa"/>
            <w:tcBorders>
              <w:top w:val="single" w:sz="4" w:space="0" w:color="auto"/>
              <w:left w:val="single" w:sz="4" w:space="0" w:color="auto"/>
              <w:bottom w:val="single" w:sz="4" w:space="0" w:color="auto"/>
              <w:right w:val="single" w:sz="4" w:space="0" w:color="auto"/>
            </w:tcBorders>
            <w:vAlign w:val="bottom"/>
            <w:hideMark/>
          </w:tcPr>
          <w:p w14:paraId="212192C2" w14:textId="77777777" w:rsidR="00BF5974" w:rsidRDefault="00BF5974">
            <w:pPr>
              <w:spacing w:line="256" w:lineRule="auto"/>
              <w:jc w:val="right"/>
              <w:rPr>
                <w:rFonts w:cs="Arial"/>
                <w:sz w:val="18"/>
                <w:szCs w:val="18"/>
                <w:lang w:val="es-ES" w:eastAsia="en-US"/>
              </w:rPr>
            </w:pPr>
            <w:r>
              <w:rPr>
                <w:rFonts w:cs="Arial"/>
                <w:sz w:val="18"/>
                <w:szCs w:val="18"/>
                <w:lang w:val="es-ES" w:eastAsia="en-US"/>
              </w:rPr>
              <w:t>76,074,112</w:t>
            </w:r>
          </w:p>
        </w:tc>
        <w:tc>
          <w:tcPr>
            <w:tcW w:w="1468" w:type="dxa"/>
            <w:tcBorders>
              <w:top w:val="single" w:sz="4" w:space="0" w:color="auto"/>
              <w:left w:val="single" w:sz="4" w:space="0" w:color="auto"/>
              <w:bottom w:val="single" w:sz="4" w:space="0" w:color="auto"/>
              <w:right w:val="single" w:sz="4" w:space="0" w:color="auto"/>
            </w:tcBorders>
            <w:vAlign w:val="bottom"/>
            <w:hideMark/>
          </w:tcPr>
          <w:p w14:paraId="2007DC8B" w14:textId="77777777" w:rsidR="00BF5974" w:rsidRDefault="00BF5974">
            <w:pPr>
              <w:spacing w:line="256" w:lineRule="auto"/>
              <w:jc w:val="right"/>
              <w:rPr>
                <w:rFonts w:cs="Arial"/>
                <w:sz w:val="18"/>
                <w:szCs w:val="18"/>
                <w:lang w:val="es-ES" w:eastAsia="en-US"/>
              </w:rPr>
            </w:pPr>
            <w:r>
              <w:rPr>
                <w:rFonts w:cs="Arial"/>
                <w:sz w:val="18"/>
                <w:szCs w:val="18"/>
                <w:lang w:val="es-ES" w:eastAsia="en-US"/>
              </w:rPr>
              <w:t>147,522,657</w:t>
            </w:r>
          </w:p>
        </w:tc>
        <w:tc>
          <w:tcPr>
            <w:tcW w:w="1368" w:type="dxa"/>
            <w:tcBorders>
              <w:top w:val="single" w:sz="4" w:space="0" w:color="auto"/>
              <w:left w:val="single" w:sz="4" w:space="0" w:color="auto"/>
              <w:bottom w:val="single" w:sz="4" w:space="0" w:color="auto"/>
              <w:right w:val="single" w:sz="4" w:space="0" w:color="auto"/>
            </w:tcBorders>
            <w:vAlign w:val="bottom"/>
            <w:hideMark/>
          </w:tcPr>
          <w:p w14:paraId="68A47F95" w14:textId="77777777" w:rsidR="00BF5974" w:rsidRDefault="00BF5974">
            <w:pPr>
              <w:spacing w:line="256" w:lineRule="auto"/>
              <w:jc w:val="right"/>
              <w:rPr>
                <w:rFonts w:cs="Arial"/>
                <w:b/>
                <w:bCs/>
                <w:sz w:val="18"/>
                <w:szCs w:val="18"/>
                <w:lang w:val="es-ES" w:eastAsia="en-US"/>
              </w:rPr>
            </w:pPr>
            <w:r>
              <w:rPr>
                <w:rFonts w:cs="Arial"/>
                <w:sz w:val="18"/>
                <w:szCs w:val="18"/>
                <w:lang w:val="es-ES" w:eastAsia="en-US"/>
              </w:rPr>
              <w:t>223,596,769</w:t>
            </w:r>
          </w:p>
        </w:tc>
      </w:tr>
      <w:tr w:rsidR="00BF5974" w14:paraId="340A0381" w14:textId="77777777" w:rsidTr="00BF5974">
        <w:trPr>
          <w:trHeight w:val="20"/>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10FB8D6F" w14:textId="77777777" w:rsidR="00BF5974" w:rsidRDefault="00BF5974">
            <w:pPr>
              <w:spacing w:line="256" w:lineRule="auto"/>
              <w:rPr>
                <w:rFonts w:cs="Arial"/>
                <w:sz w:val="18"/>
                <w:szCs w:val="18"/>
                <w:lang w:val="es-ES" w:eastAsia="en-US"/>
              </w:rPr>
            </w:pPr>
            <w:r>
              <w:rPr>
                <w:rFonts w:cs="Arial"/>
                <w:sz w:val="18"/>
                <w:szCs w:val="18"/>
                <w:lang w:val="es-ES" w:eastAsia="en-US"/>
              </w:rPr>
              <w:t>Comala</w:t>
            </w:r>
          </w:p>
        </w:tc>
        <w:tc>
          <w:tcPr>
            <w:tcW w:w="1468" w:type="dxa"/>
            <w:tcBorders>
              <w:top w:val="single" w:sz="4" w:space="0" w:color="auto"/>
              <w:left w:val="single" w:sz="4" w:space="0" w:color="auto"/>
              <w:bottom w:val="single" w:sz="4" w:space="0" w:color="auto"/>
              <w:right w:val="single" w:sz="4" w:space="0" w:color="auto"/>
            </w:tcBorders>
            <w:vAlign w:val="bottom"/>
            <w:hideMark/>
          </w:tcPr>
          <w:p w14:paraId="1D6D96E5" w14:textId="77777777" w:rsidR="00BF5974" w:rsidRDefault="00BF5974">
            <w:pPr>
              <w:spacing w:line="256" w:lineRule="auto"/>
              <w:jc w:val="right"/>
              <w:rPr>
                <w:rFonts w:cs="Arial"/>
                <w:sz w:val="18"/>
                <w:szCs w:val="18"/>
                <w:lang w:val="es-ES" w:eastAsia="en-US"/>
              </w:rPr>
            </w:pPr>
            <w:r>
              <w:rPr>
                <w:rFonts w:cs="Arial"/>
                <w:sz w:val="18"/>
                <w:szCs w:val="18"/>
                <w:lang w:val="es-ES" w:eastAsia="en-US"/>
              </w:rPr>
              <w:t>40,149,406</w:t>
            </w:r>
          </w:p>
        </w:tc>
        <w:tc>
          <w:tcPr>
            <w:tcW w:w="1468" w:type="dxa"/>
            <w:tcBorders>
              <w:top w:val="single" w:sz="4" w:space="0" w:color="auto"/>
              <w:left w:val="single" w:sz="4" w:space="0" w:color="auto"/>
              <w:bottom w:val="single" w:sz="4" w:space="0" w:color="auto"/>
              <w:right w:val="single" w:sz="4" w:space="0" w:color="auto"/>
            </w:tcBorders>
            <w:vAlign w:val="bottom"/>
            <w:hideMark/>
          </w:tcPr>
          <w:p w14:paraId="1042922E" w14:textId="77777777" w:rsidR="00BF5974" w:rsidRDefault="00BF5974">
            <w:pPr>
              <w:spacing w:line="256" w:lineRule="auto"/>
              <w:jc w:val="right"/>
              <w:rPr>
                <w:rFonts w:cs="Arial"/>
                <w:sz w:val="18"/>
                <w:szCs w:val="18"/>
                <w:lang w:val="es-ES" w:eastAsia="en-US"/>
              </w:rPr>
            </w:pPr>
            <w:r>
              <w:rPr>
                <w:rFonts w:cs="Arial"/>
                <w:sz w:val="18"/>
                <w:szCs w:val="18"/>
                <w:lang w:val="es-ES" w:eastAsia="en-US"/>
              </w:rPr>
              <w:t>20,347,208</w:t>
            </w:r>
          </w:p>
        </w:tc>
        <w:tc>
          <w:tcPr>
            <w:tcW w:w="1368" w:type="dxa"/>
            <w:tcBorders>
              <w:top w:val="single" w:sz="4" w:space="0" w:color="auto"/>
              <w:left w:val="single" w:sz="4" w:space="0" w:color="auto"/>
              <w:bottom w:val="single" w:sz="4" w:space="0" w:color="auto"/>
              <w:right w:val="single" w:sz="4" w:space="0" w:color="auto"/>
            </w:tcBorders>
            <w:vAlign w:val="bottom"/>
            <w:hideMark/>
          </w:tcPr>
          <w:p w14:paraId="64EEB105" w14:textId="77777777" w:rsidR="00BF5974" w:rsidRDefault="00BF5974">
            <w:pPr>
              <w:spacing w:line="256" w:lineRule="auto"/>
              <w:jc w:val="right"/>
              <w:rPr>
                <w:rFonts w:cs="Arial"/>
                <w:b/>
                <w:bCs/>
                <w:sz w:val="18"/>
                <w:szCs w:val="18"/>
                <w:lang w:val="es-ES" w:eastAsia="en-US"/>
              </w:rPr>
            </w:pPr>
            <w:r>
              <w:rPr>
                <w:rFonts w:cs="Arial"/>
                <w:sz w:val="18"/>
                <w:szCs w:val="18"/>
                <w:lang w:val="es-ES" w:eastAsia="en-US"/>
              </w:rPr>
              <w:t>60,496,614</w:t>
            </w:r>
          </w:p>
        </w:tc>
      </w:tr>
      <w:tr w:rsidR="00BF5974" w14:paraId="7C71514B" w14:textId="77777777" w:rsidTr="00BF5974">
        <w:trPr>
          <w:trHeight w:val="20"/>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7F353AE9" w14:textId="77777777" w:rsidR="00BF5974" w:rsidRDefault="00BF5974">
            <w:pPr>
              <w:spacing w:line="256" w:lineRule="auto"/>
              <w:rPr>
                <w:rFonts w:cs="Arial"/>
                <w:sz w:val="18"/>
                <w:szCs w:val="18"/>
                <w:lang w:val="es-ES" w:eastAsia="en-US"/>
              </w:rPr>
            </w:pPr>
            <w:r>
              <w:rPr>
                <w:rFonts w:cs="Arial"/>
                <w:sz w:val="18"/>
                <w:szCs w:val="18"/>
                <w:lang w:val="es-ES" w:eastAsia="en-US"/>
              </w:rPr>
              <w:t>Coquimatlán</w:t>
            </w:r>
          </w:p>
        </w:tc>
        <w:tc>
          <w:tcPr>
            <w:tcW w:w="1468" w:type="dxa"/>
            <w:tcBorders>
              <w:top w:val="single" w:sz="4" w:space="0" w:color="auto"/>
              <w:left w:val="single" w:sz="4" w:space="0" w:color="auto"/>
              <w:bottom w:val="single" w:sz="4" w:space="0" w:color="auto"/>
              <w:right w:val="single" w:sz="4" w:space="0" w:color="auto"/>
            </w:tcBorders>
            <w:vAlign w:val="bottom"/>
            <w:hideMark/>
          </w:tcPr>
          <w:p w14:paraId="3821EEB0" w14:textId="77777777" w:rsidR="00BF5974" w:rsidRDefault="00BF5974">
            <w:pPr>
              <w:spacing w:line="256" w:lineRule="auto"/>
              <w:jc w:val="right"/>
              <w:rPr>
                <w:rFonts w:cs="Arial"/>
                <w:sz w:val="18"/>
                <w:szCs w:val="18"/>
                <w:lang w:val="es-ES" w:eastAsia="en-US"/>
              </w:rPr>
            </w:pPr>
            <w:r>
              <w:rPr>
                <w:rFonts w:cs="Arial"/>
                <w:sz w:val="18"/>
                <w:szCs w:val="18"/>
                <w:lang w:val="es-ES" w:eastAsia="en-US"/>
              </w:rPr>
              <w:t>30,089,153</w:t>
            </w:r>
          </w:p>
        </w:tc>
        <w:tc>
          <w:tcPr>
            <w:tcW w:w="1468" w:type="dxa"/>
            <w:tcBorders>
              <w:top w:val="single" w:sz="4" w:space="0" w:color="auto"/>
              <w:left w:val="single" w:sz="4" w:space="0" w:color="auto"/>
              <w:bottom w:val="single" w:sz="4" w:space="0" w:color="auto"/>
              <w:right w:val="single" w:sz="4" w:space="0" w:color="auto"/>
            </w:tcBorders>
            <w:vAlign w:val="bottom"/>
            <w:hideMark/>
          </w:tcPr>
          <w:p w14:paraId="08CE9B1A" w14:textId="77777777" w:rsidR="00BF5974" w:rsidRDefault="00BF5974">
            <w:pPr>
              <w:spacing w:line="256" w:lineRule="auto"/>
              <w:jc w:val="right"/>
              <w:rPr>
                <w:rFonts w:cs="Arial"/>
                <w:sz w:val="18"/>
                <w:szCs w:val="18"/>
                <w:lang w:val="es-ES" w:eastAsia="en-US"/>
              </w:rPr>
            </w:pPr>
            <w:r>
              <w:rPr>
                <w:rFonts w:cs="Arial"/>
                <w:sz w:val="18"/>
                <w:szCs w:val="18"/>
                <w:lang w:val="es-ES" w:eastAsia="en-US"/>
              </w:rPr>
              <w:t>19,573,185</w:t>
            </w:r>
          </w:p>
        </w:tc>
        <w:tc>
          <w:tcPr>
            <w:tcW w:w="1368" w:type="dxa"/>
            <w:tcBorders>
              <w:top w:val="single" w:sz="4" w:space="0" w:color="auto"/>
              <w:left w:val="single" w:sz="4" w:space="0" w:color="auto"/>
              <w:bottom w:val="single" w:sz="4" w:space="0" w:color="auto"/>
              <w:right w:val="single" w:sz="4" w:space="0" w:color="auto"/>
            </w:tcBorders>
            <w:vAlign w:val="bottom"/>
            <w:hideMark/>
          </w:tcPr>
          <w:p w14:paraId="7920DAA8" w14:textId="77777777" w:rsidR="00BF5974" w:rsidRDefault="00BF5974">
            <w:pPr>
              <w:spacing w:line="256" w:lineRule="auto"/>
              <w:jc w:val="right"/>
              <w:rPr>
                <w:rFonts w:cs="Arial"/>
                <w:b/>
                <w:bCs/>
                <w:sz w:val="18"/>
                <w:szCs w:val="18"/>
                <w:lang w:val="es-ES" w:eastAsia="en-US"/>
              </w:rPr>
            </w:pPr>
            <w:r>
              <w:rPr>
                <w:rFonts w:cs="Arial"/>
                <w:sz w:val="18"/>
                <w:szCs w:val="18"/>
                <w:lang w:val="es-ES" w:eastAsia="en-US"/>
              </w:rPr>
              <w:t>49,662,338</w:t>
            </w:r>
          </w:p>
        </w:tc>
      </w:tr>
      <w:tr w:rsidR="00BF5974" w14:paraId="3AA9BA87" w14:textId="77777777" w:rsidTr="00BF5974">
        <w:trPr>
          <w:trHeight w:val="20"/>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2248AA9A" w14:textId="77777777" w:rsidR="00BF5974" w:rsidRDefault="00BF5974">
            <w:pPr>
              <w:spacing w:line="256" w:lineRule="auto"/>
              <w:rPr>
                <w:rFonts w:cs="Arial"/>
                <w:sz w:val="18"/>
                <w:szCs w:val="18"/>
                <w:lang w:val="es-ES" w:eastAsia="en-US"/>
              </w:rPr>
            </w:pPr>
            <w:r>
              <w:rPr>
                <w:rFonts w:cs="Arial"/>
                <w:sz w:val="18"/>
                <w:szCs w:val="18"/>
                <w:lang w:val="es-ES" w:eastAsia="en-US"/>
              </w:rPr>
              <w:t>Cuauhtémoc</w:t>
            </w:r>
          </w:p>
        </w:tc>
        <w:tc>
          <w:tcPr>
            <w:tcW w:w="1468" w:type="dxa"/>
            <w:tcBorders>
              <w:top w:val="single" w:sz="4" w:space="0" w:color="auto"/>
              <w:left w:val="single" w:sz="4" w:space="0" w:color="auto"/>
              <w:bottom w:val="single" w:sz="4" w:space="0" w:color="auto"/>
              <w:right w:val="single" w:sz="4" w:space="0" w:color="auto"/>
            </w:tcBorders>
            <w:vAlign w:val="bottom"/>
            <w:hideMark/>
          </w:tcPr>
          <w:p w14:paraId="58C58F44" w14:textId="77777777" w:rsidR="00BF5974" w:rsidRDefault="00BF5974">
            <w:pPr>
              <w:spacing w:line="256" w:lineRule="auto"/>
              <w:jc w:val="right"/>
              <w:rPr>
                <w:rFonts w:cs="Arial"/>
                <w:sz w:val="18"/>
                <w:szCs w:val="18"/>
                <w:lang w:val="es-ES" w:eastAsia="en-US"/>
              </w:rPr>
            </w:pPr>
            <w:r>
              <w:rPr>
                <w:rFonts w:cs="Arial"/>
                <w:sz w:val="18"/>
                <w:szCs w:val="18"/>
                <w:lang w:val="es-ES" w:eastAsia="en-US"/>
              </w:rPr>
              <w:t>18,181,189</w:t>
            </w:r>
          </w:p>
        </w:tc>
        <w:tc>
          <w:tcPr>
            <w:tcW w:w="1468" w:type="dxa"/>
            <w:tcBorders>
              <w:top w:val="single" w:sz="4" w:space="0" w:color="auto"/>
              <w:left w:val="single" w:sz="4" w:space="0" w:color="auto"/>
              <w:bottom w:val="single" w:sz="4" w:space="0" w:color="auto"/>
              <w:right w:val="single" w:sz="4" w:space="0" w:color="auto"/>
            </w:tcBorders>
            <w:vAlign w:val="bottom"/>
            <w:hideMark/>
          </w:tcPr>
          <w:p w14:paraId="2E15FBD2" w14:textId="77777777" w:rsidR="00BF5974" w:rsidRDefault="00BF5974">
            <w:pPr>
              <w:spacing w:line="256" w:lineRule="auto"/>
              <w:jc w:val="right"/>
              <w:rPr>
                <w:rFonts w:cs="Arial"/>
                <w:sz w:val="18"/>
                <w:szCs w:val="18"/>
                <w:lang w:val="es-ES" w:eastAsia="en-US"/>
              </w:rPr>
            </w:pPr>
            <w:r>
              <w:rPr>
                <w:rFonts w:cs="Arial"/>
                <w:sz w:val="18"/>
                <w:szCs w:val="18"/>
                <w:lang w:val="es-ES" w:eastAsia="en-US"/>
              </w:rPr>
              <w:t>29,370,580</w:t>
            </w:r>
          </w:p>
        </w:tc>
        <w:tc>
          <w:tcPr>
            <w:tcW w:w="1368" w:type="dxa"/>
            <w:tcBorders>
              <w:top w:val="single" w:sz="4" w:space="0" w:color="auto"/>
              <w:left w:val="single" w:sz="4" w:space="0" w:color="auto"/>
              <w:bottom w:val="single" w:sz="4" w:space="0" w:color="auto"/>
              <w:right w:val="single" w:sz="4" w:space="0" w:color="auto"/>
            </w:tcBorders>
            <w:vAlign w:val="bottom"/>
            <w:hideMark/>
          </w:tcPr>
          <w:p w14:paraId="1C6A7225" w14:textId="77777777" w:rsidR="00BF5974" w:rsidRDefault="00BF5974">
            <w:pPr>
              <w:spacing w:line="256" w:lineRule="auto"/>
              <w:jc w:val="right"/>
              <w:rPr>
                <w:rFonts w:cs="Arial"/>
                <w:b/>
                <w:bCs/>
                <w:sz w:val="18"/>
                <w:szCs w:val="18"/>
                <w:lang w:val="es-ES" w:eastAsia="en-US"/>
              </w:rPr>
            </w:pPr>
            <w:r>
              <w:rPr>
                <w:rFonts w:cs="Arial"/>
                <w:sz w:val="18"/>
                <w:szCs w:val="18"/>
                <w:lang w:val="es-ES" w:eastAsia="en-US"/>
              </w:rPr>
              <w:t>47,551,769</w:t>
            </w:r>
          </w:p>
        </w:tc>
      </w:tr>
      <w:tr w:rsidR="00BF5974" w14:paraId="35163573" w14:textId="77777777" w:rsidTr="00BF5974">
        <w:trPr>
          <w:trHeight w:val="20"/>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1C6592A7" w14:textId="77777777" w:rsidR="00BF5974" w:rsidRDefault="00BF5974">
            <w:pPr>
              <w:spacing w:line="256" w:lineRule="auto"/>
              <w:rPr>
                <w:rFonts w:cs="Arial"/>
                <w:sz w:val="18"/>
                <w:szCs w:val="18"/>
                <w:lang w:val="es-ES" w:eastAsia="en-US"/>
              </w:rPr>
            </w:pPr>
            <w:r>
              <w:rPr>
                <w:rFonts w:cs="Arial"/>
                <w:sz w:val="18"/>
                <w:szCs w:val="18"/>
                <w:lang w:val="es-ES" w:eastAsia="en-US"/>
              </w:rPr>
              <w:t>Ixtlahuacán</w:t>
            </w:r>
          </w:p>
        </w:tc>
        <w:tc>
          <w:tcPr>
            <w:tcW w:w="1468" w:type="dxa"/>
            <w:tcBorders>
              <w:top w:val="single" w:sz="4" w:space="0" w:color="auto"/>
              <w:left w:val="single" w:sz="4" w:space="0" w:color="auto"/>
              <w:bottom w:val="single" w:sz="4" w:space="0" w:color="auto"/>
              <w:right w:val="single" w:sz="4" w:space="0" w:color="auto"/>
            </w:tcBorders>
            <w:vAlign w:val="bottom"/>
            <w:hideMark/>
          </w:tcPr>
          <w:p w14:paraId="7FB7E0B0" w14:textId="77777777" w:rsidR="00BF5974" w:rsidRDefault="00BF5974">
            <w:pPr>
              <w:spacing w:line="256" w:lineRule="auto"/>
              <w:jc w:val="right"/>
              <w:rPr>
                <w:rFonts w:cs="Arial"/>
                <w:sz w:val="18"/>
                <w:szCs w:val="18"/>
                <w:lang w:val="es-ES" w:eastAsia="en-US"/>
              </w:rPr>
            </w:pPr>
            <w:r>
              <w:rPr>
                <w:rFonts w:cs="Arial"/>
                <w:sz w:val="18"/>
                <w:szCs w:val="18"/>
                <w:lang w:val="es-ES" w:eastAsia="en-US"/>
              </w:rPr>
              <w:t>18,779,872</w:t>
            </w:r>
          </w:p>
        </w:tc>
        <w:tc>
          <w:tcPr>
            <w:tcW w:w="1468" w:type="dxa"/>
            <w:tcBorders>
              <w:top w:val="single" w:sz="4" w:space="0" w:color="auto"/>
              <w:left w:val="single" w:sz="4" w:space="0" w:color="auto"/>
              <w:bottom w:val="single" w:sz="4" w:space="0" w:color="auto"/>
              <w:right w:val="single" w:sz="4" w:space="0" w:color="auto"/>
            </w:tcBorders>
            <w:vAlign w:val="bottom"/>
            <w:hideMark/>
          </w:tcPr>
          <w:p w14:paraId="4C33BFD7" w14:textId="77777777" w:rsidR="00BF5974" w:rsidRDefault="00BF5974">
            <w:pPr>
              <w:spacing w:line="256" w:lineRule="auto"/>
              <w:jc w:val="right"/>
              <w:rPr>
                <w:rFonts w:cs="Arial"/>
                <w:sz w:val="18"/>
                <w:szCs w:val="18"/>
                <w:lang w:val="es-ES" w:eastAsia="en-US"/>
              </w:rPr>
            </w:pPr>
            <w:r>
              <w:rPr>
                <w:rFonts w:cs="Arial"/>
                <w:sz w:val="18"/>
                <w:szCs w:val="18"/>
                <w:lang w:val="es-ES" w:eastAsia="en-US"/>
              </w:rPr>
              <w:t>5,281,951</w:t>
            </w:r>
          </w:p>
        </w:tc>
        <w:tc>
          <w:tcPr>
            <w:tcW w:w="1368" w:type="dxa"/>
            <w:tcBorders>
              <w:top w:val="single" w:sz="4" w:space="0" w:color="auto"/>
              <w:left w:val="single" w:sz="4" w:space="0" w:color="auto"/>
              <w:bottom w:val="single" w:sz="4" w:space="0" w:color="auto"/>
              <w:right w:val="single" w:sz="4" w:space="0" w:color="auto"/>
            </w:tcBorders>
            <w:vAlign w:val="bottom"/>
            <w:hideMark/>
          </w:tcPr>
          <w:p w14:paraId="78537757" w14:textId="77777777" w:rsidR="00BF5974" w:rsidRDefault="00BF5974">
            <w:pPr>
              <w:spacing w:line="256" w:lineRule="auto"/>
              <w:jc w:val="right"/>
              <w:rPr>
                <w:rFonts w:cs="Arial"/>
                <w:b/>
                <w:bCs/>
                <w:sz w:val="18"/>
                <w:szCs w:val="18"/>
                <w:lang w:val="es-ES" w:eastAsia="en-US"/>
              </w:rPr>
            </w:pPr>
            <w:r>
              <w:rPr>
                <w:rFonts w:cs="Arial"/>
                <w:sz w:val="18"/>
                <w:szCs w:val="18"/>
                <w:lang w:val="es-ES" w:eastAsia="en-US"/>
              </w:rPr>
              <w:t>24,061,823</w:t>
            </w:r>
          </w:p>
        </w:tc>
      </w:tr>
      <w:tr w:rsidR="00BF5974" w14:paraId="4491C78F" w14:textId="77777777" w:rsidTr="00BF5974">
        <w:trPr>
          <w:trHeight w:val="20"/>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300D4589" w14:textId="77777777" w:rsidR="00BF5974" w:rsidRDefault="00BF5974">
            <w:pPr>
              <w:spacing w:line="256" w:lineRule="auto"/>
              <w:rPr>
                <w:rFonts w:cs="Arial"/>
                <w:sz w:val="18"/>
                <w:szCs w:val="18"/>
                <w:lang w:val="es-ES" w:eastAsia="en-US"/>
              </w:rPr>
            </w:pPr>
            <w:r>
              <w:rPr>
                <w:rFonts w:cs="Arial"/>
                <w:sz w:val="18"/>
                <w:szCs w:val="18"/>
                <w:lang w:val="es-ES" w:eastAsia="en-US"/>
              </w:rPr>
              <w:t>Manzanillo</w:t>
            </w:r>
          </w:p>
        </w:tc>
        <w:tc>
          <w:tcPr>
            <w:tcW w:w="1468" w:type="dxa"/>
            <w:tcBorders>
              <w:top w:val="single" w:sz="4" w:space="0" w:color="auto"/>
              <w:left w:val="single" w:sz="4" w:space="0" w:color="auto"/>
              <w:bottom w:val="single" w:sz="4" w:space="0" w:color="auto"/>
              <w:right w:val="single" w:sz="4" w:space="0" w:color="auto"/>
            </w:tcBorders>
            <w:vAlign w:val="bottom"/>
            <w:hideMark/>
          </w:tcPr>
          <w:p w14:paraId="08315A8F" w14:textId="77777777" w:rsidR="00BF5974" w:rsidRDefault="00BF5974">
            <w:pPr>
              <w:spacing w:line="256" w:lineRule="auto"/>
              <w:jc w:val="right"/>
              <w:rPr>
                <w:rFonts w:cs="Arial"/>
                <w:sz w:val="18"/>
                <w:szCs w:val="18"/>
                <w:lang w:val="es-ES" w:eastAsia="en-US"/>
              </w:rPr>
            </w:pPr>
            <w:r>
              <w:rPr>
                <w:rFonts w:cs="Arial"/>
                <w:sz w:val="18"/>
                <w:szCs w:val="18"/>
                <w:lang w:val="es-ES" w:eastAsia="en-US"/>
              </w:rPr>
              <w:t>71,526,291</w:t>
            </w:r>
          </w:p>
        </w:tc>
        <w:tc>
          <w:tcPr>
            <w:tcW w:w="1468" w:type="dxa"/>
            <w:tcBorders>
              <w:top w:val="single" w:sz="4" w:space="0" w:color="auto"/>
              <w:left w:val="single" w:sz="4" w:space="0" w:color="auto"/>
              <w:bottom w:val="single" w:sz="4" w:space="0" w:color="auto"/>
              <w:right w:val="single" w:sz="4" w:space="0" w:color="auto"/>
            </w:tcBorders>
            <w:vAlign w:val="bottom"/>
            <w:hideMark/>
          </w:tcPr>
          <w:p w14:paraId="686BE5DB" w14:textId="77777777" w:rsidR="00BF5974" w:rsidRDefault="00BF5974">
            <w:pPr>
              <w:spacing w:line="256" w:lineRule="auto"/>
              <w:jc w:val="right"/>
              <w:rPr>
                <w:rFonts w:cs="Arial"/>
                <w:sz w:val="18"/>
                <w:szCs w:val="18"/>
                <w:lang w:val="es-ES" w:eastAsia="en-US"/>
              </w:rPr>
            </w:pPr>
            <w:r>
              <w:rPr>
                <w:rFonts w:cs="Arial"/>
                <w:sz w:val="18"/>
                <w:szCs w:val="18"/>
                <w:lang w:val="es-ES" w:eastAsia="en-US"/>
              </w:rPr>
              <w:t>179,444,505</w:t>
            </w:r>
          </w:p>
        </w:tc>
        <w:tc>
          <w:tcPr>
            <w:tcW w:w="1368" w:type="dxa"/>
            <w:tcBorders>
              <w:top w:val="single" w:sz="4" w:space="0" w:color="auto"/>
              <w:left w:val="single" w:sz="4" w:space="0" w:color="auto"/>
              <w:bottom w:val="single" w:sz="4" w:space="0" w:color="auto"/>
              <w:right w:val="single" w:sz="4" w:space="0" w:color="auto"/>
            </w:tcBorders>
            <w:vAlign w:val="bottom"/>
            <w:hideMark/>
          </w:tcPr>
          <w:p w14:paraId="0E5DEE75" w14:textId="77777777" w:rsidR="00BF5974" w:rsidRDefault="00BF5974">
            <w:pPr>
              <w:spacing w:line="256" w:lineRule="auto"/>
              <w:jc w:val="right"/>
              <w:rPr>
                <w:rFonts w:cs="Arial"/>
                <w:b/>
                <w:bCs/>
                <w:sz w:val="18"/>
                <w:szCs w:val="18"/>
                <w:lang w:val="es-ES" w:eastAsia="en-US"/>
              </w:rPr>
            </w:pPr>
            <w:r>
              <w:rPr>
                <w:rFonts w:cs="Arial"/>
                <w:sz w:val="18"/>
                <w:szCs w:val="18"/>
                <w:lang w:val="es-ES" w:eastAsia="en-US"/>
              </w:rPr>
              <w:t>250,970,796</w:t>
            </w:r>
          </w:p>
        </w:tc>
      </w:tr>
      <w:tr w:rsidR="00BF5974" w14:paraId="7D97536D" w14:textId="77777777" w:rsidTr="00BF5974">
        <w:trPr>
          <w:trHeight w:val="20"/>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27A1969D" w14:textId="77777777" w:rsidR="00BF5974" w:rsidRDefault="00BF5974">
            <w:pPr>
              <w:spacing w:line="256" w:lineRule="auto"/>
              <w:rPr>
                <w:rFonts w:cs="Arial"/>
                <w:sz w:val="18"/>
                <w:szCs w:val="18"/>
                <w:lang w:val="es-ES" w:eastAsia="en-US"/>
              </w:rPr>
            </w:pPr>
            <w:r>
              <w:rPr>
                <w:rFonts w:cs="Arial"/>
                <w:sz w:val="18"/>
                <w:szCs w:val="18"/>
                <w:lang w:val="es-ES" w:eastAsia="en-US"/>
              </w:rPr>
              <w:t>Minatitlán</w:t>
            </w:r>
          </w:p>
        </w:tc>
        <w:tc>
          <w:tcPr>
            <w:tcW w:w="1468" w:type="dxa"/>
            <w:tcBorders>
              <w:top w:val="single" w:sz="4" w:space="0" w:color="auto"/>
              <w:left w:val="single" w:sz="4" w:space="0" w:color="auto"/>
              <w:bottom w:val="single" w:sz="4" w:space="0" w:color="auto"/>
              <w:right w:val="single" w:sz="4" w:space="0" w:color="auto"/>
            </w:tcBorders>
            <w:vAlign w:val="bottom"/>
            <w:hideMark/>
          </w:tcPr>
          <w:p w14:paraId="7D1BBA75" w14:textId="77777777" w:rsidR="00BF5974" w:rsidRDefault="00BF5974">
            <w:pPr>
              <w:spacing w:line="256" w:lineRule="auto"/>
              <w:jc w:val="right"/>
              <w:rPr>
                <w:rFonts w:cs="Arial"/>
                <w:sz w:val="18"/>
                <w:szCs w:val="18"/>
                <w:lang w:val="es-ES" w:eastAsia="en-US"/>
              </w:rPr>
            </w:pPr>
            <w:r>
              <w:rPr>
                <w:rFonts w:cs="Arial"/>
                <w:sz w:val="18"/>
                <w:szCs w:val="18"/>
                <w:lang w:val="es-ES" w:eastAsia="en-US"/>
              </w:rPr>
              <w:t>24,028,581</w:t>
            </w:r>
          </w:p>
        </w:tc>
        <w:tc>
          <w:tcPr>
            <w:tcW w:w="1468" w:type="dxa"/>
            <w:tcBorders>
              <w:top w:val="single" w:sz="4" w:space="0" w:color="auto"/>
              <w:left w:val="single" w:sz="4" w:space="0" w:color="auto"/>
              <w:bottom w:val="single" w:sz="4" w:space="0" w:color="auto"/>
              <w:right w:val="single" w:sz="4" w:space="0" w:color="auto"/>
            </w:tcBorders>
            <w:vAlign w:val="bottom"/>
            <w:hideMark/>
          </w:tcPr>
          <w:p w14:paraId="2BCD07E7" w14:textId="77777777" w:rsidR="00BF5974" w:rsidRDefault="00BF5974">
            <w:pPr>
              <w:spacing w:line="256" w:lineRule="auto"/>
              <w:jc w:val="right"/>
              <w:rPr>
                <w:rFonts w:cs="Arial"/>
                <w:sz w:val="18"/>
                <w:szCs w:val="18"/>
                <w:lang w:val="es-ES" w:eastAsia="en-US"/>
              </w:rPr>
            </w:pPr>
            <w:r>
              <w:rPr>
                <w:rFonts w:cs="Arial"/>
                <w:sz w:val="18"/>
                <w:szCs w:val="18"/>
                <w:lang w:val="es-ES" w:eastAsia="en-US"/>
              </w:rPr>
              <w:t>9,610,465</w:t>
            </w:r>
          </w:p>
        </w:tc>
        <w:tc>
          <w:tcPr>
            <w:tcW w:w="1368" w:type="dxa"/>
            <w:tcBorders>
              <w:top w:val="single" w:sz="4" w:space="0" w:color="auto"/>
              <w:left w:val="single" w:sz="4" w:space="0" w:color="auto"/>
              <w:bottom w:val="single" w:sz="4" w:space="0" w:color="auto"/>
              <w:right w:val="single" w:sz="4" w:space="0" w:color="auto"/>
            </w:tcBorders>
            <w:vAlign w:val="bottom"/>
            <w:hideMark/>
          </w:tcPr>
          <w:p w14:paraId="73B4E3E2" w14:textId="77777777" w:rsidR="00BF5974" w:rsidRDefault="00BF5974">
            <w:pPr>
              <w:spacing w:line="256" w:lineRule="auto"/>
              <w:jc w:val="right"/>
              <w:rPr>
                <w:rFonts w:cs="Arial"/>
                <w:b/>
                <w:bCs/>
                <w:sz w:val="18"/>
                <w:szCs w:val="18"/>
                <w:lang w:val="es-ES" w:eastAsia="en-US"/>
              </w:rPr>
            </w:pPr>
            <w:r>
              <w:rPr>
                <w:rFonts w:cs="Arial"/>
                <w:sz w:val="18"/>
                <w:szCs w:val="18"/>
                <w:lang w:val="es-ES" w:eastAsia="en-US"/>
              </w:rPr>
              <w:t>33,639,046</w:t>
            </w:r>
          </w:p>
        </w:tc>
      </w:tr>
      <w:tr w:rsidR="00BF5974" w14:paraId="0CB0AC80" w14:textId="77777777" w:rsidTr="00BF5974">
        <w:trPr>
          <w:trHeight w:val="20"/>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31688664" w14:textId="77777777" w:rsidR="00BF5974" w:rsidRDefault="00BF5974">
            <w:pPr>
              <w:spacing w:line="256" w:lineRule="auto"/>
              <w:rPr>
                <w:rFonts w:cs="Arial"/>
                <w:sz w:val="18"/>
                <w:szCs w:val="18"/>
                <w:lang w:val="es-ES" w:eastAsia="en-US"/>
              </w:rPr>
            </w:pPr>
            <w:r>
              <w:rPr>
                <w:rFonts w:cs="Arial"/>
                <w:sz w:val="18"/>
                <w:szCs w:val="18"/>
                <w:lang w:val="es-ES" w:eastAsia="en-US"/>
              </w:rPr>
              <w:t>Tecomán</w:t>
            </w:r>
          </w:p>
        </w:tc>
        <w:tc>
          <w:tcPr>
            <w:tcW w:w="1468" w:type="dxa"/>
            <w:tcBorders>
              <w:top w:val="single" w:sz="4" w:space="0" w:color="auto"/>
              <w:left w:val="single" w:sz="4" w:space="0" w:color="auto"/>
              <w:bottom w:val="single" w:sz="4" w:space="0" w:color="auto"/>
              <w:right w:val="single" w:sz="4" w:space="0" w:color="auto"/>
            </w:tcBorders>
            <w:vAlign w:val="bottom"/>
            <w:hideMark/>
          </w:tcPr>
          <w:p w14:paraId="11F885AB" w14:textId="77777777" w:rsidR="00BF5974" w:rsidRDefault="00BF5974">
            <w:pPr>
              <w:spacing w:line="256" w:lineRule="auto"/>
              <w:jc w:val="right"/>
              <w:rPr>
                <w:rFonts w:cs="Arial"/>
                <w:sz w:val="18"/>
                <w:szCs w:val="18"/>
                <w:lang w:val="es-ES" w:eastAsia="en-US"/>
              </w:rPr>
            </w:pPr>
            <w:r>
              <w:rPr>
                <w:rFonts w:cs="Arial"/>
                <w:sz w:val="18"/>
                <w:szCs w:val="18"/>
                <w:lang w:val="es-ES" w:eastAsia="en-US"/>
              </w:rPr>
              <w:t>129,634,064</w:t>
            </w:r>
          </w:p>
        </w:tc>
        <w:tc>
          <w:tcPr>
            <w:tcW w:w="1468" w:type="dxa"/>
            <w:tcBorders>
              <w:top w:val="single" w:sz="4" w:space="0" w:color="auto"/>
              <w:left w:val="single" w:sz="4" w:space="0" w:color="auto"/>
              <w:bottom w:val="single" w:sz="4" w:space="0" w:color="auto"/>
              <w:right w:val="single" w:sz="4" w:space="0" w:color="auto"/>
            </w:tcBorders>
            <w:vAlign w:val="bottom"/>
            <w:hideMark/>
          </w:tcPr>
          <w:p w14:paraId="062CB4B6" w14:textId="77777777" w:rsidR="00BF5974" w:rsidRDefault="00BF5974">
            <w:pPr>
              <w:spacing w:line="256" w:lineRule="auto"/>
              <w:jc w:val="right"/>
              <w:rPr>
                <w:rFonts w:cs="Arial"/>
                <w:sz w:val="18"/>
                <w:szCs w:val="18"/>
                <w:lang w:val="es-ES" w:eastAsia="en-US"/>
              </w:rPr>
            </w:pPr>
            <w:r>
              <w:rPr>
                <w:rFonts w:cs="Arial"/>
                <w:sz w:val="18"/>
                <w:szCs w:val="18"/>
                <w:lang w:val="es-ES" w:eastAsia="en-US"/>
              </w:rPr>
              <w:t>109,250,819</w:t>
            </w:r>
          </w:p>
        </w:tc>
        <w:tc>
          <w:tcPr>
            <w:tcW w:w="1368" w:type="dxa"/>
            <w:tcBorders>
              <w:top w:val="single" w:sz="4" w:space="0" w:color="auto"/>
              <w:left w:val="single" w:sz="4" w:space="0" w:color="auto"/>
              <w:bottom w:val="single" w:sz="4" w:space="0" w:color="auto"/>
              <w:right w:val="single" w:sz="4" w:space="0" w:color="auto"/>
            </w:tcBorders>
            <w:vAlign w:val="bottom"/>
            <w:hideMark/>
          </w:tcPr>
          <w:p w14:paraId="7C1D5772" w14:textId="77777777" w:rsidR="00BF5974" w:rsidRDefault="00BF5974">
            <w:pPr>
              <w:spacing w:line="256" w:lineRule="auto"/>
              <w:jc w:val="right"/>
              <w:rPr>
                <w:rFonts w:cs="Arial"/>
                <w:b/>
                <w:bCs/>
                <w:sz w:val="18"/>
                <w:szCs w:val="18"/>
                <w:lang w:val="es-ES" w:eastAsia="en-US"/>
              </w:rPr>
            </w:pPr>
            <w:r>
              <w:rPr>
                <w:rFonts w:cs="Arial"/>
                <w:sz w:val="18"/>
                <w:szCs w:val="18"/>
                <w:lang w:val="es-ES" w:eastAsia="en-US"/>
              </w:rPr>
              <w:t>238,884,883</w:t>
            </w:r>
          </w:p>
        </w:tc>
      </w:tr>
      <w:tr w:rsidR="00BF5974" w14:paraId="569BF334" w14:textId="77777777" w:rsidTr="00BF5974">
        <w:trPr>
          <w:trHeight w:val="20"/>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70D6562E" w14:textId="77777777" w:rsidR="00BF5974" w:rsidRDefault="00BF5974">
            <w:pPr>
              <w:spacing w:line="256" w:lineRule="auto"/>
              <w:rPr>
                <w:rFonts w:cs="Arial"/>
                <w:sz w:val="18"/>
                <w:szCs w:val="18"/>
                <w:lang w:val="es-ES" w:eastAsia="en-US"/>
              </w:rPr>
            </w:pPr>
            <w:r>
              <w:rPr>
                <w:rFonts w:cs="Arial"/>
                <w:sz w:val="18"/>
                <w:szCs w:val="18"/>
                <w:lang w:val="es-ES" w:eastAsia="en-US"/>
              </w:rPr>
              <w:t>Villa de Álvarez</w:t>
            </w:r>
          </w:p>
        </w:tc>
        <w:tc>
          <w:tcPr>
            <w:tcW w:w="1468" w:type="dxa"/>
            <w:tcBorders>
              <w:top w:val="single" w:sz="4" w:space="0" w:color="auto"/>
              <w:left w:val="single" w:sz="4" w:space="0" w:color="auto"/>
              <w:bottom w:val="single" w:sz="4" w:space="0" w:color="auto"/>
              <w:right w:val="single" w:sz="4" w:space="0" w:color="auto"/>
            </w:tcBorders>
            <w:vAlign w:val="bottom"/>
            <w:hideMark/>
          </w:tcPr>
          <w:p w14:paraId="69B51EF1" w14:textId="77777777" w:rsidR="00BF5974" w:rsidRDefault="00BF5974">
            <w:pPr>
              <w:spacing w:line="256" w:lineRule="auto"/>
              <w:jc w:val="right"/>
              <w:rPr>
                <w:rFonts w:cs="Arial"/>
                <w:sz w:val="18"/>
                <w:szCs w:val="18"/>
                <w:lang w:val="es-ES" w:eastAsia="en-US"/>
              </w:rPr>
            </w:pPr>
            <w:r>
              <w:rPr>
                <w:rFonts w:cs="Arial"/>
                <w:sz w:val="18"/>
                <w:szCs w:val="18"/>
                <w:lang w:val="es-ES" w:eastAsia="en-US"/>
              </w:rPr>
              <w:t>33,085,798</w:t>
            </w:r>
          </w:p>
        </w:tc>
        <w:tc>
          <w:tcPr>
            <w:tcW w:w="1468" w:type="dxa"/>
            <w:tcBorders>
              <w:top w:val="single" w:sz="4" w:space="0" w:color="auto"/>
              <w:left w:val="single" w:sz="4" w:space="0" w:color="auto"/>
              <w:bottom w:val="single" w:sz="4" w:space="0" w:color="auto"/>
              <w:right w:val="single" w:sz="4" w:space="0" w:color="auto"/>
            </w:tcBorders>
            <w:vAlign w:val="bottom"/>
            <w:hideMark/>
          </w:tcPr>
          <w:p w14:paraId="6470E3AF" w14:textId="77777777" w:rsidR="00BF5974" w:rsidRDefault="00BF5974">
            <w:pPr>
              <w:spacing w:line="256" w:lineRule="auto"/>
              <w:jc w:val="right"/>
              <w:rPr>
                <w:rFonts w:cs="Arial"/>
                <w:sz w:val="18"/>
                <w:szCs w:val="18"/>
                <w:lang w:val="es-ES" w:eastAsia="en-US"/>
              </w:rPr>
            </w:pPr>
            <w:r>
              <w:rPr>
                <w:rFonts w:cs="Arial"/>
                <w:sz w:val="18"/>
                <w:szCs w:val="18"/>
                <w:lang w:val="es-ES" w:eastAsia="en-US"/>
              </w:rPr>
              <w:t>140,678,571</w:t>
            </w:r>
          </w:p>
        </w:tc>
        <w:tc>
          <w:tcPr>
            <w:tcW w:w="1368" w:type="dxa"/>
            <w:tcBorders>
              <w:top w:val="single" w:sz="4" w:space="0" w:color="auto"/>
              <w:left w:val="single" w:sz="4" w:space="0" w:color="auto"/>
              <w:bottom w:val="single" w:sz="4" w:space="0" w:color="auto"/>
              <w:right w:val="single" w:sz="4" w:space="0" w:color="auto"/>
            </w:tcBorders>
            <w:vAlign w:val="bottom"/>
            <w:hideMark/>
          </w:tcPr>
          <w:p w14:paraId="59DB8C23" w14:textId="77777777" w:rsidR="00BF5974" w:rsidRDefault="00BF5974">
            <w:pPr>
              <w:spacing w:line="256" w:lineRule="auto"/>
              <w:jc w:val="right"/>
              <w:rPr>
                <w:rFonts w:cs="Arial"/>
                <w:b/>
                <w:bCs/>
                <w:sz w:val="18"/>
                <w:szCs w:val="18"/>
                <w:lang w:val="es-ES" w:eastAsia="en-US"/>
              </w:rPr>
            </w:pPr>
            <w:r>
              <w:rPr>
                <w:rFonts w:cs="Arial"/>
                <w:sz w:val="18"/>
                <w:szCs w:val="18"/>
                <w:lang w:val="es-ES" w:eastAsia="en-US"/>
              </w:rPr>
              <w:t>173,764,369</w:t>
            </w:r>
          </w:p>
        </w:tc>
      </w:tr>
      <w:tr w:rsidR="00BF5974" w14:paraId="42AEAFE4" w14:textId="77777777" w:rsidTr="00BF5974">
        <w:trPr>
          <w:trHeight w:val="20"/>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37CDFF96" w14:textId="77777777" w:rsidR="00BF5974" w:rsidRDefault="00BF5974">
            <w:pPr>
              <w:spacing w:line="256" w:lineRule="auto"/>
              <w:jc w:val="center"/>
              <w:rPr>
                <w:rFonts w:cs="Arial"/>
                <w:b/>
                <w:bCs/>
                <w:sz w:val="18"/>
                <w:szCs w:val="18"/>
                <w:lang w:val="es-ES" w:eastAsia="en-US"/>
              </w:rPr>
            </w:pPr>
            <w:r>
              <w:rPr>
                <w:rFonts w:cs="Arial"/>
                <w:b/>
                <w:bCs/>
                <w:sz w:val="18"/>
                <w:szCs w:val="18"/>
                <w:lang w:val="es-ES" w:eastAsia="en-US"/>
              </w:rPr>
              <w:t>Totales</w:t>
            </w:r>
          </w:p>
        </w:tc>
        <w:tc>
          <w:tcPr>
            <w:tcW w:w="1468" w:type="dxa"/>
            <w:tcBorders>
              <w:top w:val="single" w:sz="4" w:space="0" w:color="auto"/>
              <w:left w:val="single" w:sz="4" w:space="0" w:color="auto"/>
              <w:bottom w:val="single" w:sz="4" w:space="0" w:color="auto"/>
              <w:right w:val="single" w:sz="4" w:space="0" w:color="auto"/>
            </w:tcBorders>
            <w:vAlign w:val="center"/>
            <w:hideMark/>
          </w:tcPr>
          <w:p w14:paraId="74D2F455" w14:textId="77777777" w:rsidR="00BF5974" w:rsidRDefault="00BF5974">
            <w:pPr>
              <w:spacing w:line="256" w:lineRule="auto"/>
              <w:jc w:val="right"/>
              <w:rPr>
                <w:rFonts w:cs="Arial"/>
                <w:b/>
                <w:bCs/>
                <w:sz w:val="18"/>
                <w:szCs w:val="18"/>
                <w:lang w:val="es-ES" w:eastAsia="en-US"/>
              </w:rPr>
            </w:pPr>
            <w:r>
              <w:rPr>
                <w:rFonts w:cs="Arial"/>
                <w:b/>
                <w:bCs/>
                <w:sz w:val="18"/>
                <w:szCs w:val="18"/>
                <w:lang w:val="es-ES" w:eastAsia="en-US"/>
              </w:rPr>
              <w:t>478,039,158</w:t>
            </w:r>
          </w:p>
        </w:tc>
        <w:tc>
          <w:tcPr>
            <w:tcW w:w="1468" w:type="dxa"/>
            <w:tcBorders>
              <w:top w:val="single" w:sz="4" w:space="0" w:color="auto"/>
              <w:left w:val="single" w:sz="4" w:space="0" w:color="auto"/>
              <w:bottom w:val="single" w:sz="4" w:space="0" w:color="auto"/>
              <w:right w:val="single" w:sz="4" w:space="0" w:color="auto"/>
            </w:tcBorders>
            <w:vAlign w:val="center"/>
            <w:hideMark/>
          </w:tcPr>
          <w:p w14:paraId="5BF44EB9" w14:textId="77777777" w:rsidR="00BF5974" w:rsidRDefault="00BF5974">
            <w:pPr>
              <w:spacing w:line="256" w:lineRule="auto"/>
              <w:jc w:val="right"/>
              <w:rPr>
                <w:rFonts w:cs="Arial"/>
                <w:b/>
                <w:bCs/>
                <w:sz w:val="18"/>
                <w:szCs w:val="18"/>
                <w:lang w:val="es-ES" w:eastAsia="en-US"/>
              </w:rPr>
            </w:pPr>
            <w:r>
              <w:rPr>
                <w:rFonts w:cs="Arial"/>
                <w:b/>
                <w:bCs/>
                <w:sz w:val="18"/>
                <w:szCs w:val="18"/>
                <w:lang w:val="es-ES" w:eastAsia="en-US"/>
              </w:rPr>
              <w:t>687,030,357</w:t>
            </w:r>
          </w:p>
        </w:tc>
        <w:tc>
          <w:tcPr>
            <w:tcW w:w="1368" w:type="dxa"/>
            <w:tcBorders>
              <w:top w:val="single" w:sz="4" w:space="0" w:color="auto"/>
              <w:left w:val="single" w:sz="4" w:space="0" w:color="auto"/>
              <w:bottom w:val="single" w:sz="4" w:space="0" w:color="auto"/>
              <w:right w:val="single" w:sz="4" w:space="0" w:color="auto"/>
            </w:tcBorders>
            <w:vAlign w:val="center"/>
            <w:hideMark/>
          </w:tcPr>
          <w:p w14:paraId="467CF423" w14:textId="77777777" w:rsidR="00BF5974" w:rsidRDefault="00BF5974">
            <w:pPr>
              <w:spacing w:line="256" w:lineRule="auto"/>
              <w:jc w:val="right"/>
              <w:rPr>
                <w:rFonts w:cs="Arial"/>
                <w:b/>
                <w:bCs/>
                <w:sz w:val="18"/>
                <w:szCs w:val="18"/>
                <w:lang w:val="es-ES" w:eastAsia="en-US"/>
              </w:rPr>
            </w:pPr>
            <w:r>
              <w:rPr>
                <w:rFonts w:cs="Arial"/>
                <w:b/>
                <w:bCs/>
                <w:sz w:val="18"/>
                <w:szCs w:val="18"/>
                <w:lang w:val="es-ES" w:eastAsia="en-US"/>
              </w:rPr>
              <w:t>1,165,069,515</w:t>
            </w:r>
          </w:p>
        </w:tc>
      </w:tr>
    </w:tbl>
    <w:p w14:paraId="429E9B1D" w14:textId="77777777" w:rsidR="00BF5974" w:rsidRDefault="00BF5974" w:rsidP="00BF5974">
      <w:pPr>
        <w:ind w:left="993"/>
        <w:rPr>
          <w:rFonts w:cs="Arial"/>
          <w:sz w:val="16"/>
          <w:szCs w:val="20"/>
          <w:lang w:val="es-ES"/>
        </w:rPr>
      </w:pPr>
      <w:r>
        <w:rPr>
          <w:rFonts w:cs="Arial"/>
          <w:b/>
          <w:sz w:val="16"/>
          <w:szCs w:val="20"/>
          <w:lang w:val="es-ES"/>
        </w:rPr>
        <w:t>Nota</w:t>
      </w:r>
      <w:r>
        <w:rPr>
          <w:rFonts w:cs="Arial"/>
          <w:sz w:val="16"/>
          <w:szCs w:val="20"/>
          <w:lang w:val="es-ES"/>
        </w:rPr>
        <w:t>: La suma de los parciales puede no coincidir con el total debido al redondeo de cifras</w:t>
      </w:r>
    </w:p>
    <w:p w14:paraId="59B186D8" w14:textId="77777777" w:rsidR="00BF5974" w:rsidRDefault="00BF5974" w:rsidP="00BF5974">
      <w:pPr>
        <w:jc w:val="left"/>
        <w:rPr>
          <w:rFonts w:eastAsia="Calibri" w:cs="Arial"/>
          <w:lang w:val="es-ES" w:eastAsia="en-US"/>
        </w:rPr>
      </w:pPr>
    </w:p>
    <w:p w14:paraId="0A8EE81C" w14:textId="77777777" w:rsidR="00BF5974" w:rsidRDefault="00BF5974" w:rsidP="00BF5974">
      <w:pPr>
        <w:shd w:val="clear" w:color="auto" w:fill="FFFFFF"/>
        <w:ind w:left="426" w:hanging="426"/>
        <w:contextualSpacing/>
        <w:rPr>
          <w:rFonts w:eastAsia="Times New Roman" w:cs="Arial"/>
          <w:lang w:val="es-ES" w:eastAsia="es-ES"/>
        </w:rPr>
      </w:pPr>
      <w:r>
        <w:rPr>
          <w:rFonts w:eastAsia="Times New Roman" w:cs="Arial"/>
          <w:lang w:val="es-ES" w:eastAsia="es-ES"/>
        </w:rPr>
        <w:t xml:space="preserve">IV. </w:t>
      </w:r>
      <w:r>
        <w:rPr>
          <w:rFonts w:eastAsia="Times New Roman" w:cs="Arial"/>
          <w:lang w:val="es-ES" w:eastAsia="es-ES"/>
        </w:rPr>
        <w:tab/>
        <w:t>Los recursos provenientes de Participaciones, Incentivos y Aportaciones Federales que serán destinados a los Municipios, tendrán la siguiente distribución:</w:t>
      </w:r>
    </w:p>
    <w:p w14:paraId="276B3345" w14:textId="77777777" w:rsidR="00BF5974" w:rsidRDefault="00BF5974" w:rsidP="00BF5974">
      <w:pPr>
        <w:rPr>
          <w:rFonts w:cs="Arial"/>
          <w:lang w:val="es-ES"/>
        </w:rPr>
      </w:pPr>
    </w:p>
    <w:tbl>
      <w:tblPr>
        <w:tblW w:w="7048" w:type="dxa"/>
        <w:jc w:val="center"/>
        <w:tblCellMar>
          <w:left w:w="70" w:type="dxa"/>
          <w:right w:w="70" w:type="dxa"/>
        </w:tblCellMar>
        <w:tblLook w:val="04A0" w:firstRow="1" w:lastRow="0" w:firstColumn="1" w:lastColumn="0" w:noHBand="0" w:noVBand="1"/>
      </w:tblPr>
      <w:tblGrid>
        <w:gridCol w:w="1673"/>
        <w:gridCol w:w="1547"/>
        <w:gridCol w:w="1141"/>
        <w:gridCol w:w="1292"/>
        <w:gridCol w:w="1395"/>
      </w:tblGrid>
      <w:tr w:rsidR="00BF5974" w14:paraId="0529F803" w14:textId="77777777" w:rsidTr="00BF5974">
        <w:trPr>
          <w:trHeight w:val="20"/>
          <w:tblHeader/>
          <w:jc w:val="center"/>
        </w:trPr>
        <w:tc>
          <w:tcPr>
            <w:tcW w:w="7048" w:type="dxa"/>
            <w:gridSpan w:val="5"/>
            <w:tcBorders>
              <w:top w:val="nil"/>
              <w:left w:val="nil"/>
              <w:bottom w:val="single" w:sz="4" w:space="0" w:color="auto"/>
              <w:right w:val="nil"/>
            </w:tcBorders>
            <w:noWrap/>
            <w:vAlign w:val="center"/>
            <w:hideMark/>
          </w:tcPr>
          <w:p w14:paraId="569AA147" w14:textId="77777777" w:rsidR="00BF5974" w:rsidRDefault="00BF5974">
            <w:pPr>
              <w:spacing w:line="256" w:lineRule="auto"/>
              <w:jc w:val="center"/>
              <w:rPr>
                <w:rFonts w:eastAsia="Times New Roman" w:cs="Arial"/>
                <w:b/>
                <w:bCs/>
                <w:sz w:val="18"/>
                <w:szCs w:val="18"/>
                <w:lang w:val="es-ES" w:eastAsia="en-US"/>
              </w:rPr>
            </w:pPr>
            <w:r>
              <w:rPr>
                <w:rFonts w:eastAsia="Times New Roman" w:cs="Arial"/>
                <w:b/>
                <w:sz w:val="18"/>
                <w:szCs w:val="18"/>
                <w:lang w:val="es-ES" w:eastAsia="en-US"/>
              </w:rPr>
              <w:t>Tabla 56. Total de Participaciones, Incentivos y Aportaciones Federales que serán destinados a los Municipios</w:t>
            </w:r>
          </w:p>
        </w:tc>
      </w:tr>
      <w:tr w:rsidR="00BF5974" w14:paraId="312D266C" w14:textId="77777777" w:rsidTr="00BF5974">
        <w:trPr>
          <w:trHeight w:val="20"/>
          <w:tblHeader/>
          <w:jc w:val="center"/>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361C4F0D" w14:textId="77777777" w:rsidR="00BF5974" w:rsidRDefault="00BF5974">
            <w:pPr>
              <w:spacing w:line="256" w:lineRule="auto"/>
              <w:jc w:val="center"/>
              <w:rPr>
                <w:rFonts w:eastAsia="Times New Roman" w:cs="Arial"/>
                <w:b/>
                <w:bCs/>
                <w:sz w:val="16"/>
                <w:szCs w:val="16"/>
                <w:lang w:val="es-ES" w:eastAsia="en-US"/>
              </w:rPr>
            </w:pPr>
            <w:r>
              <w:rPr>
                <w:rFonts w:eastAsia="Times New Roman" w:cs="Arial"/>
                <w:b/>
                <w:bCs/>
                <w:sz w:val="16"/>
                <w:szCs w:val="16"/>
                <w:lang w:val="es-ES" w:eastAsia="en-US"/>
              </w:rPr>
              <w:t>Municipio</w:t>
            </w:r>
          </w:p>
        </w:tc>
        <w:tc>
          <w:tcPr>
            <w:tcW w:w="1547" w:type="dxa"/>
            <w:tcBorders>
              <w:top w:val="single" w:sz="4" w:space="0" w:color="auto"/>
              <w:left w:val="single" w:sz="4" w:space="0" w:color="auto"/>
              <w:bottom w:val="single" w:sz="4" w:space="0" w:color="auto"/>
              <w:right w:val="single" w:sz="4" w:space="0" w:color="auto"/>
            </w:tcBorders>
            <w:noWrap/>
            <w:vAlign w:val="center"/>
            <w:hideMark/>
          </w:tcPr>
          <w:p w14:paraId="771175E5" w14:textId="77777777" w:rsidR="00BF5974" w:rsidRDefault="00BF5974">
            <w:pPr>
              <w:spacing w:line="256" w:lineRule="auto"/>
              <w:jc w:val="center"/>
              <w:rPr>
                <w:rFonts w:eastAsia="Times New Roman" w:cs="Arial"/>
                <w:b/>
                <w:bCs/>
                <w:sz w:val="16"/>
                <w:szCs w:val="16"/>
                <w:lang w:val="es-ES" w:eastAsia="en-US"/>
              </w:rPr>
            </w:pPr>
            <w:r>
              <w:rPr>
                <w:rFonts w:eastAsia="Times New Roman" w:cs="Arial"/>
                <w:b/>
                <w:bCs/>
                <w:sz w:val="16"/>
                <w:szCs w:val="16"/>
                <w:lang w:val="es-ES" w:eastAsia="en-US"/>
              </w:rPr>
              <w:t>Participaciones</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3E4B9AA" w14:textId="77777777" w:rsidR="00BF5974" w:rsidRDefault="00BF5974">
            <w:pPr>
              <w:spacing w:line="256" w:lineRule="auto"/>
              <w:jc w:val="center"/>
              <w:rPr>
                <w:rFonts w:eastAsia="Times New Roman" w:cs="Arial"/>
                <w:b/>
                <w:bCs/>
                <w:sz w:val="16"/>
                <w:szCs w:val="16"/>
                <w:lang w:val="es-ES" w:eastAsia="en-US"/>
              </w:rPr>
            </w:pPr>
            <w:r>
              <w:rPr>
                <w:rFonts w:cs="Arial"/>
                <w:b/>
                <w:bCs/>
                <w:sz w:val="16"/>
                <w:szCs w:val="16"/>
                <w:lang w:val="es-ES" w:eastAsia="en-US"/>
              </w:rPr>
              <w:t>Incentivos Derivados de la C.F.F</w:t>
            </w:r>
          </w:p>
        </w:tc>
        <w:tc>
          <w:tcPr>
            <w:tcW w:w="1292" w:type="dxa"/>
            <w:tcBorders>
              <w:top w:val="single" w:sz="4" w:space="0" w:color="auto"/>
              <w:left w:val="single" w:sz="4" w:space="0" w:color="auto"/>
              <w:bottom w:val="single" w:sz="4" w:space="0" w:color="auto"/>
              <w:right w:val="single" w:sz="4" w:space="0" w:color="auto"/>
            </w:tcBorders>
            <w:vAlign w:val="center"/>
            <w:hideMark/>
          </w:tcPr>
          <w:p w14:paraId="28B3A91E" w14:textId="77777777" w:rsidR="00BF5974" w:rsidRDefault="00BF5974">
            <w:pPr>
              <w:spacing w:line="256" w:lineRule="auto"/>
              <w:jc w:val="center"/>
              <w:rPr>
                <w:rFonts w:eastAsia="Times New Roman" w:cs="Arial"/>
                <w:b/>
                <w:bCs/>
                <w:sz w:val="16"/>
                <w:szCs w:val="16"/>
                <w:lang w:val="es-ES" w:eastAsia="en-US"/>
              </w:rPr>
            </w:pPr>
            <w:r>
              <w:rPr>
                <w:rFonts w:cs="Arial"/>
                <w:b/>
                <w:bCs/>
                <w:sz w:val="16"/>
                <w:szCs w:val="16"/>
                <w:lang w:val="es-ES" w:eastAsia="en-US"/>
              </w:rPr>
              <w:t>Aportaciones Federales (Ramo 33)</w:t>
            </w:r>
          </w:p>
        </w:tc>
        <w:tc>
          <w:tcPr>
            <w:tcW w:w="1395" w:type="dxa"/>
            <w:tcBorders>
              <w:top w:val="single" w:sz="4" w:space="0" w:color="auto"/>
              <w:left w:val="single" w:sz="4" w:space="0" w:color="auto"/>
              <w:bottom w:val="single" w:sz="4" w:space="0" w:color="auto"/>
              <w:right w:val="single" w:sz="4" w:space="0" w:color="auto"/>
            </w:tcBorders>
            <w:vAlign w:val="center"/>
            <w:hideMark/>
          </w:tcPr>
          <w:p w14:paraId="0F6BAF34" w14:textId="77777777" w:rsidR="00BF5974" w:rsidRDefault="00BF5974">
            <w:pPr>
              <w:spacing w:line="256" w:lineRule="auto"/>
              <w:jc w:val="center"/>
              <w:rPr>
                <w:rFonts w:eastAsia="Times New Roman" w:cs="Arial"/>
                <w:b/>
                <w:bCs/>
                <w:sz w:val="16"/>
                <w:szCs w:val="16"/>
                <w:lang w:val="es-ES" w:eastAsia="en-US"/>
              </w:rPr>
            </w:pPr>
            <w:r>
              <w:rPr>
                <w:rFonts w:eastAsia="Times New Roman" w:cs="Arial"/>
                <w:b/>
                <w:bCs/>
                <w:sz w:val="16"/>
                <w:szCs w:val="16"/>
                <w:lang w:val="es-ES" w:eastAsia="en-US"/>
              </w:rPr>
              <w:t>Asignación Presupuestal</w:t>
            </w:r>
          </w:p>
        </w:tc>
      </w:tr>
      <w:tr w:rsidR="00BF5974" w14:paraId="1EF305D4" w14:textId="77777777" w:rsidTr="00BF5974">
        <w:trPr>
          <w:trHeight w:val="20"/>
          <w:jc w:val="center"/>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2C27D07B" w14:textId="77777777" w:rsidR="00BF5974" w:rsidRDefault="00BF5974">
            <w:pPr>
              <w:spacing w:line="256" w:lineRule="auto"/>
              <w:rPr>
                <w:rFonts w:eastAsia="Times New Roman" w:cs="Arial"/>
                <w:sz w:val="16"/>
                <w:szCs w:val="16"/>
                <w:lang w:val="es-ES" w:eastAsia="en-US"/>
              </w:rPr>
            </w:pPr>
            <w:r>
              <w:rPr>
                <w:rFonts w:eastAsia="Times New Roman" w:cs="Arial"/>
                <w:sz w:val="16"/>
                <w:szCs w:val="16"/>
                <w:lang w:val="es-ES" w:eastAsia="en-US"/>
              </w:rPr>
              <w:t>Armería</w:t>
            </w:r>
          </w:p>
        </w:tc>
        <w:tc>
          <w:tcPr>
            <w:tcW w:w="1547" w:type="dxa"/>
            <w:tcBorders>
              <w:top w:val="single" w:sz="4" w:space="0" w:color="auto"/>
              <w:left w:val="single" w:sz="4" w:space="0" w:color="auto"/>
              <w:bottom w:val="single" w:sz="4" w:space="0" w:color="auto"/>
              <w:right w:val="single" w:sz="4" w:space="0" w:color="auto"/>
            </w:tcBorders>
            <w:noWrap/>
            <w:hideMark/>
          </w:tcPr>
          <w:p w14:paraId="0E75D0F5" w14:textId="77777777" w:rsidR="00BF5974" w:rsidRDefault="00BF5974">
            <w:pPr>
              <w:spacing w:line="256" w:lineRule="auto"/>
              <w:jc w:val="right"/>
              <w:rPr>
                <w:rFonts w:cs="Arial"/>
                <w:color w:val="000000"/>
                <w:sz w:val="16"/>
                <w:szCs w:val="16"/>
                <w:lang w:val="es-ES" w:eastAsia="en-US"/>
              </w:rPr>
            </w:pPr>
            <w:r>
              <w:rPr>
                <w:rFonts w:cs="Arial"/>
                <w:sz w:val="16"/>
                <w:szCs w:val="16"/>
                <w:lang w:val="es-ES" w:eastAsia="en-US"/>
              </w:rPr>
              <w:t>107,151,978</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58DE0B6A" w14:textId="77777777" w:rsidR="00BF5974" w:rsidRDefault="00BF5974">
            <w:pPr>
              <w:spacing w:line="256" w:lineRule="auto"/>
              <w:jc w:val="right"/>
              <w:rPr>
                <w:rFonts w:eastAsia="Times New Roman" w:cs="Arial"/>
                <w:sz w:val="16"/>
                <w:szCs w:val="16"/>
                <w:lang w:val="es-ES" w:eastAsia="en-US"/>
              </w:rPr>
            </w:pPr>
            <w:r>
              <w:rPr>
                <w:rFonts w:cs="Arial"/>
                <w:color w:val="000000"/>
                <w:sz w:val="16"/>
                <w:szCs w:val="16"/>
                <w:lang w:val="es-ES" w:eastAsia="en-US"/>
              </w:rPr>
              <w:t>1,829,963</w:t>
            </w:r>
          </w:p>
        </w:tc>
        <w:tc>
          <w:tcPr>
            <w:tcW w:w="1292" w:type="dxa"/>
            <w:tcBorders>
              <w:top w:val="single" w:sz="4" w:space="0" w:color="auto"/>
              <w:left w:val="single" w:sz="4" w:space="0" w:color="auto"/>
              <w:bottom w:val="single" w:sz="4" w:space="0" w:color="auto"/>
              <w:right w:val="single" w:sz="4" w:space="0" w:color="auto"/>
            </w:tcBorders>
            <w:noWrap/>
            <w:vAlign w:val="bottom"/>
            <w:hideMark/>
          </w:tcPr>
          <w:p w14:paraId="5968B520" w14:textId="77777777" w:rsidR="00BF5974" w:rsidRDefault="00BF5974">
            <w:pPr>
              <w:spacing w:line="256" w:lineRule="auto"/>
              <w:jc w:val="right"/>
              <w:rPr>
                <w:rFonts w:eastAsia="Times New Roman" w:cs="Arial"/>
                <w:sz w:val="16"/>
                <w:szCs w:val="16"/>
                <w:lang w:val="es-ES" w:eastAsia="en-US"/>
              </w:rPr>
            </w:pPr>
            <w:r>
              <w:rPr>
                <w:rFonts w:cs="Arial"/>
                <w:sz w:val="16"/>
                <w:szCs w:val="16"/>
                <w:lang w:val="es-ES" w:eastAsia="en-US"/>
              </w:rPr>
              <w:t>62,441,108</w:t>
            </w:r>
          </w:p>
        </w:tc>
        <w:tc>
          <w:tcPr>
            <w:tcW w:w="1395" w:type="dxa"/>
            <w:tcBorders>
              <w:top w:val="single" w:sz="4" w:space="0" w:color="auto"/>
              <w:left w:val="single" w:sz="4" w:space="0" w:color="auto"/>
              <w:bottom w:val="single" w:sz="4" w:space="0" w:color="auto"/>
              <w:right w:val="single" w:sz="4" w:space="0" w:color="auto"/>
            </w:tcBorders>
            <w:noWrap/>
            <w:vAlign w:val="bottom"/>
            <w:hideMark/>
          </w:tcPr>
          <w:p w14:paraId="20F981BD" w14:textId="77777777" w:rsidR="00BF5974" w:rsidRDefault="00BF5974">
            <w:pPr>
              <w:spacing w:line="256" w:lineRule="auto"/>
              <w:jc w:val="right"/>
              <w:rPr>
                <w:rFonts w:cs="Arial"/>
                <w:b/>
                <w:bCs/>
                <w:sz w:val="16"/>
                <w:szCs w:val="16"/>
                <w:lang w:val="es-ES" w:eastAsia="en-US"/>
              </w:rPr>
            </w:pPr>
            <w:r>
              <w:rPr>
                <w:rFonts w:cs="Arial"/>
                <w:color w:val="000000"/>
                <w:sz w:val="16"/>
                <w:szCs w:val="16"/>
                <w:lang w:val="es-ES" w:eastAsia="en-US"/>
              </w:rPr>
              <w:t>171,423,049</w:t>
            </w:r>
          </w:p>
        </w:tc>
      </w:tr>
      <w:tr w:rsidR="00BF5974" w14:paraId="09CE452F" w14:textId="77777777" w:rsidTr="00BF5974">
        <w:trPr>
          <w:trHeight w:val="20"/>
          <w:jc w:val="center"/>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6C336B82" w14:textId="77777777" w:rsidR="00BF5974" w:rsidRDefault="00BF5974">
            <w:pPr>
              <w:spacing w:line="256" w:lineRule="auto"/>
              <w:rPr>
                <w:rFonts w:eastAsia="Times New Roman" w:cs="Arial"/>
                <w:sz w:val="16"/>
                <w:szCs w:val="16"/>
                <w:lang w:val="es-ES" w:eastAsia="en-US"/>
              </w:rPr>
            </w:pPr>
            <w:r>
              <w:rPr>
                <w:rFonts w:eastAsia="Times New Roman" w:cs="Arial"/>
                <w:sz w:val="16"/>
                <w:szCs w:val="16"/>
                <w:lang w:val="es-ES" w:eastAsia="en-US"/>
              </w:rPr>
              <w:t>Colima</w:t>
            </w:r>
          </w:p>
        </w:tc>
        <w:tc>
          <w:tcPr>
            <w:tcW w:w="1547" w:type="dxa"/>
            <w:tcBorders>
              <w:top w:val="single" w:sz="4" w:space="0" w:color="auto"/>
              <w:left w:val="single" w:sz="4" w:space="0" w:color="auto"/>
              <w:bottom w:val="single" w:sz="4" w:space="0" w:color="auto"/>
              <w:right w:val="single" w:sz="4" w:space="0" w:color="auto"/>
            </w:tcBorders>
            <w:noWrap/>
            <w:hideMark/>
          </w:tcPr>
          <w:p w14:paraId="0BB03DBC" w14:textId="77777777" w:rsidR="00BF5974" w:rsidRDefault="00BF5974">
            <w:pPr>
              <w:spacing w:line="256" w:lineRule="auto"/>
              <w:jc w:val="right"/>
              <w:rPr>
                <w:rFonts w:cs="Arial"/>
                <w:color w:val="000000"/>
                <w:sz w:val="16"/>
                <w:szCs w:val="16"/>
                <w:lang w:val="es-ES" w:eastAsia="en-US"/>
              </w:rPr>
            </w:pPr>
            <w:r>
              <w:rPr>
                <w:rFonts w:cs="Arial"/>
                <w:sz w:val="16"/>
                <w:szCs w:val="16"/>
                <w:lang w:val="es-ES" w:eastAsia="en-US"/>
              </w:rPr>
              <w:t>347,302,024</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033D112B" w14:textId="77777777" w:rsidR="00BF5974" w:rsidRDefault="00BF5974">
            <w:pPr>
              <w:spacing w:line="256" w:lineRule="auto"/>
              <w:jc w:val="right"/>
              <w:rPr>
                <w:rFonts w:eastAsia="Times New Roman" w:cs="Arial"/>
                <w:sz w:val="16"/>
                <w:szCs w:val="16"/>
                <w:lang w:val="es-ES" w:eastAsia="en-US"/>
              </w:rPr>
            </w:pPr>
            <w:r>
              <w:rPr>
                <w:rFonts w:cs="Arial"/>
                <w:color w:val="000000"/>
                <w:sz w:val="16"/>
                <w:szCs w:val="16"/>
                <w:lang w:val="es-ES" w:eastAsia="en-US"/>
              </w:rPr>
              <w:t>5,575,816</w:t>
            </w:r>
          </w:p>
        </w:tc>
        <w:tc>
          <w:tcPr>
            <w:tcW w:w="1292" w:type="dxa"/>
            <w:tcBorders>
              <w:top w:val="single" w:sz="4" w:space="0" w:color="auto"/>
              <w:left w:val="single" w:sz="4" w:space="0" w:color="auto"/>
              <w:bottom w:val="single" w:sz="4" w:space="0" w:color="auto"/>
              <w:right w:val="single" w:sz="4" w:space="0" w:color="auto"/>
            </w:tcBorders>
            <w:noWrap/>
            <w:vAlign w:val="bottom"/>
            <w:hideMark/>
          </w:tcPr>
          <w:p w14:paraId="58C8571E" w14:textId="77777777" w:rsidR="00BF5974" w:rsidRDefault="00BF5974">
            <w:pPr>
              <w:spacing w:line="256" w:lineRule="auto"/>
              <w:jc w:val="right"/>
              <w:rPr>
                <w:rFonts w:eastAsia="Times New Roman" w:cs="Arial"/>
                <w:sz w:val="16"/>
                <w:szCs w:val="16"/>
                <w:lang w:val="es-ES" w:eastAsia="en-US"/>
              </w:rPr>
            </w:pPr>
            <w:r>
              <w:rPr>
                <w:rFonts w:cs="Arial"/>
                <w:sz w:val="16"/>
                <w:szCs w:val="16"/>
                <w:lang w:val="es-ES" w:eastAsia="en-US"/>
              </w:rPr>
              <w:t>223,596,769</w:t>
            </w:r>
          </w:p>
        </w:tc>
        <w:tc>
          <w:tcPr>
            <w:tcW w:w="1395" w:type="dxa"/>
            <w:tcBorders>
              <w:top w:val="single" w:sz="4" w:space="0" w:color="auto"/>
              <w:left w:val="single" w:sz="4" w:space="0" w:color="auto"/>
              <w:bottom w:val="single" w:sz="4" w:space="0" w:color="auto"/>
              <w:right w:val="single" w:sz="4" w:space="0" w:color="auto"/>
            </w:tcBorders>
            <w:noWrap/>
            <w:vAlign w:val="bottom"/>
            <w:hideMark/>
          </w:tcPr>
          <w:p w14:paraId="18C2F218" w14:textId="77777777" w:rsidR="00BF5974" w:rsidRDefault="00BF5974">
            <w:pPr>
              <w:spacing w:line="256" w:lineRule="auto"/>
              <w:jc w:val="right"/>
              <w:rPr>
                <w:rFonts w:eastAsia="Times New Roman" w:cs="Arial"/>
                <w:b/>
                <w:bCs/>
                <w:sz w:val="16"/>
                <w:szCs w:val="16"/>
                <w:lang w:val="es-ES" w:eastAsia="en-US"/>
              </w:rPr>
            </w:pPr>
            <w:r>
              <w:rPr>
                <w:rFonts w:cs="Arial"/>
                <w:color w:val="000000"/>
                <w:sz w:val="16"/>
                <w:szCs w:val="16"/>
                <w:lang w:val="es-ES" w:eastAsia="en-US"/>
              </w:rPr>
              <w:t>576,474,609</w:t>
            </w:r>
          </w:p>
        </w:tc>
      </w:tr>
      <w:tr w:rsidR="00BF5974" w14:paraId="552F1205" w14:textId="77777777" w:rsidTr="00BF5974">
        <w:trPr>
          <w:trHeight w:val="20"/>
          <w:jc w:val="center"/>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4940D3F8" w14:textId="77777777" w:rsidR="00BF5974" w:rsidRDefault="00BF5974">
            <w:pPr>
              <w:spacing w:line="256" w:lineRule="auto"/>
              <w:rPr>
                <w:rFonts w:eastAsia="Times New Roman" w:cs="Arial"/>
                <w:sz w:val="16"/>
                <w:szCs w:val="16"/>
                <w:lang w:val="es-ES" w:eastAsia="en-US"/>
              </w:rPr>
            </w:pPr>
            <w:r>
              <w:rPr>
                <w:rFonts w:eastAsia="Times New Roman" w:cs="Arial"/>
                <w:sz w:val="16"/>
                <w:szCs w:val="16"/>
                <w:lang w:val="es-ES" w:eastAsia="en-US"/>
              </w:rPr>
              <w:t>Comala</w:t>
            </w:r>
          </w:p>
        </w:tc>
        <w:tc>
          <w:tcPr>
            <w:tcW w:w="1547" w:type="dxa"/>
            <w:tcBorders>
              <w:top w:val="single" w:sz="4" w:space="0" w:color="auto"/>
              <w:left w:val="single" w:sz="4" w:space="0" w:color="auto"/>
              <w:bottom w:val="single" w:sz="4" w:space="0" w:color="auto"/>
              <w:right w:val="single" w:sz="4" w:space="0" w:color="auto"/>
            </w:tcBorders>
            <w:noWrap/>
            <w:hideMark/>
          </w:tcPr>
          <w:p w14:paraId="5710BE43" w14:textId="77777777" w:rsidR="00BF5974" w:rsidRDefault="00BF5974">
            <w:pPr>
              <w:spacing w:line="256" w:lineRule="auto"/>
              <w:jc w:val="right"/>
              <w:rPr>
                <w:rFonts w:cs="Arial"/>
                <w:color w:val="000000"/>
                <w:sz w:val="16"/>
                <w:szCs w:val="16"/>
                <w:lang w:val="es-ES" w:eastAsia="en-US"/>
              </w:rPr>
            </w:pPr>
            <w:r>
              <w:rPr>
                <w:rFonts w:cs="Arial"/>
                <w:sz w:val="16"/>
                <w:szCs w:val="16"/>
                <w:lang w:val="es-ES" w:eastAsia="en-US"/>
              </w:rPr>
              <w:t>97,585,482</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38600321" w14:textId="77777777" w:rsidR="00BF5974" w:rsidRDefault="00BF5974">
            <w:pPr>
              <w:spacing w:line="256" w:lineRule="auto"/>
              <w:jc w:val="right"/>
              <w:rPr>
                <w:rFonts w:eastAsia="Times New Roman" w:cs="Arial"/>
                <w:sz w:val="16"/>
                <w:szCs w:val="16"/>
                <w:lang w:val="es-ES" w:eastAsia="en-US"/>
              </w:rPr>
            </w:pPr>
            <w:r>
              <w:rPr>
                <w:rFonts w:cs="Arial"/>
                <w:color w:val="000000"/>
                <w:sz w:val="16"/>
                <w:szCs w:val="16"/>
                <w:lang w:val="es-ES" w:eastAsia="en-US"/>
              </w:rPr>
              <w:t>1,728,851</w:t>
            </w:r>
          </w:p>
        </w:tc>
        <w:tc>
          <w:tcPr>
            <w:tcW w:w="1292" w:type="dxa"/>
            <w:tcBorders>
              <w:top w:val="single" w:sz="4" w:space="0" w:color="auto"/>
              <w:left w:val="single" w:sz="4" w:space="0" w:color="auto"/>
              <w:bottom w:val="single" w:sz="4" w:space="0" w:color="auto"/>
              <w:right w:val="single" w:sz="4" w:space="0" w:color="auto"/>
            </w:tcBorders>
            <w:noWrap/>
            <w:vAlign w:val="bottom"/>
            <w:hideMark/>
          </w:tcPr>
          <w:p w14:paraId="5664ED51" w14:textId="77777777" w:rsidR="00BF5974" w:rsidRDefault="00BF5974">
            <w:pPr>
              <w:spacing w:line="256" w:lineRule="auto"/>
              <w:jc w:val="right"/>
              <w:rPr>
                <w:rFonts w:eastAsia="Times New Roman" w:cs="Arial"/>
                <w:sz w:val="16"/>
                <w:szCs w:val="16"/>
                <w:lang w:val="es-ES" w:eastAsia="en-US"/>
              </w:rPr>
            </w:pPr>
            <w:r>
              <w:rPr>
                <w:rFonts w:cs="Arial"/>
                <w:sz w:val="16"/>
                <w:szCs w:val="16"/>
                <w:lang w:val="es-ES" w:eastAsia="en-US"/>
              </w:rPr>
              <w:t>60,496,614</w:t>
            </w:r>
          </w:p>
        </w:tc>
        <w:tc>
          <w:tcPr>
            <w:tcW w:w="1395" w:type="dxa"/>
            <w:tcBorders>
              <w:top w:val="single" w:sz="4" w:space="0" w:color="auto"/>
              <w:left w:val="single" w:sz="4" w:space="0" w:color="auto"/>
              <w:bottom w:val="single" w:sz="4" w:space="0" w:color="auto"/>
              <w:right w:val="single" w:sz="4" w:space="0" w:color="auto"/>
            </w:tcBorders>
            <w:noWrap/>
            <w:vAlign w:val="bottom"/>
            <w:hideMark/>
          </w:tcPr>
          <w:p w14:paraId="78F11E94" w14:textId="77777777" w:rsidR="00BF5974" w:rsidRDefault="00BF5974">
            <w:pPr>
              <w:spacing w:line="256" w:lineRule="auto"/>
              <w:jc w:val="right"/>
              <w:rPr>
                <w:rFonts w:eastAsia="Times New Roman" w:cs="Arial"/>
                <w:b/>
                <w:bCs/>
                <w:sz w:val="16"/>
                <w:szCs w:val="16"/>
                <w:lang w:val="es-ES" w:eastAsia="en-US"/>
              </w:rPr>
            </w:pPr>
            <w:r>
              <w:rPr>
                <w:rFonts w:cs="Arial"/>
                <w:color w:val="000000"/>
                <w:sz w:val="16"/>
                <w:szCs w:val="16"/>
                <w:lang w:val="es-ES" w:eastAsia="en-US"/>
              </w:rPr>
              <w:t>159,810,947</w:t>
            </w:r>
          </w:p>
        </w:tc>
      </w:tr>
      <w:tr w:rsidR="00BF5974" w14:paraId="05CDFA1A" w14:textId="77777777" w:rsidTr="00BF5974">
        <w:trPr>
          <w:trHeight w:val="20"/>
          <w:jc w:val="center"/>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09D32635" w14:textId="77777777" w:rsidR="00BF5974" w:rsidRDefault="00BF5974">
            <w:pPr>
              <w:spacing w:line="256" w:lineRule="auto"/>
              <w:rPr>
                <w:rFonts w:eastAsia="Times New Roman" w:cs="Arial"/>
                <w:sz w:val="16"/>
                <w:szCs w:val="16"/>
                <w:lang w:val="es-ES" w:eastAsia="en-US"/>
              </w:rPr>
            </w:pPr>
            <w:r>
              <w:rPr>
                <w:rFonts w:eastAsia="Times New Roman" w:cs="Arial"/>
                <w:sz w:val="16"/>
                <w:szCs w:val="16"/>
                <w:lang w:val="es-ES" w:eastAsia="en-US"/>
              </w:rPr>
              <w:t>Coquimatlán</w:t>
            </w:r>
          </w:p>
        </w:tc>
        <w:tc>
          <w:tcPr>
            <w:tcW w:w="1547" w:type="dxa"/>
            <w:tcBorders>
              <w:top w:val="single" w:sz="4" w:space="0" w:color="auto"/>
              <w:left w:val="single" w:sz="4" w:space="0" w:color="auto"/>
              <w:bottom w:val="single" w:sz="4" w:space="0" w:color="auto"/>
              <w:right w:val="single" w:sz="4" w:space="0" w:color="auto"/>
            </w:tcBorders>
            <w:noWrap/>
            <w:hideMark/>
          </w:tcPr>
          <w:p w14:paraId="046D714F" w14:textId="77777777" w:rsidR="00BF5974" w:rsidRDefault="00BF5974">
            <w:pPr>
              <w:spacing w:line="256" w:lineRule="auto"/>
              <w:jc w:val="right"/>
              <w:rPr>
                <w:rFonts w:cs="Arial"/>
                <w:color w:val="000000"/>
                <w:sz w:val="16"/>
                <w:szCs w:val="16"/>
                <w:lang w:val="es-ES" w:eastAsia="en-US"/>
              </w:rPr>
            </w:pPr>
            <w:r>
              <w:rPr>
                <w:rFonts w:cs="Arial"/>
                <w:sz w:val="16"/>
                <w:szCs w:val="16"/>
                <w:lang w:val="es-ES" w:eastAsia="en-US"/>
              </w:rPr>
              <w:t>92,062,217</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75A0A40F" w14:textId="77777777" w:rsidR="00BF5974" w:rsidRDefault="00BF5974">
            <w:pPr>
              <w:spacing w:line="256" w:lineRule="auto"/>
              <w:jc w:val="right"/>
              <w:rPr>
                <w:rFonts w:eastAsia="Times New Roman" w:cs="Arial"/>
                <w:sz w:val="16"/>
                <w:szCs w:val="16"/>
                <w:lang w:val="es-ES" w:eastAsia="en-US"/>
              </w:rPr>
            </w:pPr>
            <w:r>
              <w:rPr>
                <w:rFonts w:cs="Arial"/>
                <w:color w:val="000000"/>
                <w:sz w:val="16"/>
                <w:szCs w:val="16"/>
                <w:lang w:val="es-ES" w:eastAsia="en-US"/>
              </w:rPr>
              <w:t>1,575,756</w:t>
            </w:r>
          </w:p>
        </w:tc>
        <w:tc>
          <w:tcPr>
            <w:tcW w:w="1292" w:type="dxa"/>
            <w:tcBorders>
              <w:top w:val="single" w:sz="4" w:space="0" w:color="auto"/>
              <w:left w:val="single" w:sz="4" w:space="0" w:color="auto"/>
              <w:bottom w:val="single" w:sz="4" w:space="0" w:color="auto"/>
              <w:right w:val="single" w:sz="4" w:space="0" w:color="auto"/>
            </w:tcBorders>
            <w:noWrap/>
            <w:vAlign w:val="bottom"/>
            <w:hideMark/>
          </w:tcPr>
          <w:p w14:paraId="2EC2D4C7" w14:textId="77777777" w:rsidR="00BF5974" w:rsidRDefault="00BF5974">
            <w:pPr>
              <w:spacing w:line="256" w:lineRule="auto"/>
              <w:jc w:val="right"/>
              <w:rPr>
                <w:rFonts w:eastAsia="Times New Roman" w:cs="Arial"/>
                <w:sz w:val="16"/>
                <w:szCs w:val="16"/>
                <w:lang w:val="es-ES" w:eastAsia="en-US"/>
              </w:rPr>
            </w:pPr>
            <w:r>
              <w:rPr>
                <w:rFonts w:cs="Arial"/>
                <w:sz w:val="16"/>
                <w:szCs w:val="16"/>
                <w:lang w:val="es-ES" w:eastAsia="en-US"/>
              </w:rPr>
              <w:t>49,662,338</w:t>
            </w:r>
          </w:p>
        </w:tc>
        <w:tc>
          <w:tcPr>
            <w:tcW w:w="1395" w:type="dxa"/>
            <w:tcBorders>
              <w:top w:val="single" w:sz="4" w:space="0" w:color="auto"/>
              <w:left w:val="single" w:sz="4" w:space="0" w:color="auto"/>
              <w:bottom w:val="single" w:sz="4" w:space="0" w:color="auto"/>
              <w:right w:val="single" w:sz="4" w:space="0" w:color="auto"/>
            </w:tcBorders>
            <w:noWrap/>
            <w:vAlign w:val="bottom"/>
            <w:hideMark/>
          </w:tcPr>
          <w:p w14:paraId="03699D8E" w14:textId="77777777" w:rsidR="00BF5974" w:rsidRDefault="00BF5974">
            <w:pPr>
              <w:spacing w:line="256" w:lineRule="auto"/>
              <w:jc w:val="right"/>
              <w:rPr>
                <w:rFonts w:eastAsia="Times New Roman" w:cs="Arial"/>
                <w:b/>
                <w:bCs/>
                <w:sz w:val="16"/>
                <w:szCs w:val="16"/>
                <w:lang w:val="es-ES" w:eastAsia="en-US"/>
              </w:rPr>
            </w:pPr>
            <w:r>
              <w:rPr>
                <w:rFonts w:cs="Arial"/>
                <w:color w:val="000000"/>
                <w:sz w:val="16"/>
                <w:szCs w:val="16"/>
                <w:lang w:val="es-ES" w:eastAsia="en-US"/>
              </w:rPr>
              <w:t>143,300,311</w:t>
            </w:r>
          </w:p>
        </w:tc>
      </w:tr>
      <w:tr w:rsidR="00BF5974" w14:paraId="0AC69945" w14:textId="77777777" w:rsidTr="00BF5974">
        <w:trPr>
          <w:trHeight w:val="20"/>
          <w:jc w:val="center"/>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4A005CAF" w14:textId="77777777" w:rsidR="00BF5974" w:rsidRDefault="00BF5974">
            <w:pPr>
              <w:spacing w:line="256" w:lineRule="auto"/>
              <w:rPr>
                <w:rFonts w:eastAsia="Times New Roman" w:cs="Arial"/>
                <w:sz w:val="16"/>
                <w:szCs w:val="16"/>
                <w:lang w:val="es-ES" w:eastAsia="en-US"/>
              </w:rPr>
            </w:pPr>
            <w:r>
              <w:rPr>
                <w:rFonts w:eastAsia="Times New Roman" w:cs="Arial"/>
                <w:sz w:val="16"/>
                <w:szCs w:val="16"/>
                <w:lang w:val="es-ES" w:eastAsia="en-US"/>
              </w:rPr>
              <w:t>Cuauhtémoc</w:t>
            </w:r>
          </w:p>
        </w:tc>
        <w:tc>
          <w:tcPr>
            <w:tcW w:w="1547" w:type="dxa"/>
            <w:tcBorders>
              <w:top w:val="single" w:sz="4" w:space="0" w:color="auto"/>
              <w:left w:val="single" w:sz="4" w:space="0" w:color="auto"/>
              <w:bottom w:val="single" w:sz="4" w:space="0" w:color="auto"/>
              <w:right w:val="single" w:sz="4" w:space="0" w:color="auto"/>
            </w:tcBorders>
            <w:noWrap/>
            <w:hideMark/>
          </w:tcPr>
          <w:p w14:paraId="0AF089FB" w14:textId="77777777" w:rsidR="00BF5974" w:rsidRDefault="00BF5974">
            <w:pPr>
              <w:spacing w:line="256" w:lineRule="auto"/>
              <w:jc w:val="right"/>
              <w:rPr>
                <w:rFonts w:cs="Arial"/>
                <w:color w:val="000000"/>
                <w:sz w:val="16"/>
                <w:szCs w:val="16"/>
                <w:lang w:val="es-ES" w:eastAsia="en-US"/>
              </w:rPr>
            </w:pPr>
            <w:r>
              <w:rPr>
                <w:rFonts w:cs="Arial"/>
                <w:sz w:val="16"/>
                <w:szCs w:val="16"/>
                <w:lang w:val="es-ES" w:eastAsia="en-US"/>
              </w:rPr>
              <w:t>113,805,997</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48EA24F2" w14:textId="77777777" w:rsidR="00BF5974" w:rsidRDefault="00BF5974">
            <w:pPr>
              <w:spacing w:line="256" w:lineRule="auto"/>
              <w:jc w:val="right"/>
              <w:rPr>
                <w:rFonts w:eastAsia="Times New Roman" w:cs="Arial"/>
                <w:sz w:val="16"/>
                <w:szCs w:val="16"/>
                <w:lang w:val="es-ES" w:eastAsia="en-US"/>
              </w:rPr>
            </w:pPr>
            <w:r>
              <w:rPr>
                <w:rFonts w:cs="Arial"/>
                <w:color w:val="000000"/>
                <w:sz w:val="16"/>
                <w:szCs w:val="16"/>
                <w:lang w:val="es-ES" w:eastAsia="en-US"/>
              </w:rPr>
              <w:t>2,220,362</w:t>
            </w:r>
          </w:p>
        </w:tc>
        <w:tc>
          <w:tcPr>
            <w:tcW w:w="1292" w:type="dxa"/>
            <w:tcBorders>
              <w:top w:val="single" w:sz="4" w:space="0" w:color="auto"/>
              <w:left w:val="single" w:sz="4" w:space="0" w:color="auto"/>
              <w:bottom w:val="single" w:sz="4" w:space="0" w:color="auto"/>
              <w:right w:val="single" w:sz="4" w:space="0" w:color="auto"/>
            </w:tcBorders>
            <w:noWrap/>
            <w:vAlign w:val="bottom"/>
            <w:hideMark/>
          </w:tcPr>
          <w:p w14:paraId="59982BAF" w14:textId="77777777" w:rsidR="00BF5974" w:rsidRDefault="00BF5974">
            <w:pPr>
              <w:spacing w:line="256" w:lineRule="auto"/>
              <w:jc w:val="right"/>
              <w:rPr>
                <w:rFonts w:eastAsia="Times New Roman" w:cs="Arial"/>
                <w:sz w:val="16"/>
                <w:szCs w:val="16"/>
                <w:lang w:val="es-ES" w:eastAsia="en-US"/>
              </w:rPr>
            </w:pPr>
            <w:r>
              <w:rPr>
                <w:rFonts w:cs="Arial"/>
                <w:sz w:val="16"/>
                <w:szCs w:val="16"/>
                <w:lang w:val="es-ES" w:eastAsia="en-US"/>
              </w:rPr>
              <w:t>47,551,769</w:t>
            </w:r>
          </w:p>
        </w:tc>
        <w:tc>
          <w:tcPr>
            <w:tcW w:w="1395" w:type="dxa"/>
            <w:tcBorders>
              <w:top w:val="single" w:sz="4" w:space="0" w:color="auto"/>
              <w:left w:val="single" w:sz="4" w:space="0" w:color="auto"/>
              <w:bottom w:val="single" w:sz="4" w:space="0" w:color="auto"/>
              <w:right w:val="single" w:sz="4" w:space="0" w:color="auto"/>
            </w:tcBorders>
            <w:noWrap/>
            <w:vAlign w:val="bottom"/>
            <w:hideMark/>
          </w:tcPr>
          <w:p w14:paraId="3DD0B543" w14:textId="77777777" w:rsidR="00BF5974" w:rsidRDefault="00BF5974">
            <w:pPr>
              <w:spacing w:line="256" w:lineRule="auto"/>
              <w:jc w:val="right"/>
              <w:rPr>
                <w:rFonts w:eastAsia="Times New Roman" w:cs="Arial"/>
                <w:b/>
                <w:bCs/>
                <w:sz w:val="16"/>
                <w:szCs w:val="16"/>
                <w:lang w:val="es-ES" w:eastAsia="en-US"/>
              </w:rPr>
            </w:pPr>
            <w:r>
              <w:rPr>
                <w:rFonts w:cs="Arial"/>
                <w:color w:val="000000"/>
                <w:sz w:val="16"/>
                <w:szCs w:val="16"/>
                <w:lang w:val="es-ES" w:eastAsia="en-US"/>
              </w:rPr>
              <w:t>163,578,128</w:t>
            </w:r>
          </w:p>
        </w:tc>
      </w:tr>
      <w:tr w:rsidR="00BF5974" w14:paraId="2D0F9154" w14:textId="77777777" w:rsidTr="00BF5974">
        <w:trPr>
          <w:trHeight w:val="20"/>
          <w:jc w:val="center"/>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7FF29BF1" w14:textId="77777777" w:rsidR="00BF5974" w:rsidRDefault="00BF5974">
            <w:pPr>
              <w:spacing w:line="256" w:lineRule="auto"/>
              <w:rPr>
                <w:rFonts w:eastAsia="Times New Roman" w:cs="Arial"/>
                <w:sz w:val="16"/>
                <w:szCs w:val="16"/>
                <w:lang w:val="es-ES" w:eastAsia="en-US"/>
              </w:rPr>
            </w:pPr>
            <w:r>
              <w:rPr>
                <w:rFonts w:eastAsia="Times New Roman" w:cs="Arial"/>
                <w:sz w:val="16"/>
                <w:szCs w:val="16"/>
                <w:lang w:val="es-ES" w:eastAsia="en-US"/>
              </w:rPr>
              <w:t>Ixtlahuacán</w:t>
            </w:r>
          </w:p>
        </w:tc>
        <w:tc>
          <w:tcPr>
            <w:tcW w:w="1547" w:type="dxa"/>
            <w:tcBorders>
              <w:top w:val="single" w:sz="4" w:space="0" w:color="auto"/>
              <w:left w:val="single" w:sz="4" w:space="0" w:color="auto"/>
              <w:bottom w:val="single" w:sz="4" w:space="0" w:color="auto"/>
              <w:right w:val="single" w:sz="4" w:space="0" w:color="auto"/>
            </w:tcBorders>
            <w:noWrap/>
            <w:hideMark/>
          </w:tcPr>
          <w:p w14:paraId="19556F61" w14:textId="77777777" w:rsidR="00BF5974" w:rsidRDefault="00BF5974">
            <w:pPr>
              <w:spacing w:line="256" w:lineRule="auto"/>
              <w:jc w:val="right"/>
              <w:rPr>
                <w:rFonts w:cs="Arial"/>
                <w:color w:val="000000"/>
                <w:sz w:val="16"/>
                <w:szCs w:val="16"/>
                <w:lang w:val="es-ES" w:eastAsia="en-US"/>
              </w:rPr>
            </w:pPr>
            <w:r>
              <w:rPr>
                <w:rFonts w:cs="Arial"/>
                <w:sz w:val="16"/>
                <w:szCs w:val="16"/>
                <w:lang w:val="es-ES" w:eastAsia="en-US"/>
              </w:rPr>
              <w:t>125,103,918</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7D9E9568" w14:textId="77777777" w:rsidR="00BF5974" w:rsidRDefault="00BF5974">
            <w:pPr>
              <w:spacing w:line="256" w:lineRule="auto"/>
              <w:jc w:val="right"/>
              <w:rPr>
                <w:rFonts w:eastAsia="Times New Roman" w:cs="Arial"/>
                <w:sz w:val="16"/>
                <w:szCs w:val="16"/>
                <w:lang w:val="es-ES" w:eastAsia="en-US"/>
              </w:rPr>
            </w:pPr>
            <w:r>
              <w:rPr>
                <w:rFonts w:cs="Arial"/>
                <w:color w:val="000000"/>
                <w:sz w:val="16"/>
                <w:szCs w:val="16"/>
                <w:lang w:val="es-ES" w:eastAsia="en-US"/>
              </w:rPr>
              <w:t>2,874,338</w:t>
            </w:r>
          </w:p>
        </w:tc>
        <w:tc>
          <w:tcPr>
            <w:tcW w:w="1292" w:type="dxa"/>
            <w:tcBorders>
              <w:top w:val="single" w:sz="4" w:space="0" w:color="auto"/>
              <w:left w:val="single" w:sz="4" w:space="0" w:color="auto"/>
              <w:bottom w:val="single" w:sz="4" w:space="0" w:color="auto"/>
              <w:right w:val="single" w:sz="4" w:space="0" w:color="auto"/>
            </w:tcBorders>
            <w:noWrap/>
            <w:vAlign w:val="bottom"/>
            <w:hideMark/>
          </w:tcPr>
          <w:p w14:paraId="47D6A753" w14:textId="77777777" w:rsidR="00BF5974" w:rsidRDefault="00BF5974">
            <w:pPr>
              <w:spacing w:line="256" w:lineRule="auto"/>
              <w:jc w:val="right"/>
              <w:rPr>
                <w:rFonts w:eastAsia="Times New Roman" w:cs="Arial"/>
                <w:sz w:val="16"/>
                <w:szCs w:val="16"/>
                <w:lang w:val="es-ES" w:eastAsia="en-US"/>
              </w:rPr>
            </w:pPr>
            <w:r>
              <w:rPr>
                <w:rFonts w:cs="Arial"/>
                <w:sz w:val="16"/>
                <w:szCs w:val="16"/>
                <w:lang w:val="es-ES" w:eastAsia="en-US"/>
              </w:rPr>
              <w:t>24,061,823</w:t>
            </w:r>
          </w:p>
        </w:tc>
        <w:tc>
          <w:tcPr>
            <w:tcW w:w="1395" w:type="dxa"/>
            <w:tcBorders>
              <w:top w:val="single" w:sz="4" w:space="0" w:color="auto"/>
              <w:left w:val="single" w:sz="4" w:space="0" w:color="auto"/>
              <w:bottom w:val="single" w:sz="4" w:space="0" w:color="auto"/>
              <w:right w:val="single" w:sz="4" w:space="0" w:color="auto"/>
            </w:tcBorders>
            <w:noWrap/>
            <w:vAlign w:val="bottom"/>
            <w:hideMark/>
          </w:tcPr>
          <w:p w14:paraId="10DDEE67" w14:textId="77777777" w:rsidR="00BF5974" w:rsidRDefault="00BF5974">
            <w:pPr>
              <w:spacing w:line="256" w:lineRule="auto"/>
              <w:jc w:val="right"/>
              <w:rPr>
                <w:rFonts w:eastAsia="Times New Roman" w:cs="Arial"/>
                <w:b/>
                <w:bCs/>
                <w:sz w:val="16"/>
                <w:szCs w:val="16"/>
                <w:lang w:val="es-ES" w:eastAsia="en-US"/>
              </w:rPr>
            </w:pPr>
            <w:r>
              <w:rPr>
                <w:rFonts w:cs="Arial"/>
                <w:color w:val="000000"/>
                <w:sz w:val="16"/>
                <w:szCs w:val="16"/>
                <w:lang w:val="es-ES" w:eastAsia="en-US"/>
              </w:rPr>
              <w:t>152,040,079</w:t>
            </w:r>
          </w:p>
        </w:tc>
      </w:tr>
      <w:tr w:rsidR="00BF5974" w14:paraId="1A5C3703" w14:textId="77777777" w:rsidTr="00BF5974">
        <w:trPr>
          <w:trHeight w:val="20"/>
          <w:jc w:val="center"/>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494707ED" w14:textId="77777777" w:rsidR="00BF5974" w:rsidRDefault="00BF5974">
            <w:pPr>
              <w:spacing w:line="256" w:lineRule="auto"/>
              <w:rPr>
                <w:rFonts w:eastAsia="Times New Roman" w:cs="Arial"/>
                <w:sz w:val="16"/>
                <w:szCs w:val="16"/>
                <w:lang w:val="es-ES" w:eastAsia="en-US"/>
              </w:rPr>
            </w:pPr>
            <w:r>
              <w:rPr>
                <w:rFonts w:eastAsia="Times New Roman" w:cs="Arial"/>
                <w:sz w:val="16"/>
                <w:szCs w:val="16"/>
                <w:lang w:val="es-ES" w:eastAsia="en-US"/>
              </w:rPr>
              <w:t>Manzanillo</w:t>
            </w:r>
          </w:p>
        </w:tc>
        <w:tc>
          <w:tcPr>
            <w:tcW w:w="1547" w:type="dxa"/>
            <w:tcBorders>
              <w:top w:val="single" w:sz="4" w:space="0" w:color="auto"/>
              <w:left w:val="single" w:sz="4" w:space="0" w:color="auto"/>
              <w:bottom w:val="single" w:sz="4" w:space="0" w:color="auto"/>
              <w:right w:val="single" w:sz="4" w:space="0" w:color="auto"/>
            </w:tcBorders>
            <w:noWrap/>
            <w:hideMark/>
          </w:tcPr>
          <w:p w14:paraId="4507E2B8" w14:textId="77777777" w:rsidR="00BF5974" w:rsidRDefault="00BF5974">
            <w:pPr>
              <w:spacing w:line="256" w:lineRule="auto"/>
              <w:jc w:val="right"/>
              <w:rPr>
                <w:rFonts w:cs="Arial"/>
                <w:color w:val="000000"/>
                <w:sz w:val="16"/>
                <w:szCs w:val="16"/>
                <w:lang w:val="es-ES" w:eastAsia="en-US"/>
              </w:rPr>
            </w:pPr>
            <w:r>
              <w:rPr>
                <w:rFonts w:cs="Arial"/>
                <w:sz w:val="16"/>
                <w:szCs w:val="16"/>
                <w:lang w:val="es-ES" w:eastAsia="en-US"/>
              </w:rPr>
              <w:t>640,125,644</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5A917B98" w14:textId="77777777" w:rsidR="00BF5974" w:rsidRDefault="00BF5974">
            <w:pPr>
              <w:spacing w:line="256" w:lineRule="auto"/>
              <w:jc w:val="right"/>
              <w:rPr>
                <w:rFonts w:eastAsia="Times New Roman" w:cs="Arial"/>
                <w:sz w:val="16"/>
                <w:szCs w:val="16"/>
                <w:lang w:val="es-ES" w:eastAsia="en-US"/>
              </w:rPr>
            </w:pPr>
            <w:r>
              <w:rPr>
                <w:rFonts w:cs="Arial"/>
                <w:color w:val="000000"/>
                <w:sz w:val="16"/>
                <w:szCs w:val="16"/>
                <w:lang w:val="es-ES" w:eastAsia="en-US"/>
              </w:rPr>
              <w:t>15,518,430</w:t>
            </w:r>
          </w:p>
        </w:tc>
        <w:tc>
          <w:tcPr>
            <w:tcW w:w="1292" w:type="dxa"/>
            <w:tcBorders>
              <w:top w:val="single" w:sz="4" w:space="0" w:color="auto"/>
              <w:left w:val="single" w:sz="4" w:space="0" w:color="auto"/>
              <w:bottom w:val="single" w:sz="4" w:space="0" w:color="auto"/>
              <w:right w:val="single" w:sz="4" w:space="0" w:color="auto"/>
            </w:tcBorders>
            <w:noWrap/>
            <w:vAlign w:val="bottom"/>
            <w:hideMark/>
          </w:tcPr>
          <w:p w14:paraId="1A3F4C64" w14:textId="77777777" w:rsidR="00BF5974" w:rsidRDefault="00BF5974">
            <w:pPr>
              <w:spacing w:line="256" w:lineRule="auto"/>
              <w:jc w:val="right"/>
              <w:rPr>
                <w:rFonts w:eastAsia="Times New Roman" w:cs="Arial"/>
                <w:sz w:val="16"/>
                <w:szCs w:val="16"/>
                <w:lang w:val="es-ES" w:eastAsia="en-US"/>
              </w:rPr>
            </w:pPr>
            <w:r>
              <w:rPr>
                <w:rFonts w:cs="Arial"/>
                <w:sz w:val="16"/>
                <w:szCs w:val="16"/>
                <w:lang w:val="es-ES" w:eastAsia="en-US"/>
              </w:rPr>
              <w:t>250,970,796</w:t>
            </w:r>
          </w:p>
        </w:tc>
        <w:tc>
          <w:tcPr>
            <w:tcW w:w="1395" w:type="dxa"/>
            <w:tcBorders>
              <w:top w:val="single" w:sz="4" w:space="0" w:color="auto"/>
              <w:left w:val="single" w:sz="4" w:space="0" w:color="auto"/>
              <w:bottom w:val="single" w:sz="4" w:space="0" w:color="auto"/>
              <w:right w:val="single" w:sz="4" w:space="0" w:color="auto"/>
            </w:tcBorders>
            <w:noWrap/>
            <w:vAlign w:val="bottom"/>
            <w:hideMark/>
          </w:tcPr>
          <w:p w14:paraId="09624776" w14:textId="77777777" w:rsidR="00BF5974" w:rsidRDefault="00BF5974">
            <w:pPr>
              <w:spacing w:line="256" w:lineRule="auto"/>
              <w:jc w:val="right"/>
              <w:rPr>
                <w:rFonts w:eastAsia="Times New Roman" w:cs="Arial"/>
                <w:b/>
                <w:bCs/>
                <w:sz w:val="16"/>
                <w:szCs w:val="16"/>
                <w:lang w:val="es-ES" w:eastAsia="en-US"/>
              </w:rPr>
            </w:pPr>
            <w:r>
              <w:rPr>
                <w:rFonts w:cs="Arial"/>
                <w:color w:val="000000"/>
                <w:sz w:val="16"/>
                <w:szCs w:val="16"/>
                <w:lang w:val="es-ES" w:eastAsia="en-US"/>
              </w:rPr>
              <w:t>906,614,870</w:t>
            </w:r>
          </w:p>
        </w:tc>
      </w:tr>
      <w:tr w:rsidR="00BF5974" w14:paraId="57D7C9C3" w14:textId="77777777" w:rsidTr="00BF5974">
        <w:trPr>
          <w:trHeight w:val="20"/>
          <w:jc w:val="center"/>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5EB729F5" w14:textId="77777777" w:rsidR="00BF5974" w:rsidRDefault="00BF5974">
            <w:pPr>
              <w:spacing w:line="256" w:lineRule="auto"/>
              <w:rPr>
                <w:rFonts w:eastAsia="Times New Roman" w:cs="Arial"/>
                <w:sz w:val="16"/>
                <w:szCs w:val="16"/>
                <w:lang w:val="es-ES" w:eastAsia="en-US"/>
              </w:rPr>
            </w:pPr>
            <w:r>
              <w:rPr>
                <w:rFonts w:eastAsia="Times New Roman" w:cs="Arial"/>
                <w:sz w:val="16"/>
                <w:szCs w:val="16"/>
                <w:lang w:val="es-ES" w:eastAsia="en-US"/>
              </w:rPr>
              <w:t>Minatitlán</w:t>
            </w:r>
          </w:p>
        </w:tc>
        <w:tc>
          <w:tcPr>
            <w:tcW w:w="1547" w:type="dxa"/>
            <w:tcBorders>
              <w:top w:val="single" w:sz="4" w:space="0" w:color="auto"/>
              <w:left w:val="single" w:sz="4" w:space="0" w:color="auto"/>
              <w:bottom w:val="single" w:sz="4" w:space="0" w:color="auto"/>
              <w:right w:val="single" w:sz="4" w:space="0" w:color="auto"/>
            </w:tcBorders>
            <w:noWrap/>
            <w:hideMark/>
          </w:tcPr>
          <w:p w14:paraId="33D17ADD" w14:textId="77777777" w:rsidR="00BF5974" w:rsidRDefault="00BF5974">
            <w:pPr>
              <w:spacing w:line="256" w:lineRule="auto"/>
              <w:jc w:val="right"/>
              <w:rPr>
                <w:rFonts w:cs="Arial"/>
                <w:color w:val="000000"/>
                <w:sz w:val="16"/>
                <w:szCs w:val="16"/>
                <w:lang w:val="es-ES" w:eastAsia="en-US"/>
              </w:rPr>
            </w:pPr>
            <w:r>
              <w:rPr>
                <w:rFonts w:cs="Arial"/>
                <w:sz w:val="16"/>
                <w:szCs w:val="16"/>
                <w:lang w:val="es-ES" w:eastAsia="en-US"/>
              </w:rPr>
              <w:t>99,374,284</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0663487B" w14:textId="77777777" w:rsidR="00BF5974" w:rsidRDefault="00BF5974">
            <w:pPr>
              <w:spacing w:line="256" w:lineRule="auto"/>
              <w:jc w:val="right"/>
              <w:rPr>
                <w:rFonts w:eastAsia="Times New Roman" w:cs="Arial"/>
                <w:sz w:val="16"/>
                <w:szCs w:val="16"/>
                <w:lang w:val="es-ES" w:eastAsia="en-US"/>
              </w:rPr>
            </w:pPr>
            <w:r>
              <w:rPr>
                <w:rFonts w:cs="Arial"/>
                <w:color w:val="000000"/>
                <w:sz w:val="16"/>
                <w:szCs w:val="16"/>
                <w:lang w:val="es-ES" w:eastAsia="en-US"/>
              </w:rPr>
              <w:t>2,477,781</w:t>
            </w:r>
          </w:p>
        </w:tc>
        <w:tc>
          <w:tcPr>
            <w:tcW w:w="1292" w:type="dxa"/>
            <w:tcBorders>
              <w:top w:val="single" w:sz="4" w:space="0" w:color="auto"/>
              <w:left w:val="single" w:sz="4" w:space="0" w:color="auto"/>
              <w:bottom w:val="single" w:sz="4" w:space="0" w:color="auto"/>
              <w:right w:val="single" w:sz="4" w:space="0" w:color="auto"/>
            </w:tcBorders>
            <w:noWrap/>
            <w:vAlign w:val="bottom"/>
            <w:hideMark/>
          </w:tcPr>
          <w:p w14:paraId="29E04225" w14:textId="77777777" w:rsidR="00BF5974" w:rsidRDefault="00BF5974">
            <w:pPr>
              <w:spacing w:line="256" w:lineRule="auto"/>
              <w:jc w:val="right"/>
              <w:rPr>
                <w:rFonts w:eastAsia="Times New Roman" w:cs="Arial"/>
                <w:sz w:val="16"/>
                <w:szCs w:val="16"/>
                <w:lang w:val="es-ES" w:eastAsia="en-US"/>
              </w:rPr>
            </w:pPr>
            <w:r>
              <w:rPr>
                <w:rFonts w:cs="Arial"/>
                <w:sz w:val="16"/>
                <w:szCs w:val="16"/>
                <w:lang w:val="es-ES" w:eastAsia="en-US"/>
              </w:rPr>
              <w:t>33,639,046</w:t>
            </w:r>
          </w:p>
        </w:tc>
        <w:tc>
          <w:tcPr>
            <w:tcW w:w="1395" w:type="dxa"/>
            <w:tcBorders>
              <w:top w:val="single" w:sz="4" w:space="0" w:color="auto"/>
              <w:left w:val="single" w:sz="4" w:space="0" w:color="auto"/>
              <w:bottom w:val="single" w:sz="4" w:space="0" w:color="auto"/>
              <w:right w:val="single" w:sz="4" w:space="0" w:color="auto"/>
            </w:tcBorders>
            <w:noWrap/>
            <w:vAlign w:val="bottom"/>
            <w:hideMark/>
          </w:tcPr>
          <w:p w14:paraId="1B564668" w14:textId="77777777" w:rsidR="00BF5974" w:rsidRDefault="00BF5974">
            <w:pPr>
              <w:spacing w:line="256" w:lineRule="auto"/>
              <w:jc w:val="right"/>
              <w:rPr>
                <w:rFonts w:eastAsia="Times New Roman" w:cs="Arial"/>
                <w:b/>
                <w:bCs/>
                <w:sz w:val="16"/>
                <w:szCs w:val="16"/>
                <w:lang w:val="es-ES" w:eastAsia="en-US"/>
              </w:rPr>
            </w:pPr>
            <w:r>
              <w:rPr>
                <w:rFonts w:cs="Arial"/>
                <w:color w:val="000000"/>
                <w:sz w:val="16"/>
                <w:szCs w:val="16"/>
                <w:lang w:val="es-ES" w:eastAsia="en-US"/>
              </w:rPr>
              <w:t>135,491,111</w:t>
            </w:r>
          </w:p>
        </w:tc>
      </w:tr>
      <w:tr w:rsidR="00BF5974" w14:paraId="015F5DBD" w14:textId="77777777" w:rsidTr="00BF5974">
        <w:trPr>
          <w:trHeight w:val="20"/>
          <w:jc w:val="center"/>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0C6430B5" w14:textId="77777777" w:rsidR="00BF5974" w:rsidRDefault="00BF5974">
            <w:pPr>
              <w:spacing w:line="256" w:lineRule="auto"/>
              <w:rPr>
                <w:rFonts w:eastAsia="Times New Roman" w:cs="Arial"/>
                <w:sz w:val="16"/>
                <w:szCs w:val="16"/>
                <w:lang w:val="es-ES" w:eastAsia="en-US"/>
              </w:rPr>
            </w:pPr>
            <w:r>
              <w:rPr>
                <w:rFonts w:eastAsia="Times New Roman" w:cs="Arial"/>
                <w:sz w:val="16"/>
                <w:szCs w:val="16"/>
                <w:lang w:val="es-ES" w:eastAsia="en-US"/>
              </w:rPr>
              <w:t>Tecomán</w:t>
            </w:r>
          </w:p>
        </w:tc>
        <w:tc>
          <w:tcPr>
            <w:tcW w:w="1547" w:type="dxa"/>
            <w:tcBorders>
              <w:top w:val="single" w:sz="4" w:space="0" w:color="auto"/>
              <w:left w:val="single" w:sz="4" w:space="0" w:color="auto"/>
              <w:bottom w:val="single" w:sz="4" w:space="0" w:color="auto"/>
              <w:right w:val="single" w:sz="4" w:space="0" w:color="auto"/>
            </w:tcBorders>
            <w:noWrap/>
            <w:hideMark/>
          </w:tcPr>
          <w:p w14:paraId="7AAD54AF" w14:textId="77777777" w:rsidR="00BF5974" w:rsidRDefault="00BF5974">
            <w:pPr>
              <w:spacing w:line="256" w:lineRule="auto"/>
              <w:jc w:val="right"/>
              <w:rPr>
                <w:rFonts w:cs="Arial"/>
                <w:color w:val="000000"/>
                <w:sz w:val="16"/>
                <w:szCs w:val="16"/>
                <w:lang w:val="es-ES" w:eastAsia="en-US"/>
              </w:rPr>
            </w:pPr>
            <w:r>
              <w:rPr>
                <w:rFonts w:cs="Arial"/>
                <w:sz w:val="16"/>
                <w:szCs w:val="16"/>
                <w:lang w:val="es-ES" w:eastAsia="en-US"/>
              </w:rPr>
              <w:t>249,372,814</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6696C1F8" w14:textId="77777777" w:rsidR="00BF5974" w:rsidRDefault="00BF5974">
            <w:pPr>
              <w:spacing w:line="256" w:lineRule="auto"/>
              <w:jc w:val="right"/>
              <w:rPr>
                <w:rFonts w:eastAsia="Times New Roman" w:cs="Arial"/>
                <w:sz w:val="16"/>
                <w:szCs w:val="16"/>
                <w:lang w:val="es-ES" w:eastAsia="en-US"/>
              </w:rPr>
            </w:pPr>
            <w:r>
              <w:rPr>
                <w:rFonts w:cs="Arial"/>
                <w:color w:val="000000"/>
                <w:sz w:val="16"/>
                <w:szCs w:val="16"/>
                <w:lang w:val="es-ES" w:eastAsia="en-US"/>
              </w:rPr>
              <w:t>4,147,093</w:t>
            </w:r>
          </w:p>
        </w:tc>
        <w:tc>
          <w:tcPr>
            <w:tcW w:w="1292" w:type="dxa"/>
            <w:tcBorders>
              <w:top w:val="single" w:sz="4" w:space="0" w:color="auto"/>
              <w:left w:val="single" w:sz="4" w:space="0" w:color="auto"/>
              <w:bottom w:val="single" w:sz="4" w:space="0" w:color="auto"/>
              <w:right w:val="single" w:sz="4" w:space="0" w:color="auto"/>
            </w:tcBorders>
            <w:noWrap/>
            <w:vAlign w:val="bottom"/>
            <w:hideMark/>
          </w:tcPr>
          <w:p w14:paraId="409C45CC" w14:textId="77777777" w:rsidR="00BF5974" w:rsidRDefault="00BF5974">
            <w:pPr>
              <w:spacing w:line="256" w:lineRule="auto"/>
              <w:jc w:val="right"/>
              <w:rPr>
                <w:rFonts w:eastAsia="Times New Roman" w:cs="Arial"/>
                <w:sz w:val="16"/>
                <w:szCs w:val="16"/>
                <w:lang w:val="es-ES" w:eastAsia="en-US"/>
              </w:rPr>
            </w:pPr>
            <w:r>
              <w:rPr>
                <w:rFonts w:cs="Arial"/>
                <w:sz w:val="16"/>
                <w:szCs w:val="16"/>
                <w:lang w:val="es-ES" w:eastAsia="en-US"/>
              </w:rPr>
              <w:t>238,884,883</w:t>
            </w:r>
          </w:p>
        </w:tc>
        <w:tc>
          <w:tcPr>
            <w:tcW w:w="1395" w:type="dxa"/>
            <w:tcBorders>
              <w:top w:val="single" w:sz="4" w:space="0" w:color="auto"/>
              <w:left w:val="single" w:sz="4" w:space="0" w:color="auto"/>
              <w:bottom w:val="single" w:sz="4" w:space="0" w:color="auto"/>
              <w:right w:val="single" w:sz="4" w:space="0" w:color="auto"/>
            </w:tcBorders>
            <w:noWrap/>
            <w:vAlign w:val="bottom"/>
            <w:hideMark/>
          </w:tcPr>
          <w:p w14:paraId="462E82DE" w14:textId="77777777" w:rsidR="00BF5974" w:rsidRDefault="00BF5974">
            <w:pPr>
              <w:spacing w:line="256" w:lineRule="auto"/>
              <w:jc w:val="right"/>
              <w:rPr>
                <w:rFonts w:eastAsia="Times New Roman" w:cs="Arial"/>
                <w:b/>
                <w:bCs/>
                <w:sz w:val="16"/>
                <w:szCs w:val="16"/>
                <w:lang w:val="es-ES" w:eastAsia="en-US"/>
              </w:rPr>
            </w:pPr>
            <w:r>
              <w:rPr>
                <w:rFonts w:cs="Arial"/>
                <w:color w:val="000000"/>
                <w:sz w:val="16"/>
                <w:szCs w:val="16"/>
                <w:lang w:val="es-ES" w:eastAsia="en-US"/>
              </w:rPr>
              <w:t>492,404,790</w:t>
            </w:r>
          </w:p>
        </w:tc>
      </w:tr>
      <w:tr w:rsidR="00BF5974" w14:paraId="69882053" w14:textId="77777777" w:rsidTr="00BF5974">
        <w:trPr>
          <w:trHeight w:val="20"/>
          <w:jc w:val="center"/>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429BBC08" w14:textId="77777777" w:rsidR="00BF5974" w:rsidRDefault="00BF5974">
            <w:pPr>
              <w:spacing w:line="256" w:lineRule="auto"/>
              <w:rPr>
                <w:rFonts w:eastAsia="Times New Roman" w:cs="Arial"/>
                <w:sz w:val="16"/>
                <w:szCs w:val="16"/>
                <w:lang w:val="es-ES" w:eastAsia="en-US"/>
              </w:rPr>
            </w:pPr>
            <w:r>
              <w:rPr>
                <w:rFonts w:eastAsia="Times New Roman" w:cs="Arial"/>
                <w:sz w:val="16"/>
                <w:szCs w:val="16"/>
                <w:lang w:val="es-ES" w:eastAsia="en-US"/>
              </w:rPr>
              <w:t>Villa de Álvarez</w:t>
            </w:r>
          </w:p>
        </w:tc>
        <w:tc>
          <w:tcPr>
            <w:tcW w:w="1547" w:type="dxa"/>
            <w:tcBorders>
              <w:top w:val="single" w:sz="4" w:space="0" w:color="auto"/>
              <w:left w:val="single" w:sz="4" w:space="0" w:color="auto"/>
              <w:bottom w:val="single" w:sz="4" w:space="0" w:color="auto"/>
              <w:right w:val="single" w:sz="4" w:space="0" w:color="auto"/>
            </w:tcBorders>
            <w:noWrap/>
            <w:hideMark/>
          </w:tcPr>
          <w:p w14:paraId="6B89445D" w14:textId="77777777" w:rsidR="00BF5974" w:rsidRDefault="00BF5974">
            <w:pPr>
              <w:spacing w:line="256" w:lineRule="auto"/>
              <w:jc w:val="right"/>
              <w:rPr>
                <w:rFonts w:cs="Arial"/>
                <w:color w:val="000000"/>
                <w:sz w:val="16"/>
                <w:szCs w:val="16"/>
                <w:lang w:val="es-ES" w:eastAsia="en-US"/>
              </w:rPr>
            </w:pPr>
            <w:r>
              <w:rPr>
                <w:rFonts w:cs="Arial"/>
                <w:sz w:val="16"/>
                <w:szCs w:val="16"/>
                <w:lang w:val="es-ES" w:eastAsia="en-US"/>
              </w:rPr>
              <w:t>254,583,991</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0C1097B4" w14:textId="77777777" w:rsidR="00BF5974" w:rsidRDefault="00BF5974">
            <w:pPr>
              <w:spacing w:line="256" w:lineRule="auto"/>
              <w:jc w:val="right"/>
              <w:rPr>
                <w:rFonts w:eastAsia="Times New Roman" w:cs="Arial"/>
                <w:sz w:val="16"/>
                <w:szCs w:val="16"/>
                <w:lang w:val="es-ES" w:eastAsia="en-US"/>
              </w:rPr>
            </w:pPr>
            <w:r>
              <w:rPr>
                <w:rFonts w:cs="Arial"/>
                <w:color w:val="000000"/>
                <w:sz w:val="16"/>
                <w:szCs w:val="16"/>
                <w:lang w:val="es-ES" w:eastAsia="en-US"/>
              </w:rPr>
              <w:t>4,930,144</w:t>
            </w:r>
          </w:p>
        </w:tc>
        <w:tc>
          <w:tcPr>
            <w:tcW w:w="1292" w:type="dxa"/>
            <w:tcBorders>
              <w:top w:val="single" w:sz="4" w:space="0" w:color="auto"/>
              <w:left w:val="single" w:sz="4" w:space="0" w:color="auto"/>
              <w:bottom w:val="single" w:sz="4" w:space="0" w:color="auto"/>
              <w:right w:val="single" w:sz="4" w:space="0" w:color="auto"/>
            </w:tcBorders>
            <w:noWrap/>
            <w:vAlign w:val="bottom"/>
            <w:hideMark/>
          </w:tcPr>
          <w:p w14:paraId="739887DD" w14:textId="77777777" w:rsidR="00BF5974" w:rsidRDefault="00BF5974">
            <w:pPr>
              <w:spacing w:line="256" w:lineRule="auto"/>
              <w:jc w:val="right"/>
              <w:rPr>
                <w:rFonts w:eastAsia="Times New Roman" w:cs="Arial"/>
                <w:sz w:val="16"/>
                <w:szCs w:val="16"/>
                <w:lang w:val="es-ES" w:eastAsia="en-US"/>
              </w:rPr>
            </w:pPr>
            <w:r>
              <w:rPr>
                <w:rFonts w:cs="Arial"/>
                <w:sz w:val="16"/>
                <w:szCs w:val="16"/>
                <w:lang w:val="es-ES" w:eastAsia="en-US"/>
              </w:rPr>
              <w:t>173,764,369</w:t>
            </w:r>
          </w:p>
        </w:tc>
        <w:tc>
          <w:tcPr>
            <w:tcW w:w="1395" w:type="dxa"/>
            <w:tcBorders>
              <w:top w:val="single" w:sz="4" w:space="0" w:color="auto"/>
              <w:left w:val="single" w:sz="4" w:space="0" w:color="auto"/>
              <w:bottom w:val="single" w:sz="4" w:space="0" w:color="auto"/>
              <w:right w:val="single" w:sz="4" w:space="0" w:color="auto"/>
            </w:tcBorders>
            <w:noWrap/>
            <w:vAlign w:val="bottom"/>
            <w:hideMark/>
          </w:tcPr>
          <w:p w14:paraId="3DA12152" w14:textId="77777777" w:rsidR="00BF5974" w:rsidRDefault="00BF5974">
            <w:pPr>
              <w:spacing w:line="256" w:lineRule="auto"/>
              <w:jc w:val="right"/>
              <w:rPr>
                <w:rFonts w:eastAsia="Times New Roman" w:cs="Arial"/>
                <w:b/>
                <w:bCs/>
                <w:sz w:val="16"/>
                <w:szCs w:val="16"/>
                <w:lang w:val="es-ES" w:eastAsia="en-US"/>
              </w:rPr>
            </w:pPr>
            <w:r>
              <w:rPr>
                <w:rFonts w:cs="Arial"/>
                <w:color w:val="000000"/>
                <w:sz w:val="16"/>
                <w:szCs w:val="16"/>
                <w:lang w:val="es-ES" w:eastAsia="en-US"/>
              </w:rPr>
              <w:t>433,278,504</w:t>
            </w:r>
          </w:p>
        </w:tc>
      </w:tr>
      <w:tr w:rsidR="00BF5974" w14:paraId="67F30780" w14:textId="77777777" w:rsidTr="00BF5974">
        <w:trPr>
          <w:trHeight w:val="20"/>
          <w:jc w:val="center"/>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264D12AE" w14:textId="77777777" w:rsidR="00BF5974" w:rsidRDefault="00BF5974">
            <w:pPr>
              <w:spacing w:line="256" w:lineRule="auto"/>
              <w:jc w:val="center"/>
              <w:rPr>
                <w:rFonts w:eastAsia="Times New Roman" w:cs="Arial"/>
                <w:b/>
                <w:bCs/>
                <w:sz w:val="16"/>
                <w:szCs w:val="16"/>
                <w:lang w:val="es-ES" w:eastAsia="en-US"/>
              </w:rPr>
            </w:pPr>
            <w:r>
              <w:rPr>
                <w:rFonts w:eastAsia="Times New Roman" w:cs="Arial"/>
                <w:b/>
                <w:bCs/>
                <w:sz w:val="16"/>
                <w:szCs w:val="16"/>
                <w:lang w:val="es-ES" w:eastAsia="en-US"/>
              </w:rPr>
              <w:t>Totales</w:t>
            </w:r>
          </w:p>
        </w:tc>
        <w:tc>
          <w:tcPr>
            <w:tcW w:w="1547" w:type="dxa"/>
            <w:tcBorders>
              <w:top w:val="single" w:sz="4" w:space="0" w:color="auto"/>
              <w:left w:val="single" w:sz="4" w:space="0" w:color="auto"/>
              <w:bottom w:val="single" w:sz="4" w:space="0" w:color="auto"/>
              <w:right w:val="single" w:sz="4" w:space="0" w:color="auto"/>
            </w:tcBorders>
            <w:noWrap/>
            <w:hideMark/>
          </w:tcPr>
          <w:p w14:paraId="75D260B8" w14:textId="77777777" w:rsidR="00BF5974" w:rsidRDefault="00BF5974">
            <w:pPr>
              <w:spacing w:line="256" w:lineRule="auto"/>
              <w:jc w:val="right"/>
              <w:rPr>
                <w:rFonts w:cs="Arial"/>
                <w:b/>
                <w:bCs/>
                <w:color w:val="000000"/>
                <w:sz w:val="16"/>
                <w:szCs w:val="16"/>
                <w:lang w:val="es-ES" w:eastAsia="en-US"/>
              </w:rPr>
            </w:pPr>
            <w:r>
              <w:rPr>
                <w:rFonts w:cs="Arial"/>
                <w:b/>
                <w:bCs/>
                <w:sz w:val="16"/>
                <w:szCs w:val="16"/>
                <w:lang w:val="es-ES" w:eastAsia="en-US"/>
              </w:rPr>
              <w:t>2,126,468,349</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22D565F0" w14:textId="77777777" w:rsidR="00BF5974" w:rsidRDefault="00BF5974">
            <w:pPr>
              <w:spacing w:line="256" w:lineRule="auto"/>
              <w:jc w:val="right"/>
              <w:rPr>
                <w:rFonts w:cs="Arial"/>
                <w:b/>
                <w:bCs/>
                <w:color w:val="000000"/>
                <w:sz w:val="16"/>
                <w:szCs w:val="16"/>
                <w:lang w:val="es-ES" w:eastAsia="en-US"/>
              </w:rPr>
            </w:pPr>
            <w:r>
              <w:rPr>
                <w:rFonts w:cs="Arial"/>
                <w:b/>
                <w:bCs/>
                <w:color w:val="000000"/>
                <w:sz w:val="16"/>
                <w:szCs w:val="16"/>
                <w:lang w:val="es-ES" w:eastAsia="en-US"/>
              </w:rPr>
              <w:t>42,878,534</w:t>
            </w:r>
          </w:p>
        </w:tc>
        <w:tc>
          <w:tcPr>
            <w:tcW w:w="1292" w:type="dxa"/>
            <w:tcBorders>
              <w:top w:val="single" w:sz="4" w:space="0" w:color="auto"/>
              <w:left w:val="single" w:sz="4" w:space="0" w:color="auto"/>
              <w:bottom w:val="single" w:sz="4" w:space="0" w:color="auto"/>
              <w:right w:val="single" w:sz="4" w:space="0" w:color="auto"/>
            </w:tcBorders>
            <w:noWrap/>
            <w:vAlign w:val="center"/>
            <w:hideMark/>
          </w:tcPr>
          <w:p w14:paraId="6FB45BA9" w14:textId="77777777" w:rsidR="00BF5974" w:rsidRDefault="00BF5974">
            <w:pPr>
              <w:spacing w:line="256" w:lineRule="auto"/>
              <w:jc w:val="right"/>
              <w:rPr>
                <w:rFonts w:eastAsia="Times New Roman" w:cs="Arial"/>
                <w:b/>
                <w:bCs/>
                <w:sz w:val="16"/>
                <w:szCs w:val="16"/>
                <w:lang w:val="es-ES" w:eastAsia="en-US"/>
              </w:rPr>
            </w:pPr>
            <w:r>
              <w:rPr>
                <w:rFonts w:cs="Arial"/>
                <w:b/>
                <w:bCs/>
                <w:sz w:val="16"/>
                <w:szCs w:val="16"/>
                <w:lang w:val="es-ES" w:eastAsia="en-US"/>
              </w:rPr>
              <w:t>1,165,069,515</w:t>
            </w:r>
          </w:p>
        </w:tc>
        <w:tc>
          <w:tcPr>
            <w:tcW w:w="1395" w:type="dxa"/>
            <w:tcBorders>
              <w:top w:val="single" w:sz="4" w:space="0" w:color="auto"/>
              <w:left w:val="single" w:sz="4" w:space="0" w:color="auto"/>
              <w:bottom w:val="single" w:sz="4" w:space="0" w:color="auto"/>
              <w:right w:val="single" w:sz="4" w:space="0" w:color="auto"/>
            </w:tcBorders>
            <w:noWrap/>
            <w:vAlign w:val="bottom"/>
            <w:hideMark/>
          </w:tcPr>
          <w:p w14:paraId="752D5A6D" w14:textId="77777777" w:rsidR="00BF5974" w:rsidRDefault="00BF5974">
            <w:pPr>
              <w:spacing w:line="256" w:lineRule="auto"/>
              <w:jc w:val="right"/>
              <w:rPr>
                <w:rFonts w:eastAsia="Times New Roman" w:cs="Arial"/>
                <w:b/>
                <w:bCs/>
                <w:sz w:val="16"/>
                <w:szCs w:val="16"/>
                <w:lang w:val="es-ES" w:eastAsia="en-US"/>
              </w:rPr>
            </w:pPr>
            <w:r>
              <w:rPr>
                <w:rFonts w:cs="Arial"/>
                <w:b/>
                <w:bCs/>
                <w:color w:val="000000"/>
                <w:sz w:val="16"/>
                <w:szCs w:val="16"/>
                <w:lang w:val="es-ES" w:eastAsia="en-US"/>
              </w:rPr>
              <w:t>3,334,416,398</w:t>
            </w:r>
          </w:p>
        </w:tc>
      </w:tr>
    </w:tbl>
    <w:p w14:paraId="717395BC" w14:textId="77777777" w:rsidR="00BF5974" w:rsidRDefault="00BF5974" w:rsidP="00BF5974">
      <w:pPr>
        <w:ind w:left="851"/>
        <w:rPr>
          <w:rFonts w:cs="Arial"/>
          <w:sz w:val="16"/>
          <w:lang w:val="es-ES"/>
        </w:rPr>
      </w:pPr>
      <w:r>
        <w:rPr>
          <w:rFonts w:cs="Arial"/>
          <w:b/>
          <w:sz w:val="16"/>
          <w:lang w:val="es-ES"/>
        </w:rPr>
        <w:t>Nota</w:t>
      </w:r>
      <w:r>
        <w:rPr>
          <w:rFonts w:cs="Arial"/>
          <w:sz w:val="16"/>
          <w:lang w:val="es-ES"/>
        </w:rPr>
        <w:t>: La suma de los parciales puede no coincidir con el total debido al redondeo de cifras</w:t>
      </w:r>
    </w:p>
    <w:p w14:paraId="7A443E23" w14:textId="77777777" w:rsidR="00BF5974" w:rsidRDefault="00BF5974" w:rsidP="00BF5974">
      <w:pPr>
        <w:rPr>
          <w:rFonts w:cs="Arial"/>
          <w:lang w:val="es-ES"/>
        </w:rPr>
      </w:pPr>
    </w:p>
    <w:p w14:paraId="2710B3D6" w14:textId="77777777" w:rsidR="00BF5974" w:rsidRDefault="00BF5974" w:rsidP="00BF5974">
      <w:pPr>
        <w:jc w:val="center"/>
        <w:rPr>
          <w:rFonts w:eastAsia="Times New Roman" w:cs="Arial"/>
          <w:b/>
          <w:lang w:val="es-ES"/>
        </w:rPr>
      </w:pPr>
      <w:bookmarkStart w:id="258" w:name="_Toc22021983"/>
      <w:bookmarkStart w:id="259" w:name="_Toc22983230"/>
      <w:r>
        <w:rPr>
          <w:rFonts w:eastAsia="Times New Roman" w:cs="Arial"/>
          <w:b/>
          <w:lang w:val="es-ES"/>
        </w:rPr>
        <w:t>CAPÍTULO</w:t>
      </w:r>
      <w:bookmarkEnd w:id="258"/>
      <w:bookmarkEnd w:id="259"/>
      <w:r>
        <w:rPr>
          <w:rFonts w:eastAsia="Times New Roman" w:cs="Arial"/>
          <w:b/>
          <w:lang w:val="es-ES"/>
        </w:rPr>
        <w:t xml:space="preserve"> III</w:t>
      </w:r>
    </w:p>
    <w:p w14:paraId="46CFDA9B" w14:textId="77777777" w:rsidR="00BF5974" w:rsidRDefault="00BF5974" w:rsidP="00BF5974">
      <w:pPr>
        <w:keepNext/>
        <w:keepLines/>
        <w:jc w:val="center"/>
        <w:outlineLvl w:val="0"/>
        <w:rPr>
          <w:rFonts w:eastAsia="Times New Roman" w:cs="Arial"/>
          <w:b/>
          <w:szCs w:val="32"/>
          <w:lang w:val="es-ES"/>
        </w:rPr>
      </w:pPr>
      <w:bookmarkStart w:id="260" w:name="_Toc22021984"/>
      <w:bookmarkStart w:id="261" w:name="_Toc22983231"/>
      <w:r>
        <w:rPr>
          <w:rFonts w:eastAsia="Times New Roman" w:cs="Arial"/>
          <w:b/>
          <w:szCs w:val="32"/>
          <w:lang w:val="es-ES"/>
        </w:rPr>
        <w:t>DE LOS CONVENIOS Y SUBSIDIOS FEDERALES TRANSFERIDOS</w:t>
      </w:r>
      <w:bookmarkEnd w:id="260"/>
      <w:bookmarkEnd w:id="261"/>
    </w:p>
    <w:p w14:paraId="2F023930" w14:textId="77777777" w:rsidR="00BF5974" w:rsidRDefault="00BF5974" w:rsidP="00BF5974">
      <w:pPr>
        <w:rPr>
          <w:rFonts w:cs="Arial"/>
          <w:b/>
          <w:lang w:val="es-ES"/>
        </w:rPr>
      </w:pPr>
    </w:p>
    <w:p w14:paraId="0358A7DB" w14:textId="77777777" w:rsidR="00BF5974" w:rsidRDefault="00BF5974" w:rsidP="00BF5974">
      <w:pPr>
        <w:rPr>
          <w:rFonts w:cs="Arial"/>
          <w:lang w:val="es-ES"/>
        </w:rPr>
      </w:pPr>
      <w:r>
        <w:rPr>
          <w:rFonts w:cs="Arial"/>
          <w:b/>
          <w:lang w:val="es-ES"/>
        </w:rPr>
        <w:t>Artículo 66</w:t>
      </w:r>
      <w:r>
        <w:rPr>
          <w:rFonts w:cs="Arial"/>
          <w:lang w:val="es-ES"/>
        </w:rPr>
        <w:t>. En el apartado de Convenios en conformidad con el Presupuesto de Egresos del Estado de Colima para el Ejercicio Fiscal 2025, derivada de programas con Fuente de Financiamiento de Recursos Federales, mismos que se destinarán a fines específicos como se señala a continuación:</w:t>
      </w:r>
    </w:p>
    <w:p w14:paraId="7B2C1F9F" w14:textId="77777777" w:rsidR="00BF5974" w:rsidRDefault="00BF5974" w:rsidP="00BF5974">
      <w:pPr>
        <w:keepNext/>
        <w:keepLines/>
        <w:outlineLvl w:val="2"/>
        <w:rPr>
          <w:rFonts w:eastAsia="Times New Roman" w:cs="Arial"/>
          <w:b/>
          <w:szCs w:val="24"/>
          <w:lang w:val="es-ES" w:eastAsia="en-US"/>
        </w:rPr>
      </w:pPr>
    </w:p>
    <w:tbl>
      <w:tblPr>
        <w:tblW w:w="8838" w:type="dxa"/>
        <w:tblCellMar>
          <w:left w:w="70" w:type="dxa"/>
          <w:right w:w="70" w:type="dxa"/>
        </w:tblCellMar>
        <w:tblLook w:val="04A0" w:firstRow="1" w:lastRow="0" w:firstColumn="1" w:lastColumn="0" w:noHBand="0" w:noVBand="1"/>
      </w:tblPr>
      <w:tblGrid>
        <w:gridCol w:w="1115"/>
        <w:gridCol w:w="5529"/>
        <w:gridCol w:w="1030"/>
        <w:gridCol w:w="1164"/>
      </w:tblGrid>
      <w:tr w:rsidR="00BF5974" w14:paraId="587752F5" w14:textId="77777777" w:rsidTr="00BF5974">
        <w:trPr>
          <w:trHeight w:val="20"/>
          <w:tblHeader/>
        </w:trPr>
        <w:tc>
          <w:tcPr>
            <w:tcW w:w="8838" w:type="dxa"/>
            <w:gridSpan w:val="4"/>
            <w:tcBorders>
              <w:top w:val="nil"/>
              <w:left w:val="nil"/>
              <w:bottom w:val="single" w:sz="4" w:space="0" w:color="auto"/>
              <w:right w:val="nil"/>
            </w:tcBorders>
            <w:vAlign w:val="center"/>
            <w:hideMark/>
          </w:tcPr>
          <w:p w14:paraId="66C61743" w14:textId="77777777" w:rsidR="00BF5974" w:rsidRDefault="00BF5974">
            <w:pPr>
              <w:spacing w:line="256" w:lineRule="auto"/>
              <w:jc w:val="center"/>
              <w:rPr>
                <w:rFonts w:eastAsia="Times New Roman" w:cs="Arial"/>
                <w:b/>
                <w:bCs/>
                <w:sz w:val="16"/>
                <w:szCs w:val="16"/>
                <w:lang w:val="es-ES" w:eastAsia="en-US"/>
              </w:rPr>
            </w:pPr>
            <w:r>
              <w:rPr>
                <w:rFonts w:eastAsia="Times New Roman" w:cs="Arial"/>
                <w:b/>
                <w:bCs/>
                <w:sz w:val="20"/>
                <w:szCs w:val="20"/>
                <w:lang w:val="es-ES" w:eastAsia="en-US"/>
              </w:rPr>
              <w:t>Tabla 57. Convenios y Subsidios Federales Transferidos</w:t>
            </w:r>
          </w:p>
        </w:tc>
      </w:tr>
      <w:tr w:rsidR="00BF5974" w14:paraId="0D26A3C9" w14:textId="77777777" w:rsidTr="00BF5974">
        <w:trPr>
          <w:trHeight w:val="20"/>
          <w:tblHeader/>
        </w:trPr>
        <w:tc>
          <w:tcPr>
            <w:tcW w:w="1115" w:type="dxa"/>
            <w:tcBorders>
              <w:top w:val="single" w:sz="4" w:space="0" w:color="auto"/>
              <w:left w:val="single" w:sz="4" w:space="0" w:color="auto"/>
              <w:bottom w:val="single" w:sz="4" w:space="0" w:color="auto"/>
              <w:right w:val="single" w:sz="4" w:space="0" w:color="auto"/>
            </w:tcBorders>
            <w:vAlign w:val="center"/>
            <w:hideMark/>
          </w:tcPr>
          <w:p w14:paraId="74B6773D" w14:textId="77777777" w:rsidR="00BF5974" w:rsidRDefault="00BF5974">
            <w:pPr>
              <w:spacing w:line="256" w:lineRule="auto"/>
              <w:jc w:val="center"/>
              <w:rPr>
                <w:rFonts w:eastAsia="Times New Roman" w:cs="Arial"/>
                <w:b/>
                <w:bCs/>
                <w:sz w:val="16"/>
                <w:szCs w:val="16"/>
                <w:lang w:val="es-ES" w:eastAsia="en-US"/>
              </w:rPr>
            </w:pPr>
            <w:r>
              <w:rPr>
                <w:rFonts w:eastAsia="Times New Roman" w:cs="Arial"/>
                <w:b/>
                <w:bCs/>
                <w:sz w:val="16"/>
                <w:szCs w:val="16"/>
                <w:lang w:val="es-ES" w:eastAsia="en-US"/>
              </w:rPr>
              <w:t>Fondo</w:t>
            </w:r>
          </w:p>
        </w:tc>
        <w:tc>
          <w:tcPr>
            <w:tcW w:w="5529" w:type="dxa"/>
            <w:tcBorders>
              <w:top w:val="single" w:sz="4" w:space="0" w:color="auto"/>
              <w:left w:val="nil"/>
              <w:bottom w:val="single" w:sz="4" w:space="0" w:color="auto"/>
              <w:right w:val="single" w:sz="4" w:space="0" w:color="auto"/>
            </w:tcBorders>
            <w:noWrap/>
            <w:vAlign w:val="center"/>
            <w:hideMark/>
          </w:tcPr>
          <w:p w14:paraId="17095121" w14:textId="77777777" w:rsidR="00BF5974" w:rsidRDefault="00BF5974">
            <w:pPr>
              <w:spacing w:line="256" w:lineRule="auto"/>
              <w:jc w:val="center"/>
              <w:rPr>
                <w:rFonts w:eastAsia="Times New Roman" w:cs="Arial"/>
                <w:b/>
                <w:bCs/>
                <w:sz w:val="16"/>
                <w:szCs w:val="16"/>
                <w:lang w:val="es-ES" w:eastAsia="en-US"/>
              </w:rPr>
            </w:pPr>
            <w:r>
              <w:rPr>
                <w:rFonts w:eastAsia="Times New Roman" w:cs="Arial"/>
                <w:b/>
                <w:bCs/>
                <w:sz w:val="16"/>
                <w:szCs w:val="16"/>
                <w:lang w:val="es-ES" w:eastAsia="en-US"/>
              </w:rPr>
              <w:t>Convenios</w:t>
            </w:r>
          </w:p>
        </w:tc>
        <w:tc>
          <w:tcPr>
            <w:tcW w:w="1030" w:type="dxa"/>
            <w:tcBorders>
              <w:top w:val="single" w:sz="4" w:space="0" w:color="auto"/>
              <w:left w:val="nil"/>
              <w:bottom w:val="single" w:sz="4" w:space="0" w:color="auto"/>
              <w:right w:val="single" w:sz="4" w:space="0" w:color="auto"/>
            </w:tcBorders>
            <w:noWrap/>
            <w:vAlign w:val="center"/>
            <w:hideMark/>
          </w:tcPr>
          <w:p w14:paraId="5B7A1D1A" w14:textId="77777777" w:rsidR="00BF5974" w:rsidRDefault="00BF5974">
            <w:pPr>
              <w:spacing w:line="256" w:lineRule="auto"/>
              <w:jc w:val="center"/>
              <w:rPr>
                <w:rFonts w:eastAsia="Times New Roman" w:cs="Arial"/>
                <w:b/>
                <w:bCs/>
                <w:sz w:val="16"/>
                <w:szCs w:val="16"/>
                <w:lang w:val="es-ES" w:eastAsia="en-US"/>
              </w:rPr>
            </w:pPr>
            <w:r>
              <w:rPr>
                <w:rFonts w:eastAsia="Times New Roman" w:cs="Arial"/>
                <w:b/>
                <w:bCs/>
                <w:sz w:val="16"/>
                <w:szCs w:val="16"/>
                <w:lang w:val="es-ES" w:eastAsia="en-US"/>
              </w:rPr>
              <w:t>Importe Estatal</w:t>
            </w:r>
          </w:p>
        </w:tc>
        <w:tc>
          <w:tcPr>
            <w:tcW w:w="1164" w:type="dxa"/>
            <w:tcBorders>
              <w:top w:val="single" w:sz="4" w:space="0" w:color="auto"/>
              <w:left w:val="nil"/>
              <w:bottom w:val="single" w:sz="4" w:space="0" w:color="auto"/>
              <w:right w:val="single" w:sz="4" w:space="0" w:color="auto"/>
            </w:tcBorders>
            <w:noWrap/>
            <w:vAlign w:val="center"/>
            <w:hideMark/>
          </w:tcPr>
          <w:p w14:paraId="76BB5E89" w14:textId="77777777" w:rsidR="00BF5974" w:rsidRDefault="00BF5974">
            <w:pPr>
              <w:spacing w:line="256" w:lineRule="auto"/>
              <w:jc w:val="center"/>
              <w:rPr>
                <w:rFonts w:eastAsia="Times New Roman" w:cs="Arial"/>
                <w:b/>
                <w:bCs/>
                <w:sz w:val="16"/>
                <w:szCs w:val="16"/>
                <w:lang w:val="es-ES" w:eastAsia="en-US"/>
              </w:rPr>
            </w:pPr>
            <w:r>
              <w:rPr>
                <w:rFonts w:eastAsia="Times New Roman" w:cs="Arial"/>
                <w:b/>
                <w:bCs/>
                <w:sz w:val="16"/>
                <w:szCs w:val="16"/>
                <w:lang w:val="es-ES" w:eastAsia="en-US"/>
              </w:rPr>
              <w:t>Importe Federal</w:t>
            </w:r>
          </w:p>
        </w:tc>
      </w:tr>
      <w:tr w:rsidR="00BF5974" w14:paraId="7A792C9D"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1E660CCB" w14:textId="77777777" w:rsidR="00BF5974" w:rsidRDefault="00BF5974">
            <w:pPr>
              <w:rPr>
                <w:rFonts w:eastAsia="Times New Roman" w:cs="Arial"/>
                <w:b/>
                <w:bCs/>
                <w:sz w:val="16"/>
                <w:szCs w:val="16"/>
                <w:lang w:val="es-ES" w:eastAsia="en-US"/>
              </w:rPr>
            </w:pPr>
          </w:p>
        </w:tc>
        <w:tc>
          <w:tcPr>
            <w:tcW w:w="5529" w:type="dxa"/>
            <w:tcBorders>
              <w:top w:val="nil"/>
              <w:left w:val="nil"/>
              <w:bottom w:val="single" w:sz="4" w:space="0" w:color="auto"/>
              <w:right w:val="single" w:sz="4" w:space="0" w:color="auto"/>
            </w:tcBorders>
            <w:noWrap/>
            <w:vAlign w:val="center"/>
            <w:hideMark/>
          </w:tcPr>
          <w:p w14:paraId="4C05991E" w14:textId="77777777" w:rsidR="00BF5974" w:rsidRDefault="00BF5974">
            <w:pPr>
              <w:spacing w:line="256" w:lineRule="auto"/>
              <w:jc w:val="left"/>
              <w:rPr>
                <w:rFonts w:eastAsia="Times New Roman" w:cs="Arial"/>
                <w:b/>
                <w:bCs/>
                <w:sz w:val="16"/>
                <w:szCs w:val="16"/>
                <w:lang w:val="es-ES" w:eastAsia="en-US"/>
              </w:rPr>
            </w:pPr>
            <w:r>
              <w:rPr>
                <w:rFonts w:eastAsia="Times New Roman" w:cs="Arial"/>
                <w:b/>
                <w:bCs/>
                <w:sz w:val="16"/>
                <w:szCs w:val="16"/>
                <w:lang w:val="es-ES" w:eastAsia="en-US"/>
              </w:rPr>
              <w:t>Secretaría de Educación Pública</w:t>
            </w:r>
          </w:p>
        </w:tc>
        <w:tc>
          <w:tcPr>
            <w:tcW w:w="1030" w:type="dxa"/>
            <w:tcBorders>
              <w:top w:val="nil"/>
              <w:left w:val="nil"/>
              <w:bottom w:val="single" w:sz="4" w:space="0" w:color="auto"/>
              <w:right w:val="single" w:sz="4" w:space="0" w:color="auto"/>
            </w:tcBorders>
            <w:noWrap/>
            <w:vAlign w:val="center"/>
            <w:hideMark/>
          </w:tcPr>
          <w:p w14:paraId="0DCFF7C8"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46,561,526</w:t>
            </w:r>
          </w:p>
        </w:tc>
        <w:tc>
          <w:tcPr>
            <w:tcW w:w="1164" w:type="dxa"/>
            <w:tcBorders>
              <w:top w:val="nil"/>
              <w:left w:val="nil"/>
              <w:bottom w:val="single" w:sz="4" w:space="0" w:color="auto"/>
              <w:right w:val="single" w:sz="4" w:space="0" w:color="auto"/>
            </w:tcBorders>
            <w:noWrap/>
            <w:vAlign w:val="center"/>
            <w:hideMark/>
          </w:tcPr>
          <w:p w14:paraId="7E616C00"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147,650,727</w:t>
            </w:r>
          </w:p>
        </w:tc>
      </w:tr>
      <w:tr w:rsidR="00BF5974" w14:paraId="1DFDAC2E"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15B1838A" w14:textId="77777777" w:rsidR="00BF5974" w:rsidRDefault="00BF5974">
            <w:pPr>
              <w:spacing w:line="256" w:lineRule="auto"/>
              <w:jc w:val="center"/>
              <w:outlineLvl w:val="0"/>
              <w:rPr>
                <w:rFonts w:eastAsia="Times New Roman" w:cs="Arial"/>
                <w:sz w:val="14"/>
                <w:szCs w:val="14"/>
                <w:lang w:val="es-ES" w:eastAsia="en-US"/>
              </w:rPr>
            </w:pPr>
            <w:r>
              <w:rPr>
                <w:rFonts w:eastAsia="Times New Roman" w:cs="Arial"/>
                <w:sz w:val="14"/>
                <w:szCs w:val="14"/>
                <w:lang w:val="es-ES" w:eastAsia="en-US"/>
              </w:rPr>
              <w:t>02052025019</w:t>
            </w:r>
          </w:p>
        </w:tc>
        <w:tc>
          <w:tcPr>
            <w:tcW w:w="5529" w:type="dxa"/>
            <w:tcBorders>
              <w:top w:val="nil"/>
              <w:left w:val="nil"/>
              <w:bottom w:val="single" w:sz="4" w:space="0" w:color="auto"/>
              <w:right w:val="single" w:sz="4" w:space="0" w:color="auto"/>
            </w:tcBorders>
            <w:vAlign w:val="center"/>
            <w:hideMark/>
          </w:tcPr>
          <w:p w14:paraId="56100C63" w14:textId="77777777" w:rsidR="00BF5974" w:rsidRDefault="00BF5974">
            <w:pPr>
              <w:spacing w:line="256" w:lineRule="auto"/>
              <w:jc w:val="left"/>
              <w:outlineLvl w:val="0"/>
              <w:rPr>
                <w:rFonts w:eastAsia="Times New Roman" w:cs="Arial"/>
                <w:sz w:val="16"/>
                <w:szCs w:val="16"/>
                <w:lang w:val="es-ES" w:eastAsia="en-US"/>
              </w:rPr>
            </w:pPr>
            <w:r>
              <w:rPr>
                <w:rFonts w:eastAsia="Times New Roman" w:cs="Arial"/>
                <w:sz w:val="16"/>
                <w:szCs w:val="16"/>
                <w:lang w:val="es-ES" w:eastAsia="en-US"/>
              </w:rPr>
              <w:t>Convenio de Apoyo Financiero "Telebachillerato Comunitario"</w:t>
            </w:r>
          </w:p>
        </w:tc>
        <w:tc>
          <w:tcPr>
            <w:tcW w:w="1030" w:type="dxa"/>
            <w:tcBorders>
              <w:top w:val="nil"/>
              <w:left w:val="nil"/>
              <w:bottom w:val="single" w:sz="4" w:space="0" w:color="auto"/>
              <w:right w:val="single" w:sz="4" w:space="0" w:color="auto"/>
            </w:tcBorders>
            <w:noWrap/>
            <w:vAlign w:val="center"/>
            <w:hideMark/>
          </w:tcPr>
          <w:p w14:paraId="40B82834"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15,965,380</w:t>
            </w:r>
          </w:p>
        </w:tc>
        <w:tc>
          <w:tcPr>
            <w:tcW w:w="1164" w:type="dxa"/>
            <w:tcBorders>
              <w:top w:val="nil"/>
              <w:left w:val="nil"/>
              <w:bottom w:val="single" w:sz="4" w:space="0" w:color="auto"/>
              <w:right w:val="single" w:sz="4" w:space="0" w:color="auto"/>
            </w:tcBorders>
            <w:noWrap/>
            <w:vAlign w:val="center"/>
            <w:hideMark/>
          </w:tcPr>
          <w:p w14:paraId="73EB1E7E"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10,381,895</w:t>
            </w:r>
          </w:p>
        </w:tc>
      </w:tr>
      <w:tr w:rsidR="00BF5974" w14:paraId="79E2B928"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27C32379" w14:textId="77777777" w:rsidR="00BF5974" w:rsidRDefault="00BF5974">
            <w:pPr>
              <w:spacing w:line="256" w:lineRule="auto"/>
              <w:jc w:val="center"/>
              <w:outlineLvl w:val="0"/>
              <w:rPr>
                <w:rFonts w:eastAsia="Times New Roman" w:cs="Arial"/>
                <w:sz w:val="14"/>
                <w:szCs w:val="14"/>
                <w:lang w:val="es-ES" w:eastAsia="en-US"/>
              </w:rPr>
            </w:pPr>
            <w:r>
              <w:rPr>
                <w:rFonts w:eastAsia="Times New Roman" w:cs="Arial"/>
                <w:sz w:val="14"/>
                <w:szCs w:val="14"/>
                <w:lang w:val="es-ES" w:eastAsia="en-US"/>
              </w:rPr>
              <w:t>02052025020</w:t>
            </w:r>
          </w:p>
        </w:tc>
        <w:tc>
          <w:tcPr>
            <w:tcW w:w="5529" w:type="dxa"/>
            <w:tcBorders>
              <w:top w:val="nil"/>
              <w:left w:val="nil"/>
              <w:bottom w:val="single" w:sz="4" w:space="0" w:color="auto"/>
              <w:right w:val="single" w:sz="4" w:space="0" w:color="auto"/>
            </w:tcBorders>
            <w:vAlign w:val="center"/>
            <w:hideMark/>
          </w:tcPr>
          <w:p w14:paraId="0434ACBB" w14:textId="77777777" w:rsidR="00BF5974" w:rsidRDefault="00BF5974">
            <w:pPr>
              <w:spacing w:line="256" w:lineRule="auto"/>
              <w:jc w:val="left"/>
              <w:outlineLvl w:val="0"/>
              <w:rPr>
                <w:rFonts w:eastAsia="Times New Roman" w:cs="Arial"/>
                <w:sz w:val="16"/>
                <w:szCs w:val="16"/>
                <w:lang w:val="es-ES" w:eastAsia="en-US"/>
              </w:rPr>
            </w:pPr>
            <w:r>
              <w:rPr>
                <w:rFonts w:eastAsia="Times New Roman" w:cs="Arial"/>
                <w:sz w:val="16"/>
                <w:szCs w:val="16"/>
                <w:lang w:val="es-ES" w:eastAsia="en-US"/>
              </w:rPr>
              <w:t>Convenio de Coordinación para la Creación, Operación y Apoyo Financiero de "El EMSAD Colima"</w:t>
            </w:r>
          </w:p>
        </w:tc>
        <w:tc>
          <w:tcPr>
            <w:tcW w:w="1030" w:type="dxa"/>
            <w:tcBorders>
              <w:top w:val="nil"/>
              <w:left w:val="nil"/>
              <w:bottom w:val="single" w:sz="4" w:space="0" w:color="auto"/>
              <w:right w:val="single" w:sz="4" w:space="0" w:color="auto"/>
            </w:tcBorders>
            <w:noWrap/>
            <w:vAlign w:val="center"/>
            <w:hideMark/>
          </w:tcPr>
          <w:p w14:paraId="73D33841"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30,596,146</w:t>
            </w:r>
          </w:p>
        </w:tc>
        <w:tc>
          <w:tcPr>
            <w:tcW w:w="1164" w:type="dxa"/>
            <w:tcBorders>
              <w:top w:val="nil"/>
              <w:left w:val="nil"/>
              <w:bottom w:val="single" w:sz="4" w:space="0" w:color="auto"/>
              <w:right w:val="single" w:sz="4" w:space="0" w:color="auto"/>
            </w:tcBorders>
            <w:noWrap/>
            <w:vAlign w:val="center"/>
            <w:hideMark/>
          </w:tcPr>
          <w:p w14:paraId="092209E8"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25,958,716</w:t>
            </w:r>
          </w:p>
        </w:tc>
      </w:tr>
      <w:tr w:rsidR="00BF5974" w14:paraId="382B4181"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09E6365C" w14:textId="77777777" w:rsidR="00BF5974" w:rsidRDefault="00BF5974">
            <w:pPr>
              <w:spacing w:line="256" w:lineRule="auto"/>
              <w:jc w:val="center"/>
              <w:outlineLvl w:val="0"/>
              <w:rPr>
                <w:rFonts w:eastAsia="Times New Roman" w:cs="Arial"/>
                <w:sz w:val="14"/>
                <w:szCs w:val="14"/>
                <w:lang w:val="es-ES" w:eastAsia="en-US"/>
              </w:rPr>
            </w:pPr>
            <w:r>
              <w:rPr>
                <w:rFonts w:eastAsia="Times New Roman" w:cs="Arial"/>
                <w:sz w:val="14"/>
                <w:szCs w:val="14"/>
                <w:lang w:val="es-ES" w:eastAsia="en-US"/>
              </w:rPr>
              <w:t>02052025045</w:t>
            </w:r>
          </w:p>
        </w:tc>
        <w:tc>
          <w:tcPr>
            <w:tcW w:w="5529" w:type="dxa"/>
            <w:tcBorders>
              <w:top w:val="nil"/>
              <w:left w:val="nil"/>
              <w:bottom w:val="single" w:sz="4" w:space="0" w:color="auto"/>
              <w:right w:val="single" w:sz="4" w:space="0" w:color="auto"/>
            </w:tcBorders>
            <w:noWrap/>
            <w:vAlign w:val="center"/>
            <w:hideMark/>
          </w:tcPr>
          <w:p w14:paraId="5FC02097" w14:textId="77777777" w:rsidR="00BF5974" w:rsidRDefault="00BF5974">
            <w:pPr>
              <w:spacing w:line="256" w:lineRule="auto"/>
              <w:jc w:val="left"/>
              <w:outlineLvl w:val="0"/>
              <w:rPr>
                <w:rFonts w:eastAsia="Times New Roman" w:cs="Arial"/>
                <w:sz w:val="16"/>
                <w:szCs w:val="16"/>
                <w:lang w:val="es-ES" w:eastAsia="en-US"/>
              </w:rPr>
            </w:pPr>
            <w:r>
              <w:rPr>
                <w:rFonts w:eastAsia="Times New Roman" w:cs="Arial"/>
                <w:sz w:val="16"/>
                <w:szCs w:val="16"/>
                <w:lang w:val="es-ES" w:eastAsia="en-US"/>
              </w:rPr>
              <w:t xml:space="preserve">Programa Nacional de Inglés </w:t>
            </w:r>
          </w:p>
        </w:tc>
        <w:tc>
          <w:tcPr>
            <w:tcW w:w="1030" w:type="dxa"/>
            <w:tcBorders>
              <w:top w:val="nil"/>
              <w:left w:val="nil"/>
              <w:bottom w:val="single" w:sz="4" w:space="0" w:color="auto"/>
              <w:right w:val="single" w:sz="4" w:space="0" w:color="auto"/>
            </w:tcBorders>
            <w:noWrap/>
            <w:vAlign w:val="center"/>
            <w:hideMark/>
          </w:tcPr>
          <w:p w14:paraId="68AF3165"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2406E927"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17,538,053</w:t>
            </w:r>
          </w:p>
        </w:tc>
      </w:tr>
      <w:tr w:rsidR="00BF5974" w14:paraId="08A4CB7E"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6E7CBE83" w14:textId="77777777" w:rsidR="00BF5974" w:rsidRDefault="00BF5974">
            <w:pPr>
              <w:spacing w:line="256" w:lineRule="auto"/>
              <w:jc w:val="center"/>
              <w:outlineLvl w:val="0"/>
              <w:rPr>
                <w:rFonts w:eastAsia="Times New Roman" w:cs="Arial"/>
                <w:sz w:val="14"/>
                <w:szCs w:val="14"/>
                <w:lang w:val="es-ES" w:eastAsia="en-US"/>
              </w:rPr>
            </w:pPr>
            <w:r>
              <w:rPr>
                <w:rFonts w:eastAsia="Times New Roman" w:cs="Arial"/>
                <w:sz w:val="14"/>
                <w:szCs w:val="14"/>
                <w:lang w:val="es-ES" w:eastAsia="en-US"/>
              </w:rPr>
              <w:t>02052025046</w:t>
            </w:r>
          </w:p>
        </w:tc>
        <w:tc>
          <w:tcPr>
            <w:tcW w:w="5529" w:type="dxa"/>
            <w:tcBorders>
              <w:top w:val="nil"/>
              <w:left w:val="nil"/>
              <w:bottom w:val="single" w:sz="4" w:space="0" w:color="auto"/>
              <w:right w:val="single" w:sz="4" w:space="0" w:color="auto"/>
            </w:tcBorders>
            <w:noWrap/>
            <w:vAlign w:val="center"/>
            <w:hideMark/>
          </w:tcPr>
          <w:p w14:paraId="42A5A0D3" w14:textId="77777777" w:rsidR="00BF5974" w:rsidRDefault="00BF5974">
            <w:pPr>
              <w:spacing w:line="256" w:lineRule="auto"/>
              <w:jc w:val="left"/>
              <w:outlineLvl w:val="0"/>
              <w:rPr>
                <w:rFonts w:eastAsia="Times New Roman" w:cs="Arial"/>
                <w:sz w:val="16"/>
                <w:szCs w:val="16"/>
                <w:lang w:val="es-ES" w:eastAsia="en-US"/>
              </w:rPr>
            </w:pPr>
            <w:r>
              <w:rPr>
                <w:rFonts w:eastAsia="Times New Roman" w:cs="Arial"/>
                <w:sz w:val="16"/>
                <w:szCs w:val="16"/>
                <w:lang w:val="es-ES" w:eastAsia="en-US"/>
              </w:rPr>
              <w:t>Programa para el Desarrollo Profesional Docente</w:t>
            </w:r>
          </w:p>
        </w:tc>
        <w:tc>
          <w:tcPr>
            <w:tcW w:w="1030" w:type="dxa"/>
            <w:tcBorders>
              <w:top w:val="nil"/>
              <w:left w:val="nil"/>
              <w:bottom w:val="single" w:sz="4" w:space="0" w:color="auto"/>
              <w:right w:val="single" w:sz="4" w:space="0" w:color="auto"/>
            </w:tcBorders>
            <w:noWrap/>
            <w:vAlign w:val="center"/>
            <w:hideMark/>
          </w:tcPr>
          <w:p w14:paraId="67179498"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0EAC722C"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10,522,643</w:t>
            </w:r>
          </w:p>
        </w:tc>
      </w:tr>
      <w:tr w:rsidR="00BF5974" w14:paraId="44BF71BE"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351F5B85" w14:textId="77777777" w:rsidR="00BF5974" w:rsidRDefault="00BF5974">
            <w:pPr>
              <w:spacing w:line="256" w:lineRule="auto"/>
              <w:jc w:val="center"/>
              <w:outlineLvl w:val="0"/>
              <w:rPr>
                <w:rFonts w:eastAsia="Times New Roman" w:cs="Arial"/>
                <w:sz w:val="14"/>
                <w:szCs w:val="14"/>
                <w:lang w:val="es-ES" w:eastAsia="en-US"/>
              </w:rPr>
            </w:pPr>
            <w:r>
              <w:rPr>
                <w:rFonts w:eastAsia="Times New Roman" w:cs="Arial"/>
                <w:sz w:val="14"/>
                <w:szCs w:val="14"/>
                <w:lang w:val="es-ES" w:eastAsia="en-US"/>
              </w:rPr>
              <w:t>02052025064</w:t>
            </w:r>
          </w:p>
        </w:tc>
        <w:tc>
          <w:tcPr>
            <w:tcW w:w="5529" w:type="dxa"/>
            <w:tcBorders>
              <w:top w:val="nil"/>
              <w:left w:val="nil"/>
              <w:bottom w:val="single" w:sz="4" w:space="0" w:color="auto"/>
              <w:right w:val="single" w:sz="4" w:space="0" w:color="auto"/>
            </w:tcBorders>
            <w:noWrap/>
            <w:vAlign w:val="center"/>
            <w:hideMark/>
          </w:tcPr>
          <w:p w14:paraId="0F06C061" w14:textId="77777777" w:rsidR="00BF5974" w:rsidRDefault="00BF5974">
            <w:pPr>
              <w:spacing w:line="256" w:lineRule="auto"/>
              <w:jc w:val="left"/>
              <w:outlineLvl w:val="0"/>
              <w:rPr>
                <w:rFonts w:eastAsia="Times New Roman" w:cs="Arial"/>
                <w:sz w:val="16"/>
                <w:szCs w:val="16"/>
                <w:lang w:val="es-ES" w:eastAsia="en-US"/>
              </w:rPr>
            </w:pPr>
            <w:r>
              <w:rPr>
                <w:rFonts w:eastAsia="Times New Roman" w:cs="Arial"/>
                <w:sz w:val="16"/>
                <w:szCs w:val="16"/>
                <w:lang w:val="es-ES" w:eastAsia="en-US"/>
              </w:rPr>
              <w:t xml:space="preserve">Programa Expansión de la Educación Inicial </w:t>
            </w:r>
          </w:p>
        </w:tc>
        <w:tc>
          <w:tcPr>
            <w:tcW w:w="1030" w:type="dxa"/>
            <w:tcBorders>
              <w:top w:val="nil"/>
              <w:left w:val="nil"/>
              <w:bottom w:val="single" w:sz="4" w:space="0" w:color="auto"/>
              <w:right w:val="single" w:sz="4" w:space="0" w:color="auto"/>
            </w:tcBorders>
            <w:noWrap/>
            <w:vAlign w:val="center"/>
            <w:hideMark/>
          </w:tcPr>
          <w:p w14:paraId="110F1285"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0A464486"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67,585,416</w:t>
            </w:r>
          </w:p>
        </w:tc>
      </w:tr>
      <w:tr w:rsidR="00BF5974" w14:paraId="3A05C5D3"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7F7B4E2D" w14:textId="77777777" w:rsidR="00BF5974" w:rsidRDefault="00BF5974">
            <w:pPr>
              <w:spacing w:line="256" w:lineRule="auto"/>
              <w:jc w:val="center"/>
              <w:outlineLvl w:val="0"/>
              <w:rPr>
                <w:rFonts w:eastAsia="Times New Roman" w:cs="Arial"/>
                <w:sz w:val="14"/>
                <w:szCs w:val="14"/>
                <w:lang w:val="es-ES" w:eastAsia="en-US"/>
              </w:rPr>
            </w:pPr>
            <w:r>
              <w:rPr>
                <w:rFonts w:eastAsia="Times New Roman" w:cs="Arial"/>
                <w:sz w:val="14"/>
                <w:szCs w:val="14"/>
                <w:lang w:val="es-ES" w:eastAsia="en-US"/>
              </w:rPr>
              <w:t>02052025070</w:t>
            </w:r>
          </w:p>
        </w:tc>
        <w:tc>
          <w:tcPr>
            <w:tcW w:w="5529" w:type="dxa"/>
            <w:tcBorders>
              <w:top w:val="nil"/>
              <w:left w:val="nil"/>
              <w:bottom w:val="single" w:sz="4" w:space="0" w:color="auto"/>
              <w:right w:val="single" w:sz="4" w:space="0" w:color="auto"/>
            </w:tcBorders>
            <w:noWrap/>
            <w:vAlign w:val="center"/>
            <w:hideMark/>
          </w:tcPr>
          <w:p w14:paraId="3873117B" w14:textId="77777777" w:rsidR="00BF5974" w:rsidRDefault="00BF5974">
            <w:pPr>
              <w:spacing w:line="256" w:lineRule="auto"/>
              <w:jc w:val="left"/>
              <w:outlineLvl w:val="0"/>
              <w:rPr>
                <w:rFonts w:eastAsia="Times New Roman" w:cs="Arial"/>
                <w:sz w:val="16"/>
                <w:szCs w:val="16"/>
                <w:lang w:val="es-ES" w:eastAsia="en-US"/>
              </w:rPr>
            </w:pPr>
            <w:r>
              <w:rPr>
                <w:rFonts w:eastAsia="Times New Roman" w:cs="Arial"/>
                <w:sz w:val="16"/>
                <w:szCs w:val="16"/>
                <w:lang w:val="es-ES" w:eastAsia="en-US"/>
              </w:rPr>
              <w:t>Programa Fortalecimiento de los Servicios de Educación Especial</w:t>
            </w:r>
          </w:p>
        </w:tc>
        <w:tc>
          <w:tcPr>
            <w:tcW w:w="1030" w:type="dxa"/>
            <w:tcBorders>
              <w:top w:val="nil"/>
              <w:left w:val="nil"/>
              <w:bottom w:val="single" w:sz="4" w:space="0" w:color="auto"/>
              <w:right w:val="single" w:sz="4" w:space="0" w:color="auto"/>
            </w:tcBorders>
            <w:noWrap/>
            <w:vAlign w:val="center"/>
            <w:hideMark/>
          </w:tcPr>
          <w:p w14:paraId="31725C59"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0B4D92CF"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5,897,802</w:t>
            </w:r>
          </w:p>
        </w:tc>
      </w:tr>
      <w:tr w:rsidR="00BF5974" w14:paraId="6F05353C"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0A82F317" w14:textId="77777777" w:rsidR="00BF5974" w:rsidRDefault="00BF5974">
            <w:pPr>
              <w:spacing w:line="256" w:lineRule="auto"/>
              <w:jc w:val="center"/>
              <w:outlineLvl w:val="0"/>
              <w:rPr>
                <w:rFonts w:eastAsia="Times New Roman" w:cs="Arial"/>
                <w:sz w:val="14"/>
                <w:szCs w:val="14"/>
                <w:lang w:val="es-ES" w:eastAsia="en-US"/>
              </w:rPr>
            </w:pPr>
            <w:r>
              <w:rPr>
                <w:rFonts w:eastAsia="Times New Roman" w:cs="Arial"/>
                <w:sz w:val="14"/>
                <w:szCs w:val="14"/>
                <w:lang w:val="es-ES" w:eastAsia="en-US"/>
              </w:rPr>
              <w:t>02052025071</w:t>
            </w:r>
          </w:p>
        </w:tc>
        <w:tc>
          <w:tcPr>
            <w:tcW w:w="5529" w:type="dxa"/>
            <w:tcBorders>
              <w:top w:val="nil"/>
              <w:left w:val="nil"/>
              <w:bottom w:val="single" w:sz="4" w:space="0" w:color="auto"/>
              <w:right w:val="single" w:sz="4" w:space="0" w:color="auto"/>
            </w:tcBorders>
            <w:noWrap/>
            <w:vAlign w:val="center"/>
            <w:hideMark/>
          </w:tcPr>
          <w:p w14:paraId="5CB47F1D" w14:textId="77777777" w:rsidR="00BF5974" w:rsidRDefault="00BF5974">
            <w:pPr>
              <w:spacing w:line="256" w:lineRule="auto"/>
              <w:jc w:val="left"/>
              <w:outlineLvl w:val="0"/>
              <w:rPr>
                <w:rFonts w:eastAsia="Times New Roman" w:cs="Arial"/>
                <w:sz w:val="16"/>
                <w:szCs w:val="16"/>
                <w:lang w:val="es-ES" w:eastAsia="en-US"/>
              </w:rPr>
            </w:pPr>
            <w:r>
              <w:rPr>
                <w:rFonts w:eastAsia="Times New Roman" w:cs="Arial"/>
                <w:sz w:val="16"/>
                <w:szCs w:val="16"/>
                <w:lang w:val="es-ES" w:eastAsia="en-US"/>
              </w:rPr>
              <w:t>Programa Fortalecimiento a la Excelencia Educativa</w:t>
            </w:r>
          </w:p>
        </w:tc>
        <w:tc>
          <w:tcPr>
            <w:tcW w:w="1030" w:type="dxa"/>
            <w:tcBorders>
              <w:top w:val="nil"/>
              <w:left w:val="nil"/>
              <w:bottom w:val="single" w:sz="4" w:space="0" w:color="auto"/>
              <w:right w:val="single" w:sz="4" w:space="0" w:color="auto"/>
            </w:tcBorders>
            <w:noWrap/>
            <w:vAlign w:val="center"/>
            <w:hideMark/>
          </w:tcPr>
          <w:p w14:paraId="137D5980"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4ADF2E6F"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9,586,387</w:t>
            </w:r>
          </w:p>
        </w:tc>
      </w:tr>
      <w:tr w:rsidR="00BF5974" w14:paraId="543B4541"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35D821A1" w14:textId="77777777" w:rsidR="00BF5974" w:rsidRDefault="00BF5974">
            <w:pPr>
              <w:spacing w:line="256" w:lineRule="auto"/>
              <w:jc w:val="center"/>
              <w:outlineLvl w:val="0"/>
              <w:rPr>
                <w:rFonts w:eastAsia="Times New Roman" w:cs="Arial"/>
                <w:sz w:val="14"/>
                <w:szCs w:val="14"/>
                <w:lang w:val="es-ES" w:eastAsia="en-US"/>
              </w:rPr>
            </w:pPr>
            <w:r>
              <w:rPr>
                <w:rFonts w:eastAsia="Times New Roman" w:cs="Arial"/>
                <w:sz w:val="14"/>
                <w:szCs w:val="14"/>
                <w:lang w:val="es-ES" w:eastAsia="en-US"/>
              </w:rPr>
              <w:t>02052025107</w:t>
            </w:r>
          </w:p>
        </w:tc>
        <w:tc>
          <w:tcPr>
            <w:tcW w:w="5529" w:type="dxa"/>
            <w:tcBorders>
              <w:top w:val="nil"/>
              <w:left w:val="nil"/>
              <w:bottom w:val="single" w:sz="4" w:space="0" w:color="auto"/>
              <w:right w:val="single" w:sz="4" w:space="0" w:color="auto"/>
            </w:tcBorders>
            <w:vAlign w:val="center"/>
            <w:hideMark/>
          </w:tcPr>
          <w:p w14:paraId="3F8EE771" w14:textId="77777777" w:rsidR="00BF5974" w:rsidRDefault="00BF5974">
            <w:pPr>
              <w:spacing w:line="256" w:lineRule="auto"/>
              <w:jc w:val="left"/>
              <w:outlineLvl w:val="0"/>
              <w:rPr>
                <w:rFonts w:eastAsia="Times New Roman" w:cs="Arial"/>
                <w:sz w:val="16"/>
                <w:szCs w:val="16"/>
                <w:lang w:val="es-ES" w:eastAsia="en-US"/>
              </w:rPr>
            </w:pPr>
            <w:r>
              <w:rPr>
                <w:rFonts w:eastAsia="Times New Roman" w:cs="Arial"/>
                <w:sz w:val="16"/>
                <w:szCs w:val="16"/>
                <w:lang w:val="es-ES" w:eastAsia="en-US"/>
              </w:rPr>
              <w:t>Programa para la Atención de Planteles Públicos de Educación Media Superior con Estudiantes con Discapacidad</w:t>
            </w:r>
          </w:p>
        </w:tc>
        <w:tc>
          <w:tcPr>
            <w:tcW w:w="1030" w:type="dxa"/>
            <w:tcBorders>
              <w:top w:val="nil"/>
              <w:left w:val="nil"/>
              <w:bottom w:val="single" w:sz="4" w:space="0" w:color="auto"/>
              <w:right w:val="single" w:sz="4" w:space="0" w:color="auto"/>
            </w:tcBorders>
            <w:noWrap/>
            <w:vAlign w:val="center"/>
            <w:hideMark/>
          </w:tcPr>
          <w:p w14:paraId="6851BE9A"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230A1102"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179,815</w:t>
            </w:r>
          </w:p>
        </w:tc>
      </w:tr>
      <w:tr w:rsidR="00BF5974" w14:paraId="04A21F44"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00DCAC0E" w14:textId="77777777" w:rsidR="00BF5974" w:rsidRDefault="00BF5974">
            <w:pPr>
              <w:rPr>
                <w:rFonts w:eastAsia="Times New Roman" w:cs="Arial"/>
                <w:sz w:val="16"/>
                <w:szCs w:val="16"/>
                <w:lang w:val="es-ES" w:eastAsia="en-US"/>
              </w:rPr>
            </w:pPr>
          </w:p>
        </w:tc>
        <w:tc>
          <w:tcPr>
            <w:tcW w:w="5529" w:type="dxa"/>
            <w:tcBorders>
              <w:top w:val="nil"/>
              <w:left w:val="nil"/>
              <w:bottom w:val="single" w:sz="4" w:space="0" w:color="auto"/>
              <w:right w:val="single" w:sz="4" w:space="0" w:color="auto"/>
            </w:tcBorders>
            <w:noWrap/>
            <w:vAlign w:val="center"/>
            <w:hideMark/>
          </w:tcPr>
          <w:p w14:paraId="2CC1359B" w14:textId="77777777" w:rsidR="00BF5974" w:rsidRDefault="00BF5974">
            <w:pPr>
              <w:spacing w:line="256" w:lineRule="auto"/>
              <w:jc w:val="left"/>
              <w:rPr>
                <w:rFonts w:eastAsia="Times New Roman" w:cs="Arial"/>
                <w:b/>
                <w:bCs/>
                <w:sz w:val="16"/>
                <w:szCs w:val="16"/>
                <w:lang w:val="es-ES" w:eastAsia="en-US"/>
              </w:rPr>
            </w:pPr>
            <w:r>
              <w:rPr>
                <w:rFonts w:eastAsia="Times New Roman" w:cs="Arial"/>
                <w:b/>
                <w:bCs/>
                <w:sz w:val="16"/>
                <w:szCs w:val="16"/>
                <w:lang w:val="es-ES" w:eastAsia="en-US"/>
              </w:rPr>
              <w:t>Secretaría de Salud</w:t>
            </w:r>
          </w:p>
        </w:tc>
        <w:tc>
          <w:tcPr>
            <w:tcW w:w="1030" w:type="dxa"/>
            <w:tcBorders>
              <w:top w:val="nil"/>
              <w:left w:val="nil"/>
              <w:bottom w:val="single" w:sz="4" w:space="0" w:color="auto"/>
              <w:right w:val="single" w:sz="4" w:space="0" w:color="auto"/>
            </w:tcBorders>
            <w:noWrap/>
            <w:vAlign w:val="center"/>
            <w:hideMark/>
          </w:tcPr>
          <w:p w14:paraId="0B324EB5"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24023B1A"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204,118,936</w:t>
            </w:r>
          </w:p>
        </w:tc>
      </w:tr>
      <w:tr w:rsidR="00BF5974" w14:paraId="432838CA"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5A96221F" w14:textId="77777777" w:rsidR="00BF5974" w:rsidRDefault="00BF5974">
            <w:pPr>
              <w:spacing w:line="256" w:lineRule="auto"/>
              <w:jc w:val="center"/>
              <w:outlineLvl w:val="0"/>
              <w:rPr>
                <w:rFonts w:eastAsia="Times New Roman" w:cs="Arial"/>
                <w:sz w:val="14"/>
                <w:szCs w:val="14"/>
                <w:lang w:val="es-ES" w:eastAsia="en-US"/>
              </w:rPr>
            </w:pPr>
            <w:r>
              <w:rPr>
                <w:rFonts w:eastAsia="Times New Roman" w:cs="Arial"/>
                <w:sz w:val="14"/>
                <w:szCs w:val="14"/>
                <w:lang w:val="es-ES" w:eastAsia="en-US"/>
              </w:rPr>
              <w:t>02052025050</w:t>
            </w:r>
          </w:p>
        </w:tc>
        <w:tc>
          <w:tcPr>
            <w:tcW w:w="5529" w:type="dxa"/>
            <w:tcBorders>
              <w:top w:val="nil"/>
              <w:left w:val="nil"/>
              <w:bottom w:val="single" w:sz="4" w:space="0" w:color="auto"/>
              <w:right w:val="single" w:sz="4" w:space="0" w:color="auto"/>
            </w:tcBorders>
            <w:noWrap/>
            <w:vAlign w:val="center"/>
            <w:hideMark/>
          </w:tcPr>
          <w:p w14:paraId="4CA7DA1D" w14:textId="77777777" w:rsidR="00BF5974" w:rsidRDefault="00BF5974">
            <w:pPr>
              <w:spacing w:line="256" w:lineRule="auto"/>
              <w:jc w:val="left"/>
              <w:outlineLvl w:val="0"/>
              <w:rPr>
                <w:rFonts w:eastAsia="Times New Roman" w:cs="Arial"/>
                <w:sz w:val="16"/>
                <w:szCs w:val="16"/>
                <w:lang w:val="es-ES" w:eastAsia="en-US"/>
              </w:rPr>
            </w:pPr>
            <w:r>
              <w:rPr>
                <w:rFonts w:eastAsia="Times New Roman" w:cs="Arial"/>
                <w:sz w:val="16"/>
                <w:szCs w:val="16"/>
                <w:lang w:val="es-ES" w:eastAsia="en-US"/>
              </w:rPr>
              <w:t>Fortalecimiento a la Atención Médica (FAM)</w:t>
            </w:r>
          </w:p>
        </w:tc>
        <w:tc>
          <w:tcPr>
            <w:tcW w:w="1030" w:type="dxa"/>
            <w:tcBorders>
              <w:top w:val="nil"/>
              <w:left w:val="nil"/>
              <w:bottom w:val="single" w:sz="4" w:space="0" w:color="auto"/>
              <w:right w:val="single" w:sz="4" w:space="0" w:color="auto"/>
            </w:tcBorders>
            <w:noWrap/>
            <w:vAlign w:val="center"/>
            <w:hideMark/>
          </w:tcPr>
          <w:p w14:paraId="5E675A68"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3E0439BF"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4,419,640</w:t>
            </w:r>
          </w:p>
        </w:tc>
      </w:tr>
      <w:tr w:rsidR="00BF5974" w14:paraId="6DCD0649"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79178681" w14:textId="77777777" w:rsidR="00BF5974" w:rsidRDefault="00BF5974">
            <w:pPr>
              <w:spacing w:line="256" w:lineRule="auto"/>
              <w:jc w:val="center"/>
              <w:outlineLvl w:val="0"/>
              <w:rPr>
                <w:rFonts w:eastAsia="Times New Roman" w:cs="Arial"/>
                <w:sz w:val="14"/>
                <w:szCs w:val="14"/>
                <w:lang w:val="es-ES" w:eastAsia="en-US"/>
              </w:rPr>
            </w:pPr>
            <w:r>
              <w:rPr>
                <w:rFonts w:eastAsia="Times New Roman" w:cs="Arial"/>
                <w:sz w:val="14"/>
                <w:szCs w:val="14"/>
                <w:lang w:val="es-ES" w:eastAsia="en-US"/>
              </w:rPr>
              <w:t>02052025100</w:t>
            </w:r>
          </w:p>
        </w:tc>
        <w:tc>
          <w:tcPr>
            <w:tcW w:w="5529" w:type="dxa"/>
            <w:tcBorders>
              <w:top w:val="nil"/>
              <w:left w:val="nil"/>
              <w:bottom w:val="single" w:sz="4" w:space="0" w:color="auto"/>
              <w:right w:val="single" w:sz="4" w:space="0" w:color="auto"/>
            </w:tcBorders>
            <w:vAlign w:val="center"/>
            <w:hideMark/>
          </w:tcPr>
          <w:p w14:paraId="168FFD00" w14:textId="77777777" w:rsidR="00BF5974" w:rsidRDefault="00BF5974">
            <w:pPr>
              <w:spacing w:line="256" w:lineRule="auto"/>
              <w:jc w:val="left"/>
              <w:outlineLvl w:val="0"/>
              <w:rPr>
                <w:rFonts w:eastAsia="Times New Roman" w:cs="Arial"/>
                <w:sz w:val="16"/>
                <w:szCs w:val="16"/>
                <w:lang w:val="es-ES" w:eastAsia="en-US"/>
              </w:rPr>
            </w:pPr>
            <w:r>
              <w:rPr>
                <w:rFonts w:eastAsia="Times New Roman" w:cs="Arial"/>
                <w:sz w:val="16"/>
                <w:szCs w:val="16"/>
                <w:lang w:val="es-ES" w:eastAsia="en-US"/>
              </w:rPr>
              <w:t>Convenio Específico en materia de Transferencia de Insumos y Ministración de Recursos Presupuestarios Federales para realizar acciones en materia de Salud Pública en la Entidades Federativas (SANAS)</w:t>
            </w:r>
          </w:p>
        </w:tc>
        <w:tc>
          <w:tcPr>
            <w:tcW w:w="1030" w:type="dxa"/>
            <w:tcBorders>
              <w:top w:val="nil"/>
              <w:left w:val="nil"/>
              <w:bottom w:val="single" w:sz="4" w:space="0" w:color="auto"/>
              <w:right w:val="single" w:sz="4" w:space="0" w:color="auto"/>
            </w:tcBorders>
            <w:noWrap/>
            <w:vAlign w:val="center"/>
            <w:hideMark/>
          </w:tcPr>
          <w:p w14:paraId="2CE99F79"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1997C0D2"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52,454,709</w:t>
            </w:r>
          </w:p>
        </w:tc>
      </w:tr>
      <w:tr w:rsidR="00BF5974" w14:paraId="101D183B"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6D772217" w14:textId="77777777" w:rsidR="00BF5974" w:rsidRDefault="00BF5974">
            <w:pPr>
              <w:spacing w:line="256" w:lineRule="auto"/>
              <w:jc w:val="center"/>
              <w:outlineLvl w:val="0"/>
              <w:rPr>
                <w:rFonts w:eastAsia="Times New Roman" w:cs="Arial"/>
                <w:sz w:val="14"/>
                <w:szCs w:val="14"/>
                <w:lang w:val="es-ES" w:eastAsia="en-US"/>
              </w:rPr>
            </w:pPr>
            <w:r>
              <w:rPr>
                <w:rFonts w:eastAsia="Times New Roman" w:cs="Arial"/>
                <w:sz w:val="14"/>
                <w:szCs w:val="14"/>
                <w:lang w:val="es-ES" w:eastAsia="en-US"/>
              </w:rPr>
              <w:t>02052025048</w:t>
            </w:r>
          </w:p>
        </w:tc>
        <w:tc>
          <w:tcPr>
            <w:tcW w:w="5529" w:type="dxa"/>
            <w:tcBorders>
              <w:top w:val="nil"/>
              <w:left w:val="nil"/>
              <w:bottom w:val="single" w:sz="4" w:space="0" w:color="auto"/>
              <w:right w:val="single" w:sz="4" w:space="0" w:color="auto"/>
            </w:tcBorders>
            <w:vAlign w:val="center"/>
            <w:hideMark/>
          </w:tcPr>
          <w:p w14:paraId="0E63CB10" w14:textId="77777777" w:rsidR="00BF5974" w:rsidRDefault="00BF5974">
            <w:pPr>
              <w:spacing w:line="256" w:lineRule="auto"/>
              <w:jc w:val="left"/>
              <w:outlineLvl w:val="0"/>
              <w:rPr>
                <w:rFonts w:eastAsia="Times New Roman" w:cs="Arial"/>
                <w:sz w:val="16"/>
                <w:szCs w:val="16"/>
                <w:lang w:val="es-ES" w:eastAsia="en-US"/>
              </w:rPr>
            </w:pPr>
            <w:r>
              <w:rPr>
                <w:rFonts w:eastAsia="Times New Roman" w:cs="Arial"/>
                <w:sz w:val="16"/>
                <w:szCs w:val="16"/>
                <w:lang w:val="es-ES" w:eastAsia="en-US"/>
              </w:rPr>
              <w:t>Comisión Estatal Contra Riesgos Sanitarios (COFEPRIS-FASS-C)</w:t>
            </w:r>
          </w:p>
        </w:tc>
        <w:tc>
          <w:tcPr>
            <w:tcW w:w="1030" w:type="dxa"/>
            <w:tcBorders>
              <w:top w:val="nil"/>
              <w:left w:val="nil"/>
              <w:bottom w:val="single" w:sz="4" w:space="0" w:color="auto"/>
              <w:right w:val="single" w:sz="4" w:space="0" w:color="auto"/>
            </w:tcBorders>
            <w:noWrap/>
            <w:vAlign w:val="center"/>
            <w:hideMark/>
          </w:tcPr>
          <w:p w14:paraId="2571DE49"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1C695636"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13,367,501</w:t>
            </w:r>
          </w:p>
        </w:tc>
      </w:tr>
      <w:tr w:rsidR="00BF5974" w14:paraId="01EBCB54"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47375544" w14:textId="77777777" w:rsidR="00BF5974" w:rsidRDefault="00BF5974">
            <w:pPr>
              <w:spacing w:line="256" w:lineRule="auto"/>
              <w:jc w:val="center"/>
              <w:outlineLvl w:val="0"/>
              <w:rPr>
                <w:rFonts w:eastAsia="Times New Roman" w:cs="Arial"/>
                <w:sz w:val="14"/>
                <w:szCs w:val="14"/>
                <w:lang w:val="es-ES" w:eastAsia="en-US"/>
              </w:rPr>
            </w:pPr>
            <w:r>
              <w:rPr>
                <w:rFonts w:eastAsia="Times New Roman" w:cs="Arial"/>
                <w:sz w:val="14"/>
                <w:szCs w:val="14"/>
                <w:lang w:val="es-ES" w:eastAsia="en-US"/>
              </w:rPr>
              <w:t>02052025051</w:t>
            </w:r>
          </w:p>
        </w:tc>
        <w:tc>
          <w:tcPr>
            <w:tcW w:w="5529" w:type="dxa"/>
            <w:tcBorders>
              <w:top w:val="nil"/>
              <w:left w:val="nil"/>
              <w:bottom w:val="single" w:sz="4" w:space="0" w:color="auto"/>
              <w:right w:val="single" w:sz="4" w:space="0" w:color="auto"/>
            </w:tcBorders>
            <w:vAlign w:val="center"/>
            <w:hideMark/>
          </w:tcPr>
          <w:p w14:paraId="30CEF6A2" w14:textId="77777777" w:rsidR="00BF5974" w:rsidRDefault="00BF5974">
            <w:pPr>
              <w:spacing w:line="256" w:lineRule="auto"/>
              <w:jc w:val="left"/>
              <w:outlineLvl w:val="0"/>
              <w:rPr>
                <w:rFonts w:eastAsia="Times New Roman" w:cs="Arial"/>
                <w:sz w:val="16"/>
                <w:szCs w:val="16"/>
                <w:lang w:val="es-ES" w:eastAsia="en-US"/>
              </w:rPr>
            </w:pPr>
            <w:r>
              <w:rPr>
                <w:rFonts w:eastAsia="Times New Roman" w:cs="Arial"/>
                <w:sz w:val="16"/>
                <w:szCs w:val="16"/>
                <w:lang w:val="es-ES" w:eastAsia="en-US"/>
              </w:rPr>
              <w:t xml:space="preserve">E 025 Prevención y Atención Contra las Adicciones </w:t>
            </w:r>
          </w:p>
        </w:tc>
        <w:tc>
          <w:tcPr>
            <w:tcW w:w="1030" w:type="dxa"/>
            <w:tcBorders>
              <w:top w:val="nil"/>
              <w:left w:val="nil"/>
              <w:bottom w:val="single" w:sz="4" w:space="0" w:color="auto"/>
              <w:right w:val="single" w:sz="4" w:space="0" w:color="auto"/>
            </w:tcBorders>
            <w:noWrap/>
            <w:vAlign w:val="center"/>
            <w:hideMark/>
          </w:tcPr>
          <w:p w14:paraId="0ED87208"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209B53D5"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4,187,742</w:t>
            </w:r>
          </w:p>
        </w:tc>
      </w:tr>
      <w:tr w:rsidR="00BF5974" w14:paraId="4363055B"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4DE40ACA" w14:textId="77777777" w:rsidR="00BF5974" w:rsidRDefault="00BF5974">
            <w:pPr>
              <w:spacing w:line="256" w:lineRule="auto"/>
              <w:jc w:val="center"/>
              <w:outlineLvl w:val="0"/>
              <w:rPr>
                <w:rFonts w:eastAsia="Times New Roman" w:cs="Arial"/>
                <w:sz w:val="14"/>
                <w:szCs w:val="14"/>
                <w:lang w:val="es-ES" w:eastAsia="en-US"/>
              </w:rPr>
            </w:pPr>
            <w:r>
              <w:rPr>
                <w:rFonts w:eastAsia="Times New Roman" w:cs="Arial"/>
                <w:sz w:val="14"/>
                <w:szCs w:val="14"/>
                <w:lang w:val="es-ES" w:eastAsia="en-US"/>
              </w:rPr>
              <w:t>02052025017</w:t>
            </w:r>
          </w:p>
        </w:tc>
        <w:tc>
          <w:tcPr>
            <w:tcW w:w="5529" w:type="dxa"/>
            <w:tcBorders>
              <w:top w:val="nil"/>
              <w:left w:val="nil"/>
              <w:bottom w:val="single" w:sz="4" w:space="0" w:color="auto"/>
              <w:right w:val="single" w:sz="4" w:space="0" w:color="auto"/>
            </w:tcBorders>
            <w:vAlign w:val="center"/>
            <w:hideMark/>
          </w:tcPr>
          <w:p w14:paraId="407EC6D8" w14:textId="77777777" w:rsidR="00BF5974" w:rsidRDefault="00BF5974">
            <w:pPr>
              <w:spacing w:line="256" w:lineRule="auto"/>
              <w:jc w:val="left"/>
              <w:outlineLvl w:val="0"/>
              <w:rPr>
                <w:rFonts w:eastAsia="Times New Roman" w:cs="Arial"/>
                <w:sz w:val="16"/>
                <w:szCs w:val="16"/>
                <w:lang w:val="es-ES" w:eastAsia="en-US"/>
              </w:rPr>
            </w:pPr>
            <w:r>
              <w:rPr>
                <w:rFonts w:eastAsia="Times New Roman" w:cs="Arial"/>
                <w:sz w:val="16"/>
                <w:szCs w:val="16"/>
                <w:lang w:val="es-ES" w:eastAsia="en-US"/>
              </w:rPr>
              <w:t>INSABI (Prestación Gratuita de Servicios Públicos en Salud, Medicamentos y demás Insumos Asociados)</w:t>
            </w:r>
          </w:p>
        </w:tc>
        <w:tc>
          <w:tcPr>
            <w:tcW w:w="1030" w:type="dxa"/>
            <w:tcBorders>
              <w:top w:val="nil"/>
              <w:left w:val="nil"/>
              <w:bottom w:val="single" w:sz="4" w:space="0" w:color="auto"/>
              <w:right w:val="single" w:sz="4" w:space="0" w:color="auto"/>
            </w:tcBorders>
            <w:noWrap/>
            <w:vAlign w:val="center"/>
            <w:hideMark/>
          </w:tcPr>
          <w:p w14:paraId="5A9F26AE"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269BD5BA" w14:textId="77777777" w:rsidR="00BF5974" w:rsidRDefault="00BF5974">
            <w:pPr>
              <w:spacing w:line="256" w:lineRule="auto"/>
              <w:jc w:val="right"/>
              <w:outlineLvl w:val="0"/>
              <w:rPr>
                <w:rFonts w:eastAsia="Times New Roman" w:cs="Arial"/>
                <w:sz w:val="16"/>
                <w:szCs w:val="16"/>
                <w:lang w:val="es-ES" w:eastAsia="en-US"/>
              </w:rPr>
            </w:pPr>
            <w:r>
              <w:rPr>
                <w:rFonts w:eastAsia="Times New Roman" w:cs="Arial"/>
                <w:sz w:val="16"/>
                <w:szCs w:val="16"/>
                <w:lang w:val="es-ES" w:eastAsia="en-US"/>
              </w:rPr>
              <w:t>129,689,344</w:t>
            </w:r>
          </w:p>
        </w:tc>
      </w:tr>
      <w:tr w:rsidR="00BF5974" w14:paraId="2B9F1381"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tcPr>
          <w:p w14:paraId="48D14428" w14:textId="77777777" w:rsidR="00BF5974" w:rsidRDefault="00BF5974">
            <w:pPr>
              <w:spacing w:line="256" w:lineRule="auto"/>
              <w:jc w:val="center"/>
              <w:rPr>
                <w:rFonts w:eastAsia="Times New Roman" w:cs="Arial"/>
                <w:sz w:val="14"/>
                <w:szCs w:val="14"/>
                <w:lang w:val="es-ES" w:eastAsia="en-US"/>
              </w:rPr>
            </w:pPr>
          </w:p>
        </w:tc>
        <w:tc>
          <w:tcPr>
            <w:tcW w:w="5529" w:type="dxa"/>
            <w:tcBorders>
              <w:top w:val="nil"/>
              <w:left w:val="nil"/>
              <w:bottom w:val="single" w:sz="4" w:space="0" w:color="auto"/>
              <w:right w:val="single" w:sz="4" w:space="0" w:color="auto"/>
            </w:tcBorders>
            <w:noWrap/>
            <w:vAlign w:val="center"/>
            <w:hideMark/>
          </w:tcPr>
          <w:p w14:paraId="1F30930B" w14:textId="77777777" w:rsidR="00BF5974" w:rsidRDefault="00BF5974">
            <w:pPr>
              <w:spacing w:line="256" w:lineRule="auto"/>
              <w:jc w:val="left"/>
              <w:rPr>
                <w:rFonts w:eastAsia="Times New Roman" w:cs="Arial"/>
                <w:b/>
                <w:bCs/>
                <w:sz w:val="16"/>
                <w:szCs w:val="16"/>
                <w:lang w:val="es-ES" w:eastAsia="en-US"/>
              </w:rPr>
            </w:pPr>
            <w:r>
              <w:rPr>
                <w:rFonts w:eastAsia="Times New Roman" w:cs="Arial"/>
                <w:b/>
                <w:bCs/>
                <w:sz w:val="16"/>
                <w:szCs w:val="16"/>
                <w:lang w:val="es-ES" w:eastAsia="en-US"/>
              </w:rPr>
              <w:t>Secretaría de Hacienda y Crédito Público</w:t>
            </w:r>
          </w:p>
        </w:tc>
        <w:tc>
          <w:tcPr>
            <w:tcW w:w="1030" w:type="dxa"/>
            <w:tcBorders>
              <w:top w:val="nil"/>
              <w:left w:val="nil"/>
              <w:bottom w:val="single" w:sz="4" w:space="0" w:color="auto"/>
              <w:right w:val="single" w:sz="4" w:space="0" w:color="auto"/>
            </w:tcBorders>
            <w:noWrap/>
            <w:vAlign w:val="center"/>
            <w:hideMark/>
          </w:tcPr>
          <w:p w14:paraId="2585BEAD"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16F0B6BC"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 xml:space="preserve">1,297,500 </w:t>
            </w:r>
          </w:p>
        </w:tc>
      </w:tr>
      <w:tr w:rsidR="00BF5974" w14:paraId="4856182D"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10BC011A"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02052025061</w:t>
            </w:r>
          </w:p>
        </w:tc>
        <w:tc>
          <w:tcPr>
            <w:tcW w:w="5529" w:type="dxa"/>
            <w:tcBorders>
              <w:top w:val="nil"/>
              <w:left w:val="nil"/>
              <w:bottom w:val="single" w:sz="4" w:space="0" w:color="auto"/>
              <w:right w:val="single" w:sz="4" w:space="0" w:color="auto"/>
            </w:tcBorders>
            <w:noWrap/>
            <w:vAlign w:val="center"/>
            <w:hideMark/>
          </w:tcPr>
          <w:p w14:paraId="1782EFA1"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Convenio Provisión Armonización Contable</w:t>
            </w:r>
          </w:p>
        </w:tc>
        <w:tc>
          <w:tcPr>
            <w:tcW w:w="1030" w:type="dxa"/>
            <w:tcBorders>
              <w:top w:val="nil"/>
              <w:left w:val="nil"/>
              <w:bottom w:val="single" w:sz="4" w:space="0" w:color="auto"/>
              <w:right w:val="single" w:sz="4" w:space="0" w:color="auto"/>
            </w:tcBorders>
            <w:noWrap/>
            <w:vAlign w:val="center"/>
            <w:hideMark/>
          </w:tcPr>
          <w:p w14:paraId="152FBB46"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6330205A"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 xml:space="preserve">1,297,500 </w:t>
            </w:r>
          </w:p>
        </w:tc>
      </w:tr>
      <w:tr w:rsidR="00BF5974" w14:paraId="4B7726D4"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29EA5D60" w14:textId="77777777" w:rsidR="00BF5974" w:rsidRDefault="00BF5974">
            <w:pPr>
              <w:rPr>
                <w:rFonts w:eastAsia="Times New Roman" w:cs="Arial"/>
                <w:sz w:val="16"/>
                <w:szCs w:val="16"/>
                <w:lang w:val="es-ES" w:eastAsia="en-US"/>
              </w:rPr>
            </w:pPr>
          </w:p>
        </w:tc>
        <w:tc>
          <w:tcPr>
            <w:tcW w:w="5529" w:type="dxa"/>
            <w:tcBorders>
              <w:top w:val="nil"/>
              <w:left w:val="nil"/>
              <w:bottom w:val="single" w:sz="4" w:space="0" w:color="auto"/>
              <w:right w:val="single" w:sz="4" w:space="0" w:color="auto"/>
            </w:tcBorders>
            <w:noWrap/>
            <w:vAlign w:val="center"/>
            <w:hideMark/>
          </w:tcPr>
          <w:p w14:paraId="1F0CFC5A" w14:textId="77777777" w:rsidR="00BF5974" w:rsidRDefault="00BF5974">
            <w:pPr>
              <w:spacing w:line="256" w:lineRule="auto"/>
              <w:jc w:val="left"/>
              <w:rPr>
                <w:rFonts w:eastAsia="Times New Roman" w:cs="Arial"/>
                <w:b/>
                <w:bCs/>
                <w:sz w:val="16"/>
                <w:szCs w:val="16"/>
                <w:lang w:val="es-ES" w:eastAsia="en-US"/>
              </w:rPr>
            </w:pPr>
            <w:r>
              <w:rPr>
                <w:rFonts w:eastAsia="Times New Roman" w:cs="Arial"/>
                <w:b/>
                <w:bCs/>
                <w:sz w:val="16"/>
                <w:szCs w:val="16"/>
                <w:lang w:val="es-ES" w:eastAsia="en-US"/>
              </w:rPr>
              <w:t>Subsecretaría del Trabajo y Previsión Social</w:t>
            </w:r>
          </w:p>
        </w:tc>
        <w:tc>
          <w:tcPr>
            <w:tcW w:w="1030" w:type="dxa"/>
            <w:tcBorders>
              <w:top w:val="nil"/>
              <w:left w:val="nil"/>
              <w:bottom w:val="single" w:sz="4" w:space="0" w:color="auto"/>
              <w:right w:val="single" w:sz="4" w:space="0" w:color="auto"/>
            </w:tcBorders>
            <w:noWrap/>
            <w:vAlign w:val="center"/>
            <w:hideMark/>
          </w:tcPr>
          <w:p w14:paraId="5039BF51"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3,000,000</w:t>
            </w:r>
          </w:p>
        </w:tc>
        <w:tc>
          <w:tcPr>
            <w:tcW w:w="1164" w:type="dxa"/>
            <w:tcBorders>
              <w:top w:val="nil"/>
              <w:left w:val="nil"/>
              <w:bottom w:val="single" w:sz="4" w:space="0" w:color="auto"/>
              <w:right w:val="single" w:sz="4" w:space="0" w:color="auto"/>
            </w:tcBorders>
            <w:noWrap/>
            <w:vAlign w:val="center"/>
            <w:hideMark/>
          </w:tcPr>
          <w:p w14:paraId="526D7039"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3,980,000</w:t>
            </w:r>
          </w:p>
        </w:tc>
      </w:tr>
      <w:tr w:rsidR="00BF5974" w14:paraId="32508FDD"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351970FA"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02052025028</w:t>
            </w:r>
          </w:p>
        </w:tc>
        <w:tc>
          <w:tcPr>
            <w:tcW w:w="5529" w:type="dxa"/>
            <w:tcBorders>
              <w:top w:val="nil"/>
              <w:left w:val="nil"/>
              <w:bottom w:val="single" w:sz="4" w:space="0" w:color="auto"/>
              <w:right w:val="single" w:sz="4" w:space="0" w:color="auto"/>
            </w:tcBorders>
            <w:noWrap/>
            <w:vAlign w:val="center"/>
            <w:hideMark/>
          </w:tcPr>
          <w:p w14:paraId="2C0FF81E"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 xml:space="preserve">Convenio de coordinación del programa de apoyo al empleo </w:t>
            </w:r>
          </w:p>
        </w:tc>
        <w:tc>
          <w:tcPr>
            <w:tcW w:w="1030" w:type="dxa"/>
            <w:tcBorders>
              <w:top w:val="nil"/>
              <w:left w:val="nil"/>
              <w:bottom w:val="single" w:sz="4" w:space="0" w:color="auto"/>
              <w:right w:val="single" w:sz="4" w:space="0" w:color="auto"/>
            </w:tcBorders>
            <w:noWrap/>
            <w:vAlign w:val="center"/>
            <w:hideMark/>
          </w:tcPr>
          <w:p w14:paraId="7BAE73CE"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3,000,000</w:t>
            </w:r>
          </w:p>
        </w:tc>
        <w:tc>
          <w:tcPr>
            <w:tcW w:w="1164" w:type="dxa"/>
            <w:tcBorders>
              <w:top w:val="nil"/>
              <w:left w:val="nil"/>
              <w:bottom w:val="single" w:sz="4" w:space="0" w:color="auto"/>
              <w:right w:val="single" w:sz="4" w:space="0" w:color="auto"/>
            </w:tcBorders>
            <w:noWrap/>
            <w:vAlign w:val="center"/>
            <w:hideMark/>
          </w:tcPr>
          <w:p w14:paraId="6E9DAF07"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3,980,000</w:t>
            </w:r>
          </w:p>
        </w:tc>
      </w:tr>
      <w:tr w:rsidR="00BF5974" w14:paraId="4C166BE7"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57ABCF8D" w14:textId="77777777" w:rsidR="00BF5974" w:rsidRDefault="00BF5974">
            <w:pPr>
              <w:rPr>
                <w:rFonts w:eastAsia="Times New Roman" w:cs="Arial"/>
                <w:sz w:val="16"/>
                <w:szCs w:val="16"/>
                <w:lang w:val="es-ES" w:eastAsia="en-US"/>
              </w:rPr>
            </w:pPr>
          </w:p>
        </w:tc>
        <w:tc>
          <w:tcPr>
            <w:tcW w:w="5529" w:type="dxa"/>
            <w:tcBorders>
              <w:top w:val="nil"/>
              <w:left w:val="nil"/>
              <w:bottom w:val="single" w:sz="4" w:space="0" w:color="auto"/>
              <w:right w:val="single" w:sz="4" w:space="0" w:color="auto"/>
            </w:tcBorders>
            <w:noWrap/>
            <w:vAlign w:val="center"/>
            <w:hideMark/>
          </w:tcPr>
          <w:p w14:paraId="75462BE3" w14:textId="77777777" w:rsidR="00BF5974" w:rsidRDefault="00BF5974">
            <w:pPr>
              <w:spacing w:line="256" w:lineRule="auto"/>
              <w:jc w:val="left"/>
              <w:rPr>
                <w:rFonts w:eastAsia="Times New Roman" w:cs="Arial"/>
                <w:b/>
                <w:bCs/>
                <w:sz w:val="16"/>
                <w:szCs w:val="16"/>
                <w:lang w:val="es-ES" w:eastAsia="en-US"/>
              </w:rPr>
            </w:pPr>
            <w:r>
              <w:rPr>
                <w:rFonts w:eastAsia="Times New Roman" w:cs="Arial"/>
                <w:b/>
                <w:bCs/>
                <w:sz w:val="16"/>
                <w:szCs w:val="16"/>
                <w:lang w:val="es-ES" w:eastAsia="en-US"/>
              </w:rPr>
              <w:t>Secretaría de Gobernación</w:t>
            </w:r>
          </w:p>
        </w:tc>
        <w:tc>
          <w:tcPr>
            <w:tcW w:w="1030" w:type="dxa"/>
            <w:tcBorders>
              <w:top w:val="nil"/>
              <w:left w:val="nil"/>
              <w:bottom w:val="single" w:sz="4" w:space="0" w:color="auto"/>
              <w:right w:val="single" w:sz="4" w:space="0" w:color="auto"/>
            </w:tcBorders>
            <w:noWrap/>
            <w:vAlign w:val="center"/>
            <w:hideMark/>
          </w:tcPr>
          <w:p w14:paraId="200E913D"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2,600,000</w:t>
            </w:r>
          </w:p>
        </w:tc>
        <w:tc>
          <w:tcPr>
            <w:tcW w:w="1164" w:type="dxa"/>
            <w:tcBorders>
              <w:top w:val="nil"/>
              <w:left w:val="nil"/>
              <w:bottom w:val="single" w:sz="4" w:space="0" w:color="auto"/>
              <w:right w:val="single" w:sz="4" w:space="0" w:color="auto"/>
            </w:tcBorders>
            <w:noWrap/>
            <w:vAlign w:val="center"/>
            <w:hideMark/>
          </w:tcPr>
          <w:p w14:paraId="69E688AE"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21,400,000</w:t>
            </w:r>
          </w:p>
        </w:tc>
      </w:tr>
      <w:tr w:rsidR="00BF5974" w14:paraId="1229F482" w14:textId="77777777" w:rsidTr="00BF5974">
        <w:trPr>
          <w:trHeight w:val="20"/>
        </w:trPr>
        <w:tc>
          <w:tcPr>
            <w:tcW w:w="1115" w:type="dxa"/>
            <w:tcBorders>
              <w:top w:val="nil"/>
              <w:left w:val="single" w:sz="4" w:space="0" w:color="auto"/>
              <w:bottom w:val="single" w:sz="4" w:space="0" w:color="auto"/>
              <w:right w:val="single" w:sz="4" w:space="0" w:color="auto"/>
            </w:tcBorders>
            <w:vAlign w:val="center"/>
            <w:hideMark/>
          </w:tcPr>
          <w:p w14:paraId="13365DF4"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02052025039</w:t>
            </w:r>
          </w:p>
        </w:tc>
        <w:tc>
          <w:tcPr>
            <w:tcW w:w="5529" w:type="dxa"/>
            <w:tcBorders>
              <w:top w:val="nil"/>
              <w:left w:val="nil"/>
              <w:bottom w:val="single" w:sz="4" w:space="0" w:color="auto"/>
              <w:right w:val="single" w:sz="4" w:space="0" w:color="auto"/>
            </w:tcBorders>
            <w:vAlign w:val="center"/>
            <w:hideMark/>
          </w:tcPr>
          <w:p w14:paraId="27BF15BC"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Programa de Registro e Identificación de Población</w:t>
            </w:r>
          </w:p>
        </w:tc>
        <w:tc>
          <w:tcPr>
            <w:tcW w:w="1030" w:type="dxa"/>
            <w:tcBorders>
              <w:top w:val="nil"/>
              <w:left w:val="nil"/>
              <w:bottom w:val="single" w:sz="4" w:space="0" w:color="auto"/>
              <w:right w:val="single" w:sz="4" w:space="0" w:color="auto"/>
            </w:tcBorders>
            <w:noWrap/>
            <w:vAlign w:val="center"/>
            <w:hideMark/>
          </w:tcPr>
          <w:p w14:paraId="68B19AB2"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600,000</w:t>
            </w:r>
          </w:p>
        </w:tc>
        <w:tc>
          <w:tcPr>
            <w:tcW w:w="1164" w:type="dxa"/>
            <w:tcBorders>
              <w:top w:val="nil"/>
              <w:left w:val="nil"/>
              <w:bottom w:val="single" w:sz="4" w:space="0" w:color="auto"/>
              <w:right w:val="single" w:sz="4" w:space="0" w:color="auto"/>
            </w:tcBorders>
            <w:noWrap/>
            <w:vAlign w:val="center"/>
            <w:hideMark/>
          </w:tcPr>
          <w:p w14:paraId="008890DC"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1,400,000</w:t>
            </w:r>
          </w:p>
        </w:tc>
      </w:tr>
      <w:tr w:rsidR="00BF5974" w14:paraId="23184501" w14:textId="77777777" w:rsidTr="00BF5974">
        <w:trPr>
          <w:trHeight w:val="20"/>
        </w:trPr>
        <w:tc>
          <w:tcPr>
            <w:tcW w:w="1115" w:type="dxa"/>
            <w:tcBorders>
              <w:top w:val="nil"/>
              <w:left w:val="single" w:sz="4" w:space="0" w:color="auto"/>
              <w:bottom w:val="single" w:sz="4" w:space="0" w:color="auto"/>
              <w:right w:val="single" w:sz="4" w:space="0" w:color="auto"/>
            </w:tcBorders>
            <w:vAlign w:val="center"/>
            <w:hideMark/>
          </w:tcPr>
          <w:p w14:paraId="6E95D5A0"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02052025041</w:t>
            </w:r>
          </w:p>
        </w:tc>
        <w:tc>
          <w:tcPr>
            <w:tcW w:w="5529" w:type="dxa"/>
            <w:tcBorders>
              <w:top w:val="nil"/>
              <w:left w:val="nil"/>
              <w:bottom w:val="single" w:sz="4" w:space="0" w:color="auto"/>
              <w:right w:val="single" w:sz="4" w:space="0" w:color="auto"/>
            </w:tcBorders>
            <w:vAlign w:val="center"/>
            <w:hideMark/>
          </w:tcPr>
          <w:p w14:paraId="05313B86"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 xml:space="preserve">Programa de subsidio para acciones de búsqueda y localización </w:t>
            </w:r>
          </w:p>
        </w:tc>
        <w:tc>
          <w:tcPr>
            <w:tcW w:w="1030" w:type="dxa"/>
            <w:tcBorders>
              <w:top w:val="nil"/>
              <w:left w:val="nil"/>
              <w:bottom w:val="single" w:sz="4" w:space="0" w:color="auto"/>
              <w:right w:val="single" w:sz="4" w:space="0" w:color="auto"/>
            </w:tcBorders>
            <w:noWrap/>
            <w:vAlign w:val="center"/>
            <w:hideMark/>
          </w:tcPr>
          <w:p w14:paraId="4CC53E33"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2,000,000</w:t>
            </w:r>
          </w:p>
        </w:tc>
        <w:tc>
          <w:tcPr>
            <w:tcW w:w="1164" w:type="dxa"/>
            <w:tcBorders>
              <w:top w:val="nil"/>
              <w:left w:val="nil"/>
              <w:bottom w:val="single" w:sz="4" w:space="0" w:color="auto"/>
              <w:right w:val="single" w:sz="4" w:space="0" w:color="auto"/>
            </w:tcBorders>
            <w:noWrap/>
            <w:vAlign w:val="center"/>
            <w:hideMark/>
          </w:tcPr>
          <w:p w14:paraId="45EFFF0C"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20,000,000</w:t>
            </w:r>
          </w:p>
        </w:tc>
      </w:tr>
      <w:tr w:rsidR="00BF5974" w14:paraId="7C2AF459"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751C0270" w14:textId="77777777" w:rsidR="00BF5974" w:rsidRDefault="00BF5974">
            <w:pPr>
              <w:rPr>
                <w:rFonts w:eastAsia="Times New Roman" w:cs="Arial"/>
                <w:sz w:val="16"/>
                <w:szCs w:val="16"/>
                <w:lang w:val="es-ES" w:eastAsia="en-US"/>
              </w:rPr>
            </w:pPr>
          </w:p>
        </w:tc>
        <w:tc>
          <w:tcPr>
            <w:tcW w:w="5529" w:type="dxa"/>
            <w:tcBorders>
              <w:top w:val="nil"/>
              <w:left w:val="nil"/>
              <w:bottom w:val="single" w:sz="4" w:space="0" w:color="auto"/>
              <w:right w:val="single" w:sz="4" w:space="0" w:color="auto"/>
            </w:tcBorders>
            <w:noWrap/>
            <w:vAlign w:val="center"/>
            <w:hideMark/>
          </w:tcPr>
          <w:p w14:paraId="4E96830A" w14:textId="77777777" w:rsidR="00BF5974" w:rsidRDefault="00BF5974">
            <w:pPr>
              <w:spacing w:line="256" w:lineRule="auto"/>
              <w:jc w:val="left"/>
              <w:rPr>
                <w:rFonts w:eastAsia="Times New Roman" w:cs="Arial"/>
                <w:b/>
                <w:bCs/>
                <w:sz w:val="16"/>
                <w:szCs w:val="16"/>
                <w:lang w:val="es-ES" w:eastAsia="en-US"/>
              </w:rPr>
            </w:pPr>
            <w:r>
              <w:rPr>
                <w:rFonts w:eastAsia="Times New Roman" w:cs="Arial"/>
                <w:b/>
                <w:bCs/>
                <w:sz w:val="16"/>
                <w:szCs w:val="16"/>
                <w:lang w:val="es-ES" w:eastAsia="en-US"/>
              </w:rPr>
              <w:t>Secretaría de Agricultura y Desarrollo Rural</w:t>
            </w:r>
          </w:p>
        </w:tc>
        <w:tc>
          <w:tcPr>
            <w:tcW w:w="1030" w:type="dxa"/>
            <w:tcBorders>
              <w:top w:val="nil"/>
              <w:left w:val="nil"/>
              <w:bottom w:val="single" w:sz="4" w:space="0" w:color="auto"/>
              <w:right w:val="single" w:sz="4" w:space="0" w:color="auto"/>
            </w:tcBorders>
            <w:noWrap/>
            <w:vAlign w:val="center"/>
            <w:hideMark/>
          </w:tcPr>
          <w:p w14:paraId="7F2DF650"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6,000,000</w:t>
            </w:r>
          </w:p>
        </w:tc>
        <w:tc>
          <w:tcPr>
            <w:tcW w:w="1164" w:type="dxa"/>
            <w:tcBorders>
              <w:top w:val="nil"/>
              <w:left w:val="nil"/>
              <w:bottom w:val="single" w:sz="4" w:space="0" w:color="auto"/>
              <w:right w:val="single" w:sz="4" w:space="0" w:color="auto"/>
            </w:tcBorders>
            <w:noWrap/>
            <w:vAlign w:val="center"/>
            <w:hideMark/>
          </w:tcPr>
          <w:p w14:paraId="214F598B"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28,910,000</w:t>
            </w:r>
          </w:p>
        </w:tc>
      </w:tr>
      <w:tr w:rsidR="00BF5974" w14:paraId="78C98EBC"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16ECE5C8"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02052025036</w:t>
            </w:r>
          </w:p>
        </w:tc>
        <w:tc>
          <w:tcPr>
            <w:tcW w:w="5529" w:type="dxa"/>
            <w:tcBorders>
              <w:top w:val="nil"/>
              <w:left w:val="nil"/>
              <w:bottom w:val="single" w:sz="4" w:space="0" w:color="auto"/>
              <w:right w:val="single" w:sz="4" w:space="0" w:color="auto"/>
            </w:tcBorders>
            <w:noWrap/>
            <w:vAlign w:val="center"/>
            <w:hideMark/>
          </w:tcPr>
          <w:p w14:paraId="1937EF6B"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 xml:space="preserve">Programa de Sanidad e Inocuidad Agroalimentaria </w:t>
            </w:r>
          </w:p>
        </w:tc>
        <w:tc>
          <w:tcPr>
            <w:tcW w:w="1030" w:type="dxa"/>
            <w:tcBorders>
              <w:top w:val="nil"/>
              <w:left w:val="nil"/>
              <w:bottom w:val="single" w:sz="4" w:space="0" w:color="auto"/>
              <w:right w:val="single" w:sz="4" w:space="0" w:color="auto"/>
            </w:tcBorders>
            <w:noWrap/>
            <w:vAlign w:val="center"/>
            <w:hideMark/>
          </w:tcPr>
          <w:p w14:paraId="11E89379"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6,000,000</w:t>
            </w:r>
          </w:p>
        </w:tc>
        <w:tc>
          <w:tcPr>
            <w:tcW w:w="1164" w:type="dxa"/>
            <w:tcBorders>
              <w:top w:val="nil"/>
              <w:left w:val="nil"/>
              <w:bottom w:val="single" w:sz="4" w:space="0" w:color="auto"/>
              <w:right w:val="single" w:sz="4" w:space="0" w:color="auto"/>
            </w:tcBorders>
            <w:noWrap/>
            <w:vAlign w:val="center"/>
            <w:hideMark/>
          </w:tcPr>
          <w:p w14:paraId="226E33E5"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28,910,000</w:t>
            </w:r>
          </w:p>
        </w:tc>
      </w:tr>
      <w:tr w:rsidR="00BF5974" w14:paraId="276ADDAF"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6775CB7D" w14:textId="77777777" w:rsidR="00BF5974" w:rsidRDefault="00BF5974">
            <w:pPr>
              <w:rPr>
                <w:rFonts w:eastAsia="Times New Roman" w:cs="Arial"/>
                <w:sz w:val="16"/>
                <w:szCs w:val="16"/>
                <w:lang w:val="es-ES" w:eastAsia="en-US"/>
              </w:rPr>
            </w:pPr>
          </w:p>
        </w:tc>
        <w:tc>
          <w:tcPr>
            <w:tcW w:w="5529" w:type="dxa"/>
            <w:tcBorders>
              <w:top w:val="nil"/>
              <w:left w:val="nil"/>
              <w:bottom w:val="single" w:sz="4" w:space="0" w:color="auto"/>
              <w:right w:val="single" w:sz="4" w:space="0" w:color="auto"/>
            </w:tcBorders>
            <w:noWrap/>
            <w:vAlign w:val="center"/>
            <w:hideMark/>
          </w:tcPr>
          <w:p w14:paraId="2D0C6ABB" w14:textId="77777777" w:rsidR="00BF5974" w:rsidRDefault="00BF5974">
            <w:pPr>
              <w:spacing w:line="256" w:lineRule="auto"/>
              <w:jc w:val="left"/>
              <w:rPr>
                <w:rFonts w:eastAsia="Times New Roman" w:cs="Arial"/>
                <w:b/>
                <w:bCs/>
                <w:sz w:val="16"/>
                <w:szCs w:val="16"/>
                <w:lang w:val="es-ES" w:eastAsia="en-US"/>
              </w:rPr>
            </w:pPr>
            <w:r>
              <w:rPr>
                <w:rFonts w:eastAsia="Times New Roman" w:cs="Arial"/>
                <w:b/>
                <w:bCs/>
                <w:sz w:val="16"/>
                <w:szCs w:val="16"/>
                <w:lang w:val="es-ES" w:eastAsia="en-US"/>
              </w:rPr>
              <w:t>Comisión Nacional de Cultura Física y Deporte</w:t>
            </w:r>
          </w:p>
        </w:tc>
        <w:tc>
          <w:tcPr>
            <w:tcW w:w="1030" w:type="dxa"/>
            <w:tcBorders>
              <w:top w:val="nil"/>
              <w:left w:val="nil"/>
              <w:bottom w:val="single" w:sz="4" w:space="0" w:color="auto"/>
              <w:right w:val="single" w:sz="4" w:space="0" w:color="auto"/>
            </w:tcBorders>
            <w:noWrap/>
            <w:vAlign w:val="center"/>
            <w:hideMark/>
          </w:tcPr>
          <w:p w14:paraId="50674620"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24FA0A53"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110,000</w:t>
            </w:r>
          </w:p>
        </w:tc>
      </w:tr>
      <w:tr w:rsidR="00BF5974" w14:paraId="4101EBE5"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49C739A5"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02052025055</w:t>
            </w:r>
          </w:p>
        </w:tc>
        <w:tc>
          <w:tcPr>
            <w:tcW w:w="5529" w:type="dxa"/>
            <w:tcBorders>
              <w:top w:val="nil"/>
              <w:left w:val="nil"/>
              <w:bottom w:val="single" w:sz="4" w:space="0" w:color="auto"/>
              <w:right w:val="single" w:sz="4" w:space="0" w:color="auto"/>
            </w:tcBorders>
            <w:noWrap/>
            <w:vAlign w:val="center"/>
            <w:hideMark/>
          </w:tcPr>
          <w:p w14:paraId="7AFB5C2F"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Premio Estatal del Deporte</w:t>
            </w:r>
          </w:p>
        </w:tc>
        <w:tc>
          <w:tcPr>
            <w:tcW w:w="1030" w:type="dxa"/>
            <w:tcBorders>
              <w:top w:val="nil"/>
              <w:left w:val="nil"/>
              <w:bottom w:val="single" w:sz="4" w:space="0" w:color="auto"/>
              <w:right w:val="single" w:sz="4" w:space="0" w:color="auto"/>
            </w:tcBorders>
            <w:noWrap/>
            <w:vAlign w:val="center"/>
            <w:hideMark/>
          </w:tcPr>
          <w:p w14:paraId="180C70D6"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30517BAA"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110,000</w:t>
            </w:r>
          </w:p>
        </w:tc>
      </w:tr>
      <w:tr w:rsidR="00BF5974" w14:paraId="7588004B"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01C38072" w14:textId="77777777" w:rsidR="00BF5974" w:rsidRDefault="00BF5974">
            <w:pPr>
              <w:rPr>
                <w:rFonts w:eastAsia="Times New Roman" w:cs="Arial"/>
                <w:sz w:val="16"/>
                <w:szCs w:val="16"/>
                <w:lang w:val="es-ES" w:eastAsia="en-US"/>
              </w:rPr>
            </w:pPr>
          </w:p>
        </w:tc>
        <w:tc>
          <w:tcPr>
            <w:tcW w:w="5529" w:type="dxa"/>
            <w:tcBorders>
              <w:top w:val="nil"/>
              <w:left w:val="nil"/>
              <w:bottom w:val="single" w:sz="4" w:space="0" w:color="auto"/>
              <w:right w:val="single" w:sz="4" w:space="0" w:color="auto"/>
            </w:tcBorders>
            <w:noWrap/>
            <w:vAlign w:val="center"/>
            <w:hideMark/>
          </w:tcPr>
          <w:p w14:paraId="44233722" w14:textId="77777777" w:rsidR="00BF5974" w:rsidRDefault="00BF5974">
            <w:pPr>
              <w:spacing w:line="256" w:lineRule="auto"/>
              <w:jc w:val="left"/>
              <w:rPr>
                <w:rFonts w:eastAsia="Times New Roman" w:cs="Arial"/>
                <w:b/>
                <w:bCs/>
                <w:sz w:val="16"/>
                <w:szCs w:val="16"/>
                <w:lang w:val="es-ES" w:eastAsia="en-US"/>
              </w:rPr>
            </w:pPr>
            <w:r>
              <w:rPr>
                <w:rFonts w:eastAsia="Times New Roman" w:cs="Arial"/>
                <w:b/>
                <w:bCs/>
                <w:sz w:val="16"/>
                <w:szCs w:val="16"/>
                <w:lang w:val="es-ES" w:eastAsia="en-US"/>
              </w:rPr>
              <w:t>Consejo Nacional para la Cultura y las Artes</w:t>
            </w:r>
          </w:p>
        </w:tc>
        <w:tc>
          <w:tcPr>
            <w:tcW w:w="1030" w:type="dxa"/>
            <w:tcBorders>
              <w:top w:val="nil"/>
              <w:left w:val="nil"/>
              <w:bottom w:val="single" w:sz="4" w:space="0" w:color="auto"/>
              <w:right w:val="single" w:sz="4" w:space="0" w:color="auto"/>
            </w:tcBorders>
            <w:noWrap/>
            <w:vAlign w:val="center"/>
            <w:hideMark/>
          </w:tcPr>
          <w:p w14:paraId="1606E328"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1,630,000</w:t>
            </w:r>
          </w:p>
        </w:tc>
        <w:tc>
          <w:tcPr>
            <w:tcW w:w="1164" w:type="dxa"/>
            <w:tcBorders>
              <w:top w:val="nil"/>
              <w:left w:val="nil"/>
              <w:bottom w:val="single" w:sz="4" w:space="0" w:color="auto"/>
              <w:right w:val="single" w:sz="4" w:space="0" w:color="auto"/>
            </w:tcBorders>
            <w:noWrap/>
            <w:vAlign w:val="center"/>
            <w:hideMark/>
          </w:tcPr>
          <w:p w14:paraId="21452ACF"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7,900,000</w:t>
            </w:r>
          </w:p>
        </w:tc>
      </w:tr>
      <w:tr w:rsidR="00BF5974" w14:paraId="7E74673D"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7D8026D1"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02052025030</w:t>
            </w:r>
          </w:p>
        </w:tc>
        <w:tc>
          <w:tcPr>
            <w:tcW w:w="5529" w:type="dxa"/>
            <w:tcBorders>
              <w:top w:val="nil"/>
              <w:left w:val="nil"/>
              <w:bottom w:val="single" w:sz="4" w:space="0" w:color="auto"/>
              <w:right w:val="single" w:sz="4" w:space="0" w:color="auto"/>
            </w:tcBorders>
            <w:noWrap/>
            <w:vAlign w:val="center"/>
            <w:hideMark/>
          </w:tcPr>
          <w:p w14:paraId="385E1D95"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 xml:space="preserve"> Estímulo a la Creación y Desarrollo Artístico (PECDA)</w:t>
            </w:r>
          </w:p>
        </w:tc>
        <w:tc>
          <w:tcPr>
            <w:tcW w:w="1030" w:type="dxa"/>
            <w:tcBorders>
              <w:top w:val="nil"/>
              <w:left w:val="nil"/>
              <w:bottom w:val="single" w:sz="4" w:space="0" w:color="auto"/>
              <w:right w:val="single" w:sz="4" w:space="0" w:color="auto"/>
            </w:tcBorders>
            <w:noWrap/>
            <w:vAlign w:val="center"/>
            <w:hideMark/>
          </w:tcPr>
          <w:p w14:paraId="0DA1A823"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500,000</w:t>
            </w:r>
          </w:p>
        </w:tc>
        <w:tc>
          <w:tcPr>
            <w:tcW w:w="1164" w:type="dxa"/>
            <w:tcBorders>
              <w:top w:val="nil"/>
              <w:left w:val="nil"/>
              <w:bottom w:val="single" w:sz="4" w:space="0" w:color="auto"/>
              <w:right w:val="single" w:sz="4" w:space="0" w:color="auto"/>
            </w:tcBorders>
            <w:noWrap/>
            <w:vAlign w:val="center"/>
            <w:hideMark/>
          </w:tcPr>
          <w:p w14:paraId="0DBBF360"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0</w:t>
            </w:r>
          </w:p>
        </w:tc>
      </w:tr>
      <w:tr w:rsidR="00BF5974" w14:paraId="0C239962"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52A9864C"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02052025040</w:t>
            </w:r>
          </w:p>
        </w:tc>
        <w:tc>
          <w:tcPr>
            <w:tcW w:w="5529" w:type="dxa"/>
            <w:tcBorders>
              <w:top w:val="nil"/>
              <w:left w:val="nil"/>
              <w:bottom w:val="single" w:sz="4" w:space="0" w:color="auto"/>
              <w:right w:val="single" w:sz="4" w:space="0" w:color="auto"/>
            </w:tcBorders>
            <w:noWrap/>
            <w:vAlign w:val="center"/>
            <w:hideMark/>
          </w:tcPr>
          <w:p w14:paraId="4C91E441"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Programa Festival Cultural y Artístico (PROFEST)</w:t>
            </w:r>
          </w:p>
        </w:tc>
        <w:tc>
          <w:tcPr>
            <w:tcW w:w="1030" w:type="dxa"/>
            <w:tcBorders>
              <w:top w:val="nil"/>
              <w:left w:val="nil"/>
              <w:bottom w:val="single" w:sz="4" w:space="0" w:color="auto"/>
              <w:right w:val="single" w:sz="4" w:space="0" w:color="auto"/>
            </w:tcBorders>
            <w:noWrap/>
            <w:vAlign w:val="center"/>
            <w:hideMark/>
          </w:tcPr>
          <w:p w14:paraId="13EE78DE"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230,000</w:t>
            </w:r>
          </w:p>
        </w:tc>
        <w:tc>
          <w:tcPr>
            <w:tcW w:w="1164" w:type="dxa"/>
            <w:tcBorders>
              <w:top w:val="nil"/>
              <w:left w:val="nil"/>
              <w:bottom w:val="single" w:sz="4" w:space="0" w:color="auto"/>
              <w:right w:val="single" w:sz="4" w:space="0" w:color="auto"/>
            </w:tcBorders>
            <w:noWrap/>
            <w:vAlign w:val="center"/>
            <w:hideMark/>
          </w:tcPr>
          <w:p w14:paraId="3E9F9BAA"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500,000</w:t>
            </w:r>
          </w:p>
        </w:tc>
      </w:tr>
      <w:tr w:rsidR="00BF5974" w14:paraId="59A09307"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4CC00929"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02052025032</w:t>
            </w:r>
          </w:p>
        </w:tc>
        <w:tc>
          <w:tcPr>
            <w:tcW w:w="5529" w:type="dxa"/>
            <w:tcBorders>
              <w:top w:val="nil"/>
              <w:left w:val="nil"/>
              <w:bottom w:val="single" w:sz="4" w:space="0" w:color="auto"/>
              <w:right w:val="single" w:sz="4" w:space="0" w:color="auto"/>
            </w:tcBorders>
            <w:vAlign w:val="center"/>
            <w:hideMark/>
          </w:tcPr>
          <w:p w14:paraId="7E2C4B73"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Programa de Apoyos a las Culturas Municipales y Comunitarias (</w:t>
            </w:r>
            <w:proofErr w:type="spellStart"/>
            <w:r>
              <w:rPr>
                <w:rFonts w:eastAsia="Times New Roman" w:cs="Arial"/>
                <w:sz w:val="16"/>
                <w:szCs w:val="16"/>
                <w:lang w:val="es-ES" w:eastAsia="en-US"/>
              </w:rPr>
              <w:t>PACMyC</w:t>
            </w:r>
            <w:proofErr w:type="spellEnd"/>
            <w:r>
              <w:rPr>
                <w:rFonts w:eastAsia="Times New Roman" w:cs="Arial"/>
                <w:sz w:val="16"/>
                <w:szCs w:val="16"/>
                <w:lang w:val="es-ES" w:eastAsia="en-US"/>
              </w:rPr>
              <w:t>)</w:t>
            </w:r>
          </w:p>
        </w:tc>
        <w:tc>
          <w:tcPr>
            <w:tcW w:w="1030" w:type="dxa"/>
            <w:tcBorders>
              <w:top w:val="nil"/>
              <w:left w:val="nil"/>
              <w:bottom w:val="single" w:sz="4" w:space="0" w:color="auto"/>
              <w:right w:val="single" w:sz="4" w:space="0" w:color="auto"/>
            </w:tcBorders>
            <w:noWrap/>
            <w:vAlign w:val="center"/>
            <w:hideMark/>
          </w:tcPr>
          <w:p w14:paraId="045767A7"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650,000</w:t>
            </w:r>
          </w:p>
        </w:tc>
        <w:tc>
          <w:tcPr>
            <w:tcW w:w="1164" w:type="dxa"/>
            <w:tcBorders>
              <w:top w:val="nil"/>
              <w:left w:val="nil"/>
              <w:bottom w:val="single" w:sz="4" w:space="0" w:color="auto"/>
              <w:right w:val="single" w:sz="4" w:space="0" w:color="auto"/>
            </w:tcBorders>
            <w:noWrap/>
            <w:vAlign w:val="center"/>
            <w:hideMark/>
          </w:tcPr>
          <w:p w14:paraId="2830224C"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1,000,000</w:t>
            </w:r>
          </w:p>
        </w:tc>
      </w:tr>
      <w:tr w:rsidR="00BF5974" w14:paraId="3C006232"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00355015"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02052025056</w:t>
            </w:r>
          </w:p>
        </w:tc>
        <w:tc>
          <w:tcPr>
            <w:tcW w:w="5529" w:type="dxa"/>
            <w:tcBorders>
              <w:top w:val="nil"/>
              <w:left w:val="nil"/>
              <w:bottom w:val="single" w:sz="4" w:space="0" w:color="auto"/>
              <w:right w:val="single" w:sz="4" w:space="0" w:color="auto"/>
            </w:tcBorders>
            <w:noWrap/>
            <w:vAlign w:val="center"/>
            <w:hideMark/>
          </w:tcPr>
          <w:p w14:paraId="184DF59F"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 xml:space="preserve"> Apoyo a Instituciones Estatales de Cultura (AIEC)</w:t>
            </w:r>
          </w:p>
        </w:tc>
        <w:tc>
          <w:tcPr>
            <w:tcW w:w="1030" w:type="dxa"/>
            <w:tcBorders>
              <w:top w:val="nil"/>
              <w:left w:val="nil"/>
              <w:bottom w:val="single" w:sz="4" w:space="0" w:color="auto"/>
              <w:right w:val="single" w:sz="4" w:space="0" w:color="auto"/>
            </w:tcBorders>
            <w:noWrap/>
            <w:vAlign w:val="center"/>
            <w:hideMark/>
          </w:tcPr>
          <w:p w14:paraId="01D48CE3"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522DA42E"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1,400,000</w:t>
            </w:r>
          </w:p>
        </w:tc>
      </w:tr>
      <w:tr w:rsidR="00BF5974" w14:paraId="699B2C08"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75C3E0EB"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01012025020</w:t>
            </w:r>
          </w:p>
        </w:tc>
        <w:tc>
          <w:tcPr>
            <w:tcW w:w="5529" w:type="dxa"/>
            <w:tcBorders>
              <w:top w:val="nil"/>
              <w:left w:val="nil"/>
              <w:bottom w:val="single" w:sz="4" w:space="0" w:color="auto"/>
              <w:right w:val="single" w:sz="4" w:space="0" w:color="auto"/>
            </w:tcBorders>
            <w:noWrap/>
            <w:vAlign w:val="center"/>
            <w:hideMark/>
          </w:tcPr>
          <w:p w14:paraId="76987F85"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Programa Estatal de Desarrollo Cultural Infantil Alas y Raíces</w:t>
            </w:r>
          </w:p>
        </w:tc>
        <w:tc>
          <w:tcPr>
            <w:tcW w:w="1030" w:type="dxa"/>
            <w:tcBorders>
              <w:top w:val="nil"/>
              <w:left w:val="nil"/>
              <w:bottom w:val="single" w:sz="4" w:space="0" w:color="auto"/>
              <w:right w:val="single" w:sz="4" w:space="0" w:color="auto"/>
            </w:tcBorders>
            <w:noWrap/>
            <w:vAlign w:val="center"/>
            <w:hideMark/>
          </w:tcPr>
          <w:p w14:paraId="5360FDBD"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50,000</w:t>
            </w:r>
          </w:p>
        </w:tc>
        <w:tc>
          <w:tcPr>
            <w:tcW w:w="1164" w:type="dxa"/>
            <w:tcBorders>
              <w:top w:val="nil"/>
              <w:left w:val="nil"/>
              <w:bottom w:val="single" w:sz="4" w:space="0" w:color="auto"/>
              <w:right w:val="single" w:sz="4" w:space="0" w:color="auto"/>
            </w:tcBorders>
            <w:noWrap/>
            <w:vAlign w:val="center"/>
            <w:hideMark/>
          </w:tcPr>
          <w:p w14:paraId="4AF30F34"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0</w:t>
            </w:r>
          </w:p>
        </w:tc>
      </w:tr>
      <w:tr w:rsidR="00BF5974" w14:paraId="4970E0FC"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00F52F90"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02052025033</w:t>
            </w:r>
          </w:p>
        </w:tc>
        <w:tc>
          <w:tcPr>
            <w:tcW w:w="5529" w:type="dxa"/>
            <w:tcBorders>
              <w:top w:val="nil"/>
              <w:left w:val="nil"/>
              <w:bottom w:val="single" w:sz="4" w:space="0" w:color="auto"/>
              <w:right w:val="single" w:sz="4" w:space="0" w:color="auto"/>
            </w:tcBorders>
            <w:noWrap/>
            <w:vAlign w:val="center"/>
            <w:hideMark/>
          </w:tcPr>
          <w:p w14:paraId="592E5611"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Apoyo a la Infraestructura Cultural de los Estados (PAICE)</w:t>
            </w:r>
          </w:p>
        </w:tc>
        <w:tc>
          <w:tcPr>
            <w:tcW w:w="1030" w:type="dxa"/>
            <w:tcBorders>
              <w:top w:val="nil"/>
              <w:left w:val="nil"/>
              <w:bottom w:val="single" w:sz="4" w:space="0" w:color="auto"/>
              <w:right w:val="single" w:sz="4" w:space="0" w:color="auto"/>
            </w:tcBorders>
            <w:noWrap/>
            <w:vAlign w:val="center"/>
            <w:hideMark/>
          </w:tcPr>
          <w:p w14:paraId="61A8B134"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1FA2F3D4"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5,000,000</w:t>
            </w:r>
          </w:p>
        </w:tc>
      </w:tr>
      <w:tr w:rsidR="00BF5974" w14:paraId="379097D5"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0A73FCA4"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01012025013</w:t>
            </w:r>
          </w:p>
        </w:tc>
        <w:tc>
          <w:tcPr>
            <w:tcW w:w="5529" w:type="dxa"/>
            <w:tcBorders>
              <w:top w:val="nil"/>
              <w:left w:val="nil"/>
              <w:bottom w:val="single" w:sz="4" w:space="0" w:color="auto"/>
              <w:right w:val="single" w:sz="4" w:space="0" w:color="auto"/>
            </w:tcBorders>
            <w:noWrap/>
            <w:vAlign w:val="center"/>
            <w:hideMark/>
          </w:tcPr>
          <w:p w14:paraId="1EAFD1EF"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Teatro a Una Sola Voz, Festival de Monólogos</w:t>
            </w:r>
          </w:p>
        </w:tc>
        <w:tc>
          <w:tcPr>
            <w:tcW w:w="1030" w:type="dxa"/>
            <w:tcBorders>
              <w:top w:val="nil"/>
              <w:left w:val="nil"/>
              <w:bottom w:val="single" w:sz="4" w:space="0" w:color="auto"/>
              <w:right w:val="single" w:sz="4" w:space="0" w:color="auto"/>
            </w:tcBorders>
            <w:noWrap/>
            <w:vAlign w:val="center"/>
            <w:hideMark/>
          </w:tcPr>
          <w:p w14:paraId="5A1573B2"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200,000</w:t>
            </w:r>
          </w:p>
        </w:tc>
        <w:tc>
          <w:tcPr>
            <w:tcW w:w="1164" w:type="dxa"/>
            <w:tcBorders>
              <w:top w:val="nil"/>
              <w:left w:val="nil"/>
              <w:bottom w:val="single" w:sz="4" w:space="0" w:color="auto"/>
              <w:right w:val="single" w:sz="4" w:space="0" w:color="auto"/>
            </w:tcBorders>
            <w:noWrap/>
            <w:vAlign w:val="center"/>
            <w:hideMark/>
          </w:tcPr>
          <w:p w14:paraId="04046483"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0</w:t>
            </w:r>
          </w:p>
        </w:tc>
      </w:tr>
      <w:tr w:rsidR="00BF5974" w14:paraId="391ED943"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411DA098" w14:textId="77777777" w:rsidR="00BF5974" w:rsidRDefault="00BF5974">
            <w:pPr>
              <w:rPr>
                <w:rFonts w:eastAsia="Times New Roman" w:cs="Arial"/>
                <w:sz w:val="16"/>
                <w:szCs w:val="16"/>
                <w:lang w:val="es-ES" w:eastAsia="en-US"/>
              </w:rPr>
            </w:pPr>
          </w:p>
        </w:tc>
        <w:tc>
          <w:tcPr>
            <w:tcW w:w="5529" w:type="dxa"/>
            <w:tcBorders>
              <w:top w:val="nil"/>
              <w:left w:val="nil"/>
              <w:bottom w:val="single" w:sz="4" w:space="0" w:color="auto"/>
              <w:right w:val="single" w:sz="4" w:space="0" w:color="auto"/>
            </w:tcBorders>
            <w:noWrap/>
            <w:vAlign w:val="center"/>
            <w:hideMark/>
          </w:tcPr>
          <w:p w14:paraId="28A6B55F" w14:textId="77777777" w:rsidR="00BF5974" w:rsidRDefault="00BF5974">
            <w:pPr>
              <w:spacing w:line="256" w:lineRule="auto"/>
              <w:jc w:val="left"/>
              <w:rPr>
                <w:rFonts w:eastAsia="Times New Roman" w:cs="Arial"/>
                <w:b/>
                <w:bCs/>
                <w:sz w:val="16"/>
                <w:szCs w:val="16"/>
                <w:lang w:val="es-ES" w:eastAsia="en-US"/>
              </w:rPr>
            </w:pPr>
            <w:r>
              <w:rPr>
                <w:rFonts w:eastAsia="Times New Roman" w:cs="Arial"/>
                <w:b/>
                <w:bCs/>
                <w:sz w:val="16"/>
                <w:szCs w:val="16"/>
                <w:lang w:val="es-ES" w:eastAsia="en-US"/>
              </w:rPr>
              <w:t>Sistema Nacional para el Desarrollo Integral de la Familia</w:t>
            </w:r>
          </w:p>
        </w:tc>
        <w:tc>
          <w:tcPr>
            <w:tcW w:w="1030" w:type="dxa"/>
            <w:tcBorders>
              <w:top w:val="nil"/>
              <w:left w:val="nil"/>
              <w:bottom w:val="single" w:sz="4" w:space="0" w:color="auto"/>
              <w:right w:val="single" w:sz="4" w:space="0" w:color="auto"/>
            </w:tcBorders>
            <w:noWrap/>
            <w:vAlign w:val="center"/>
            <w:hideMark/>
          </w:tcPr>
          <w:p w14:paraId="1E88C24C"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7F92ADB4"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5,049,933</w:t>
            </w:r>
          </w:p>
        </w:tc>
      </w:tr>
      <w:tr w:rsidR="00BF5974" w14:paraId="24F6A22E"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6F81B761"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02052025059</w:t>
            </w:r>
          </w:p>
        </w:tc>
        <w:tc>
          <w:tcPr>
            <w:tcW w:w="5529" w:type="dxa"/>
            <w:tcBorders>
              <w:top w:val="nil"/>
              <w:left w:val="nil"/>
              <w:bottom w:val="single" w:sz="4" w:space="0" w:color="auto"/>
              <w:right w:val="single" w:sz="4" w:space="0" w:color="auto"/>
            </w:tcBorders>
            <w:vAlign w:val="center"/>
            <w:hideMark/>
          </w:tcPr>
          <w:p w14:paraId="5E64EE7C"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 xml:space="preserve">Programa de Atención a Personas con Discapacidad </w:t>
            </w:r>
          </w:p>
        </w:tc>
        <w:tc>
          <w:tcPr>
            <w:tcW w:w="1030" w:type="dxa"/>
            <w:tcBorders>
              <w:top w:val="nil"/>
              <w:left w:val="nil"/>
              <w:bottom w:val="single" w:sz="4" w:space="0" w:color="auto"/>
              <w:right w:val="single" w:sz="4" w:space="0" w:color="auto"/>
            </w:tcBorders>
            <w:noWrap/>
            <w:vAlign w:val="center"/>
            <w:hideMark/>
          </w:tcPr>
          <w:p w14:paraId="611DFAC3"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562A045F"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1,249,933</w:t>
            </w:r>
          </w:p>
        </w:tc>
      </w:tr>
      <w:tr w:rsidR="00BF5974" w14:paraId="75673E92"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24B8873E"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02052025080</w:t>
            </w:r>
          </w:p>
        </w:tc>
        <w:tc>
          <w:tcPr>
            <w:tcW w:w="5529" w:type="dxa"/>
            <w:tcBorders>
              <w:top w:val="nil"/>
              <w:left w:val="nil"/>
              <w:bottom w:val="single" w:sz="4" w:space="0" w:color="auto"/>
              <w:right w:val="single" w:sz="4" w:space="0" w:color="auto"/>
            </w:tcBorders>
            <w:vAlign w:val="center"/>
            <w:hideMark/>
          </w:tcPr>
          <w:p w14:paraId="562928C5"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Programa de Servicios de Asistencia Social Integral Migrantes PRONNA</w:t>
            </w:r>
          </w:p>
        </w:tc>
        <w:tc>
          <w:tcPr>
            <w:tcW w:w="1030" w:type="dxa"/>
            <w:tcBorders>
              <w:top w:val="nil"/>
              <w:left w:val="nil"/>
              <w:bottom w:val="single" w:sz="4" w:space="0" w:color="auto"/>
              <w:right w:val="single" w:sz="4" w:space="0" w:color="auto"/>
            </w:tcBorders>
            <w:noWrap/>
            <w:vAlign w:val="center"/>
            <w:hideMark/>
          </w:tcPr>
          <w:p w14:paraId="040DDFD7"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2350FF84"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1,800,000</w:t>
            </w:r>
          </w:p>
        </w:tc>
      </w:tr>
      <w:tr w:rsidR="00BF5974" w14:paraId="3B9A57FB"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14D85C28"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02052025075</w:t>
            </w:r>
          </w:p>
        </w:tc>
        <w:tc>
          <w:tcPr>
            <w:tcW w:w="5529" w:type="dxa"/>
            <w:tcBorders>
              <w:top w:val="nil"/>
              <w:left w:val="nil"/>
              <w:bottom w:val="single" w:sz="4" w:space="0" w:color="auto"/>
              <w:right w:val="single" w:sz="4" w:space="0" w:color="auto"/>
            </w:tcBorders>
            <w:vAlign w:val="center"/>
            <w:hideMark/>
          </w:tcPr>
          <w:p w14:paraId="4B541A69"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Programa de Servicios de Asistencia Social Integral Migrantes DIF</w:t>
            </w:r>
          </w:p>
        </w:tc>
        <w:tc>
          <w:tcPr>
            <w:tcW w:w="1030" w:type="dxa"/>
            <w:tcBorders>
              <w:top w:val="nil"/>
              <w:left w:val="nil"/>
              <w:bottom w:val="single" w:sz="4" w:space="0" w:color="auto"/>
              <w:right w:val="single" w:sz="4" w:space="0" w:color="auto"/>
            </w:tcBorders>
            <w:noWrap/>
            <w:vAlign w:val="center"/>
            <w:hideMark/>
          </w:tcPr>
          <w:p w14:paraId="74860A9A"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5551BBB1"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2,000,000</w:t>
            </w:r>
          </w:p>
        </w:tc>
      </w:tr>
      <w:tr w:rsidR="00BF5974" w14:paraId="2AF0805F"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2B2E1A7E" w14:textId="77777777" w:rsidR="00BF5974" w:rsidRDefault="00BF5974">
            <w:pPr>
              <w:rPr>
                <w:rFonts w:eastAsia="Times New Roman" w:cs="Arial"/>
                <w:sz w:val="16"/>
                <w:szCs w:val="16"/>
                <w:lang w:val="es-ES" w:eastAsia="en-US"/>
              </w:rPr>
            </w:pPr>
          </w:p>
        </w:tc>
        <w:tc>
          <w:tcPr>
            <w:tcW w:w="5529" w:type="dxa"/>
            <w:tcBorders>
              <w:top w:val="nil"/>
              <w:left w:val="nil"/>
              <w:bottom w:val="single" w:sz="4" w:space="0" w:color="auto"/>
              <w:right w:val="single" w:sz="4" w:space="0" w:color="auto"/>
            </w:tcBorders>
            <w:noWrap/>
            <w:vAlign w:val="center"/>
            <w:hideMark/>
          </w:tcPr>
          <w:p w14:paraId="22BB133D" w14:textId="77777777" w:rsidR="00BF5974" w:rsidRDefault="00BF5974">
            <w:pPr>
              <w:spacing w:line="256" w:lineRule="auto"/>
              <w:jc w:val="left"/>
              <w:rPr>
                <w:rFonts w:eastAsia="Times New Roman" w:cs="Arial"/>
                <w:b/>
                <w:bCs/>
                <w:sz w:val="16"/>
                <w:szCs w:val="16"/>
                <w:lang w:val="es-ES" w:eastAsia="en-US"/>
              </w:rPr>
            </w:pPr>
            <w:r>
              <w:rPr>
                <w:rFonts w:eastAsia="Times New Roman" w:cs="Arial"/>
                <w:b/>
                <w:bCs/>
                <w:sz w:val="16"/>
                <w:szCs w:val="16"/>
                <w:lang w:val="es-ES" w:eastAsia="en-US"/>
              </w:rPr>
              <w:t xml:space="preserve">Secretaria de Bienestar, Inclusión Social y Mujeres </w:t>
            </w:r>
          </w:p>
        </w:tc>
        <w:tc>
          <w:tcPr>
            <w:tcW w:w="1030" w:type="dxa"/>
            <w:tcBorders>
              <w:top w:val="nil"/>
              <w:left w:val="nil"/>
              <w:bottom w:val="single" w:sz="4" w:space="0" w:color="auto"/>
              <w:right w:val="single" w:sz="4" w:space="0" w:color="auto"/>
            </w:tcBorders>
            <w:noWrap/>
            <w:vAlign w:val="center"/>
            <w:hideMark/>
          </w:tcPr>
          <w:p w14:paraId="7DDDDF3A"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37,172,100</w:t>
            </w:r>
          </w:p>
        </w:tc>
        <w:tc>
          <w:tcPr>
            <w:tcW w:w="1164" w:type="dxa"/>
            <w:tcBorders>
              <w:top w:val="nil"/>
              <w:left w:val="nil"/>
              <w:bottom w:val="single" w:sz="4" w:space="0" w:color="auto"/>
              <w:right w:val="single" w:sz="4" w:space="0" w:color="auto"/>
            </w:tcBorders>
            <w:noWrap/>
            <w:vAlign w:val="center"/>
            <w:hideMark/>
          </w:tcPr>
          <w:p w14:paraId="43C9ACA1"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37,172,100</w:t>
            </w:r>
          </w:p>
        </w:tc>
      </w:tr>
      <w:tr w:rsidR="00BF5974" w14:paraId="5B7E363B"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677974DB"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02052025044</w:t>
            </w:r>
          </w:p>
        </w:tc>
        <w:tc>
          <w:tcPr>
            <w:tcW w:w="5529" w:type="dxa"/>
            <w:tcBorders>
              <w:top w:val="nil"/>
              <w:left w:val="nil"/>
              <w:bottom w:val="single" w:sz="4" w:space="0" w:color="auto"/>
              <w:right w:val="single" w:sz="4" w:space="0" w:color="auto"/>
            </w:tcBorders>
            <w:vAlign w:val="center"/>
            <w:hideMark/>
          </w:tcPr>
          <w:p w14:paraId="3984E62D" w14:textId="1A8843F6"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 xml:space="preserve">Universalidad </w:t>
            </w:r>
            <w:r w:rsidR="00657B7A">
              <w:rPr>
                <w:rFonts w:eastAsia="Times New Roman" w:cs="Arial"/>
                <w:sz w:val="16"/>
                <w:szCs w:val="16"/>
                <w:lang w:val="es-ES" w:eastAsia="en-US"/>
              </w:rPr>
              <w:t xml:space="preserve">de la </w:t>
            </w:r>
            <w:r>
              <w:rPr>
                <w:rFonts w:eastAsia="Times New Roman" w:cs="Arial"/>
                <w:sz w:val="16"/>
                <w:szCs w:val="16"/>
                <w:lang w:val="es-ES" w:eastAsia="en-US"/>
              </w:rPr>
              <w:t xml:space="preserve">Pensión para el Bienestar de las Personas con </w:t>
            </w:r>
            <w:r w:rsidR="00657B7A">
              <w:rPr>
                <w:rFonts w:eastAsia="Times New Roman" w:cs="Arial"/>
                <w:sz w:val="16"/>
                <w:szCs w:val="16"/>
                <w:lang w:val="es-ES" w:eastAsia="en-US"/>
              </w:rPr>
              <w:t>Discapacidad /</w:t>
            </w:r>
            <w:r>
              <w:rPr>
                <w:rFonts w:eastAsia="Times New Roman" w:cs="Arial"/>
                <w:sz w:val="16"/>
                <w:szCs w:val="16"/>
                <w:lang w:val="es-ES" w:eastAsia="en-US"/>
              </w:rPr>
              <w:t xml:space="preserve"> Fideicomiso para el Bienestar </w:t>
            </w:r>
          </w:p>
        </w:tc>
        <w:tc>
          <w:tcPr>
            <w:tcW w:w="1030" w:type="dxa"/>
            <w:tcBorders>
              <w:top w:val="nil"/>
              <w:left w:val="nil"/>
              <w:bottom w:val="single" w:sz="4" w:space="0" w:color="auto"/>
              <w:right w:val="single" w:sz="4" w:space="0" w:color="auto"/>
            </w:tcBorders>
            <w:noWrap/>
            <w:vAlign w:val="center"/>
            <w:hideMark/>
          </w:tcPr>
          <w:p w14:paraId="3A7F266A"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37,172,100</w:t>
            </w:r>
          </w:p>
        </w:tc>
        <w:tc>
          <w:tcPr>
            <w:tcW w:w="1164" w:type="dxa"/>
            <w:tcBorders>
              <w:top w:val="nil"/>
              <w:left w:val="nil"/>
              <w:bottom w:val="single" w:sz="4" w:space="0" w:color="auto"/>
              <w:right w:val="single" w:sz="4" w:space="0" w:color="auto"/>
            </w:tcBorders>
            <w:noWrap/>
            <w:vAlign w:val="center"/>
            <w:hideMark/>
          </w:tcPr>
          <w:p w14:paraId="3AF170B9"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37,172,100</w:t>
            </w:r>
          </w:p>
        </w:tc>
      </w:tr>
      <w:tr w:rsidR="00BF5974" w14:paraId="0C5905FD"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13F36B26" w14:textId="77777777" w:rsidR="00BF5974" w:rsidRDefault="00BF5974">
            <w:pPr>
              <w:rPr>
                <w:rFonts w:eastAsia="Times New Roman" w:cs="Arial"/>
                <w:sz w:val="16"/>
                <w:szCs w:val="16"/>
                <w:lang w:val="es-ES" w:eastAsia="en-US"/>
              </w:rPr>
            </w:pPr>
          </w:p>
        </w:tc>
        <w:tc>
          <w:tcPr>
            <w:tcW w:w="5529" w:type="dxa"/>
            <w:tcBorders>
              <w:top w:val="nil"/>
              <w:left w:val="nil"/>
              <w:bottom w:val="single" w:sz="4" w:space="0" w:color="auto"/>
              <w:right w:val="single" w:sz="4" w:space="0" w:color="auto"/>
            </w:tcBorders>
            <w:noWrap/>
            <w:vAlign w:val="center"/>
            <w:hideMark/>
          </w:tcPr>
          <w:p w14:paraId="7C6251FD" w14:textId="77777777" w:rsidR="00BF5974" w:rsidRDefault="00BF5974">
            <w:pPr>
              <w:spacing w:line="256" w:lineRule="auto"/>
              <w:jc w:val="left"/>
              <w:rPr>
                <w:rFonts w:eastAsia="Times New Roman" w:cs="Arial"/>
                <w:b/>
                <w:bCs/>
                <w:sz w:val="16"/>
                <w:szCs w:val="16"/>
                <w:lang w:val="es-ES" w:eastAsia="en-US"/>
              </w:rPr>
            </w:pPr>
            <w:r>
              <w:rPr>
                <w:rFonts w:eastAsia="Times New Roman" w:cs="Arial"/>
                <w:b/>
                <w:bCs/>
                <w:sz w:val="16"/>
                <w:szCs w:val="16"/>
                <w:lang w:val="es-ES" w:eastAsia="en-US"/>
              </w:rPr>
              <w:t>Instituto Nacional de las Mujeres</w:t>
            </w:r>
          </w:p>
        </w:tc>
        <w:tc>
          <w:tcPr>
            <w:tcW w:w="1030" w:type="dxa"/>
            <w:tcBorders>
              <w:top w:val="nil"/>
              <w:left w:val="nil"/>
              <w:bottom w:val="single" w:sz="4" w:space="0" w:color="auto"/>
              <w:right w:val="single" w:sz="4" w:space="0" w:color="auto"/>
            </w:tcBorders>
            <w:noWrap/>
            <w:vAlign w:val="center"/>
            <w:hideMark/>
          </w:tcPr>
          <w:p w14:paraId="62F05829"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39730379"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30,271,907</w:t>
            </w:r>
          </w:p>
        </w:tc>
      </w:tr>
      <w:tr w:rsidR="00BF5974" w14:paraId="6BF97ADC"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4E4763E5"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lastRenderedPageBreak/>
              <w:t>02052025078</w:t>
            </w:r>
          </w:p>
        </w:tc>
        <w:tc>
          <w:tcPr>
            <w:tcW w:w="5529" w:type="dxa"/>
            <w:tcBorders>
              <w:top w:val="nil"/>
              <w:left w:val="nil"/>
              <w:bottom w:val="single" w:sz="4" w:space="0" w:color="auto"/>
              <w:right w:val="single" w:sz="4" w:space="0" w:color="auto"/>
            </w:tcBorders>
            <w:vAlign w:val="center"/>
            <w:hideMark/>
          </w:tcPr>
          <w:p w14:paraId="23D02FBF"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Programa de Apoyo para Refugios Especializados para Mujeres Víctimas de Violencia de Genero, sus Hijas e Hijos (Refugio Temporal Mujeres Colima)</w:t>
            </w:r>
          </w:p>
        </w:tc>
        <w:tc>
          <w:tcPr>
            <w:tcW w:w="1030" w:type="dxa"/>
            <w:tcBorders>
              <w:top w:val="nil"/>
              <w:left w:val="nil"/>
              <w:bottom w:val="single" w:sz="4" w:space="0" w:color="auto"/>
              <w:right w:val="single" w:sz="4" w:space="0" w:color="auto"/>
            </w:tcBorders>
            <w:noWrap/>
            <w:vAlign w:val="center"/>
            <w:hideMark/>
          </w:tcPr>
          <w:p w14:paraId="04C466EA"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7DACDF25"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4,288,511</w:t>
            </w:r>
          </w:p>
        </w:tc>
      </w:tr>
      <w:tr w:rsidR="00BF5974" w14:paraId="51C45807"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5CEB43D4"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02052025079</w:t>
            </w:r>
          </w:p>
        </w:tc>
        <w:tc>
          <w:tcPr>
            <w:tcW w:w="5529" w:type="dxa"/>
            <w:tcBorders>
              <w:top w:val="nil"/>
              <w:left w:val="nil"/>
              <w:bottom w:val="single" w:sz="4" w:space="0" w:color="auto"/>
              <w:right w:val="single" w:sz="4" w:space="0" w:color="auto"/>
            </w:tcBorders>
            <w:vAlign w:val="center"/>
            <w:hideMark/>
          </w:tcPr>
          <w:p w14:paraId="48960A3C"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Programa de Apoyo para Refugios Especializados para Mujeres Víctimas de Violencia de Genero, sus Hijas e Hijos (Centro de Atención Externa)</w:t>
            </w:r>
          </w:p>
        </w:tc>
        <w:tc>
          <w:tcPr>
            <w:tcW w:w="1030" w:type="dxa"/>
            <w:tcBorders>
              <w:top w:val="nil"/>
              <w:left w:val="nil"/>
              <w:bottom w:val="single" w:sz="4" w:space="0" w:color="auto"/>
              <w:right w:val="single" w:sz="4" w:space="0" w:color="auto"/>
            </w:tcBorders>
            <w:noWrap/>
            <w:vAlign w:val="center"/>
            <w:hideMark/>
          </w:tcPr>
          <w:p w14:paraId="3F13810E"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6A4AC715"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1,365,140</w:t>
            </w:r>
          </w:p>
        </w:tc>
      </w:tr>
      <w:tr w:rsidR="00BF5974" w14:paraId="592F27F2"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7471F7DB"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02052025052</w:t>
            </w:r>
          </w:p>
        </w:tc>
        <w:tc>
          <w:tcPr>
            <w:tcW w:w="5529" w:type="dxa"/>
            <w:tcBorders>
              <w:top w:val="nil"/>
              <w:left w:val="nil"/>
              <w:bottom w:val="single" w:sz="4" w:space="0" w:color="auto"/>
              <w:right w:val="single" w:sz="4" w:space="0" w:color="auto"/>
            </w:tcBorders>
            <w:vAlign w:val="center"/>
            <w:hideMark/>
          </w:tcPr>
          <w:p w14:paraId="533E7B4D"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Programa de Apoyo a Instancias de las Mujeres en las Entidades Federativas (PAIMEF)</w:t>
            </w:r>
          </w:p>
        </w:tc>
        <w:tc>
          <w:tcPr>
            <w:tcW w:w="1030" w:type="dxa"/>
            <w:tcBorders>
              <w:top w:val="nil"/>
              <w:left w:val="nil"/>
              <w:bottom w:val="single" w:sz="4" w:space="0" w:color="auto"/>
              <w:right w:val="single" w:sz="4" w:space="0" w:color="auto"/>
            </w:tcBorders>
            <w:noWrap/>
            <w:vAlign w:val="center"/>
            <w:hideMark/>
          </w:tcPr>
          <w:p w14:paraId="1F0D24CC"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56496832"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10,732,404</w:t>
            </w:r>
          </w:p>
        </w:tc>
      </w:tr>
      <w:tr w:rsidR="00BF5974" w14:paraId="073C422A"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011C4A55"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02052025081</w:t>
            </w:r>
          </w:p>
        </w:tc>
        <w:tc>
          <w:tcPr>
            <w:tcW w:w="5529" w:type="dxa"/>
            <w:tcBorders>
              <w:top w:val="nil"/>
              <w:left w:val="nil"/>
              <w:bottom w:val="single" w:sz="4" w:space="0" w:color="auto"/>
              <w:right w:val="single" w:sz="4" w:space="0" w:color="auto"/>
            </w:tcBorders>
            <w:vAlign w:val="center"/>
            <w:hideMark/>
          </w:tcPr>
          <w:p w14:paraId="355C4312"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Alerta de Violencia de Género Contra las Mujeres en Estados y Municipios</w:t>
            </w:r>
          </w:p>
        </w:tc>
        <w:tc>
          <w:tcPr>
            <w:tcW w:w="1030" w:type="dxa"/>
            <w:tcBorders>
              <w:top w:val="nil"/>
              <w:left w:val="nil"/>
              <w:bottom w:val="single" w:sz="4" w:space="0" w:color="auto"/>
              <w:right w:val="single" w:sz="4" w:space="0" w:color="auto"/>
            </w:tcBorders>
            <w:noWrap/>
            <w:vAlign w:val="center"/>
            <w:hideMark/>
          </w:tcPr>
          <w:p w14:paraId="2F85D91E"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3CE70F21"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2,254,000</w:t>
            </w:r>
          </w:p>
        </w:tc>
      </w:tr>
      <w:tr w:rsidR="00BF5974" w14:paraId="68D404EC"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2DC306E5"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02052025087</w:t>
            </w:r>
          </w:p>
        </w:tc>
        <w:tc>
          <w:tcPr>
            <w:tcW w:w="5529" w:type="dxa"/>
            <w:tcBorders>
              <w:top w:val="nil"/>
              <w:left w:val="nil"/>
              <w:bottom w:val="single" w:sz="4" w:space="0" w:color="auto"/>
              <w:right w:val="single" w:sz="4" w:space="0" w:color="auto"/>
            </w:tcBorders>
            <w:vAlign w:val="center"/>
            <w:hideMark/>
          </w:tcPr>
          <w:p w14:paraId="2DEC5D87"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Programa para el Adelanto, Bienestar, e Igualdad de las Mujeres (PROABIM)</w:t>
            </w:r>
          </w:p>
        </w:tc>
        <w:tc>
          <w:tcPr>
            <w:tcW w:w="1030" w:type="dxa"/>
            <w:tcBorders>
              <w:top w:val="nil"/>
              <w:left w:val="nil"/>
              <w:bottom w:val="single" w:sz="4" w:space="0" w:color="auto"/>
              <w:right w:val="single" w:sz="4" w:space="0" w:color="auto"/>
            </w:tcBorders>
            <w:noWrap/>
            <w:vAlign w:val="center"/>
            <w:hideMark/>
          </w:tcPr>
          <w:p w14:paraId="5FCCD1D1"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4F9A2D98"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8,551,868</w:t>
            </w:r>
          </w:p>
        </w:tc>
      </w:tr>
      <w:tr w:rsidR="00BF5974" w14:paraId="5C5E3E32"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28CDB05F"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02052025069</w:t>
            </w:r>
          </w:p>
        </w:tc>
        <w:tc>
          <w:tcPr>
            <w:tcW w:w="5529" w:type="dxa"/>
            <w:tcBorders>
              <w:top w:val="nil"/>
              <w:left w:val="nil"/>
              <w:bottom w:val="single" w:sz="4" w:space="0" w:color="auto"/>
              <w:right w:val="single" w:sz="4" w:space="0" w:color="auto"/>
            </w:tcBorders>
            <w:vAlign w:val="center"/>
            <w:hideMark/>
          </w:tcPr>
          <w:p w14:paraId="75F3EFCB"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 xml:space="preserve"> Fondo para el Bienestar y el Avance de las Mujeres (FOBAM)</w:t>
            </w:r>
          </w:p>
        </w:tc>
        <w:tc>
          <w:tcPr>
            <w:tcW w:w="1030" w:type="dxa"/>
            <w:tcBorders>
              <w:top w:val="nil"/>
              <w:left w:val="nil"/>
              <w:bottom w:val="single" w:sz="4" w:space="0" w:color="auto"/>
              <w:right w:val="single" w:sz="4" w:space="0" w:color="auto"/>
            </w:tcBorders>
            <w:noWrap/>
            <w:vAlign w:val="center"/>
            <w:hideMark/>
          </w:tcPr>
          <w:p w14:paraId="2A43434C"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71797A85"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3,079,984</w:t>
            </w:r>
          </w:p>
        </w:tc>
      </w:tr>
      <w:tr w:rsidR="00BF5974" w14:paraId="73034208"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2684E400" w14:textId="77777777" w:rsidR="00BF5974" w:rsidRDefault="00BF5974">
            <w:pPr>
              <w:rPr>
                <w:rFonts w:eastAsia="Times New Roman" w:cs="Arial"/>
                <w:sz w:val="16"/>
                <w:szCs w:val="16"/>
                <w:lang w:val="es-ES" w:eastAsia="en-US"/>
              </w:rPr>
            </w:pPr>
          </w:p>
        </w:tc>
        <w:tc>
          <w:tcPr>
            <w:tcW w:w="5529" w:type="dxa"/>
            <w:tcBorders>
              <w:top w:val="nil"/>
              <w:left w:val="nil"/>
              <w:bottom w:val="single" w:sz="4" w:space="0" w:color="auto"/>
              <w:right w:val="single" w:sz="4" w:space="0" w:color="auto"/>
            </w:tcBorders>
            <w:noWrap/>
            <w:vAlign w:val="center"/>
            <w:hideMark/>
          </w:tcPr>
          <w:p w14:paraId="532B93B0" w14:textId="77777777" w:rsidR="00BF5974" w:rsidRDefault="00BF5974">
            <w:pPr>
              <w:spacing w:line="256" w:lineRule="auto"/>
              <w:jc w:val="left"/>
              <w:rPr>
                <w:rFonts w:eastAsia="Times New Roman" w:cs="Arial"/>
                <w:b/>
                <w:bCs/>
                <w:sz w:val="16"/>
                <w:szCs w:val="16"/>
                <w:lang w:val="es-ES" w:eastAsia="en-US"/>
              </w:rPr>
            </w:pPr>
            <w:r>
              <w:rPr>
                <w:rFonts w:eastAsia="Times New Roman" w:cs="Arial"/>
                <w:b/>
                <w:bCs/>
                <w:sz w:val="16"/>
                <w:szCs w:val="16"/>
                <w:lang w:val="es-ES" w:eastAsia="en-US"/>
              </w:rPr>
              <w:t>Secretaría de Marina</w:t>
            </w:r>
          </w:p>
        </w:tc>
        <w:tc>
          <w:tcPr>
            <w:tcW w:w="1030" w:type="dxa"/>
            <w:tcBorders>
              <w:top w:val="nil"/>
              <w:left w:val="nil"/>
              <w:bottom w:val="single" w:sz="4" w:space="0" w:color="auto"/>
              <w:right w:val="single" w:sz="4" w:space="0" w:color="auto"/>
            </w:tcBorders>
            <w:noWrap/>
            <w:vAlign w:val="center"/>
            <w:hideMark/>
          </w:tcPr>
          <w:p w14:paraId="49CDAFE9"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72E269D7"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12,000,000</w:t>
            </w:r>
          </w:p>
        </w:tc>
      </w:tr>
      <w:tr w:rsidR="00BF5974" w14:paraId="633D2082"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5F092085"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02052025076</w:t>
            </w:r>
          </w:p>
        </w:tc>
        <w:tc>
          <w:tcPr>
            <w:tcW w:w="5529" w:type="dxa"/>
            <w:tcBorders>
              <w:top w:val="nil"/>
              <w:left w:val="nil"/>
              <w:bottom w:val="single" w:sz="4" w:space="0" w:color="auto"/>
              <w:right w:val="single" w:sz="4" w:space="0" w:color="auto"/>
            </w:tcBorders>
            <w:vAlign w:val="center"/>
            <w:hideMark/>
          </w:tcPr>
          <w:p w14:paraId="7C3172A4"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 xml:space="preserve">Convenio de Colaboración Tripartita celebrado por el Gobierno del Estado de Colima, Secretaría de Marina y ASIPONA Manzanillo </w:t>
            </w:r>
          </w:p>
        </w:tc>
        <w:tc>
          <w:tcPr>
            <w:tcW w:w="1030" w:type="dxa"/>
            <w:tcBorders>
              <w:top w:val="nil"/>
              <w:left w:val="nil"/>
              <w:bottom w:val="single" w:sz="4" w:space="0" w:color="auto"/>
              <w:right w:val="single" w:sz="4" w:space="0" w:color="auto"/>
            </w:tcBorders>
            <w:noWrap/>
            <w:vAlign w:val="center"/>
            <w:hideMark/>
          </w:tcPr>
          <w:p w14:paraId="1008061A"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1EDEC520"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12,000,000</w:t>
            </w:r>
          </w:p>
        </w:tc>
      </w:tr>
      <w:tr w:rsidR="00BF5974" w14:paraId="0FDE3197"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3B150ACC" w14:textId="77777777" w:rsidR="00BF5974" w:rsidRDefault="00BF5974">
            <w:pPr>
              <w:rPr>
                <w:rFonts w:eastAsia="Times New Roman" w:cs="Arial"/>
                <w:sz w:val="16"/>
                <w:szCs w:val="16"/>
                <w:lang w:val="es-ES" w:eastAsia="en-US"/>
              </w:rPr>
            </w:pPr>
          </w:p>
        </w:tc>
        <w:tc>
          <w:tcPr>
            <w:tcW w:w="5529" w:type="dxa"/>
            <w:tcBorders>
              <w:top w:val="nil"/>
              <w:left w:val="nil"/>
              <w:bottom w:val="single" w:sz="4" w:space="0" w:color="auto"/>
              <w:right w:val="single" w:sz="4" w:space="0" w:color="auto"/>
            </w:tcBorders>
            <w:noWrap/>
            <w:vAlign w:val="center"/>
            <w:hideMark/>
          </w:tcPr>
          <w:p w14:paraId="314BF958" w14:textId="77777777" w:rsidR="00BF5974" w:rsidRDefault="00BF5974">
            <w:pPr>
              <w:spacing w:line="256" w:lineRule="auto"/>
              <w:jc w:val="left"/>
              <w:rPr>
                <w:rFonts w:eastAsia="Times New Roman" w:cs="Arial"/>
                <w:b/>
                <w:bCs/>
                <w:sz w:val="16"/>
                <w:szCs w:val="16"/>
                <w:lang w:val="es-ES" w:eastAsia="en-US"/>
              </w:rPr>
            </w:pPr>
            <w:r>
              <w:rPr>
                <w:rFonts w:eastAsia="Times New Roman" w:cs="Arial"/>
                <w:b/>
                <w:bCs/>
                <w:sz w:val="16"/>
                <w:szCs w:val="16"/>
                <w:lang w:val="es-ES" w:eastAsia="en-US"/>
              </w:rPr>
              <w:t>Instituto Nacional para la Educación de los Adultos</w:t>
            </w:r>
          </w:p>
        </w:tc>
        <w:tc>
          <w:tcPr>
            <w:tcW w:w="1030" w:type="dxa"/>
            <w:tcBorders>
              <w:top w:val="nil"/>
              <w:left w:val="nil"/>
              <w:bottom w:val="single" w:sz="4" w:space="0" w:color="auto"/>
              <w:right w:val="single" w:sz="4" w:space="0" w:color="auto"/>
            </w:tcBorders>
            <w:noWrap/>
            <w:vAlign w:val="center"/>
            <w:hideMark/>
          </w:tcPr>
          <w:p w14:paraId="4AA97883"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628127BC"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5,352,539</w:t>
            </w:r>
          </w:p>
        </w:tc>
      </w:tr>
      <w:tr w:rsidR="00BF5974" w14:paraId="3554B7EC"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5A211C9C"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02052025060</w:t>
            </w:r>
          </w:p>
        </w:tc>
        <w:tc>
          <w:tcPr>
            <w:tcW w:w="5529" w:type="dxa"/>
            <w:tcBorders>
              <w:top w:val="nil"/>
              <w:left w:val="nil"/>
              <w:bottom w:val="single" w:sz="4" w:space="0" w:color="auto"/>
              <w:right w:val="single" w:sz="4" w:space="0" w:color="auto"/>
            </w:tcBorders>
            <w:noWrap/>
            <w:vAlign w:val="center"/>
            <w:hideMark/>
          </w:tcPr>
          <w:p w14:paraId="435373B3"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Educación para Adultos (INEA)</w:t>
            </w:r>
          </w:p>
        </w:tc>
        <w:tc>
          <w:tcPr>
            <w:tcW w:w="1030" w:type="dxa"/>
            <w:tcBorders>
              <w:top w:val="nil"/>
              <w:left w:val="nil"/>
              <w:bottom w:val="single" w:sz="4" w:space="0" w:color="auto"/>
              <w:right w:val="single" w:sz="4" w:space="0" w:color="auto"/>
            </w:tcBorders>
            <w:noWrap/>
            <w:vAlign w:val="center"/>
            <w:hideMark/>
          </w:tcPr>
          <w:p w14:paraId="738A6A7F"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20248D7D"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5,352,539</w:t>
            </w:r>
          </w:p>
        </w:tc>
      </w:tr>
      <w:tr w:rsidR="00BF5974" w14:paraId="2CCC0423"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0E20A577" w14:textId="77777777" w:rsidR="00BF5974" w:rsidRDefault="00BF5974">
            <w:pPr>
              <w:rPr>
                <w:rFonts w:eastAsia="Times New Roman" w:cs="Arial"/>
                <w:sz w:val="16"/>
                <w:szCs w:val="16"/>
                <w:lang w:val="es-ES" w:eastAsia="en-US"/>
              </w:rPr>
            </w:pPr>
          </w:p>
        </w:tc>
        <w:tc>
          <w:tcPr>
            <w:tcW w:w="5529" w:type="dxa"/>
            <w:tcBorders>
              <w:top w:val="nil"/>
              <w:left w:val="nil"/>
              <w:bottom w:val="single" w:sz="4" w:space="0" w:color="auto"/>
              <w:right w:val="single" w:sz="4" w:space="0" w:color="auto"/>
            </w:tcBorders>
            <w:noWrap/>
            <w:vAlign w:val="center"/>
            <w:hideMark/>
          </w:tcPr>
          <w:p w14:paraId="157879B6" w14:textId="77777777" w:rsidR="00BF5974" w:rsidRDefault="00BF5974">
            <w:pPr>
              <w:spacing w:line="256" w:lineRule="auto"/>
              <w:jc w:val="left"/>
              <w:rPr>
                <w:rFonts w:eastAsia="Times New Roman" w:cs="Arial"/>
                <w:b/>
                <w:bCs/>
                <w:sz w:val="16"/>
                <w:szCs w:val="16"/>
                <w:lang w:val="es-ES" w:eastAsia="en-US"/>
              </w:rPr>
            </w:pPr>
            <w:r>
              <w:rPr>
                <w:rFonts w:eastAsia="Times New Roman" w:cs="Arial"/>
                <w:b/>
                <w:bCs/>
                <w:sz w:val="16"/>
                <w:szCs w:val="16"/>
                <w:lang w:val="es-ES" w:eastAsia="en-US"/>
              </w:rPr>
              <w:t>Comisión Nacional del Agua</w:t>
            </w:r>
          </w:p>
        </w:tc>
        <w:tc>
          <w:tcPr>
            <w:tcW w:w="1030" w:type="dxa"/>
            <w:tcBorders>
              <w:top w:val="nil"/>
              <w:left w:val="nil"/>
              <w:bottom w:val="single" w:sz="4" w:space="0" w:color="auto"/>
              <w:right w:val="single" w:sz="4" w:space="0" w:color="auto"/>
            </w:tcBorders>
            <w:noWrap/>
            <w:vAlign w:val="center"/>
            <w:hideMark/>
          </w:tcPr>
          <w:p w14:paraId="49E1E66D" w14:textId="7455C7A3" w:rsidR="00BF5974" w:rsidRDefault="003A70C3">
            <w:pPr>
              <w:spacing w:line="256" w:lineRule="auto"/>
              <w:jc w:val="right"/>
              <w:rPr>
                <w:rFonts w:eastAsia="Times New Roman" w:cs="Arial"/>
                <w:b/>
                <w:bCs/>
                <w:sz w:val="16"/>
                <w:szCs w:val="16"/>
                <w:lang w:val="es-ES" w:eastAsia="en-US"/>
              </w:rPr>
            </w:pPr>
            <w:r w:rsidRPr="003A70C3">
              <w:rPr>
                <w:rFonts w:eastAsia="Times New Roman" w:cs="Arial"/>
                <w:b/>
                <w:bCs/>
                <w:sz w:val="16"/>
                <w:szCs w:val="16"/>
                <w:lang w:val="es-ES" w:eastAsia="en-US"/>
              </w:rPr>
              <w:t>3,506,000</w:t>
            </w:r>
          </w:p>
        </w:tc>
        <w:tc>
          <w:tcPr>
            <w:tcW w:w="1164" w:type="dxa"/>
            <w:tcBorders>
              <w:top w:val="nil"/>
              <w:left w:val="nil"/>
              <w:bottom w:val="single" w:sz="4" w:space="0" w:color="auto"/>
              <w:right w:val="single" w:sz="4" w:space="0" w:color="auto"/>
            </w:tcBorders>
            <w:noWrap/>
            <w:vAlign w:val="center"/>
            <w:hideMark/>
          </w:tcPr>
          <w:p w14:paraId="7A51BCFC"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28,340,000</w:t>
            </w:r>
          </w:p>
        </w:tc>
      </w:tr>
      <w:tr w:rsidR="00BF5974" w14:paraId="506D0741"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29C77E78"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02052025022</w:t>
            </w:r>
          </w:p>
        </w:tc>
        <w:tc>
          <w:tcPr>
            <w:tcW w:w="5529" w:type="dxa"/>
            <w:tcBorders>
              <w:top w:val="nil"/>
              <w:left w:val="nil"/>
              <w:bottom w:val="single" w:sz="4" w:space="0" w:color="auto"/>
              <w:right w:val="single" w:sz="4" w:space="0" w:color="auto"/>
            </w:tcBorders>
            <w:noWrap/>
            <w:vAlign w:val="center"/>
            <w:hideMark/>
          </w:tcPr>
          <w:p w14:paraId="654B8D92"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Programa de Agua Potable, Drenaje y Tratamiento (PROAGUA)</w:t>
            </w:r>
          </w:p>
        </w:tc>
        <w:tc>
          <w:tcPr>
            <w:tcW w:w="1030" w:type="dxa"/>
            <w:tcBorders>
              <w:top w:val="nil"/>
              <w:left w:val="nil"/>
              <w:bottom w:val="single" w:sz="4" w:space="0" w:color="auto"/>
              <w:right w:val="single" w:sz="4" w:space="0" w:color="auto"/>
            </w:tcBorders>
            <w:noWrap/>
            <w:vAlign w:val="center"/>
            <w:hideMark/>
          </w:tcPr>
          <w:p w14:paraId="1E82FAEC"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700,000</w:t>
            </w:r>
          </w:p>
        </w:tc>
        <w:tc>
          <w:tcPr>
            <w:tcW w:w="1164" w:type="dxa"/>
            <w:tcBorders>
              <w:top w:val="nil"/>
              <w:left w:val="nil"/>
              <w:bottom w:val="single" w:sz="4" w:space="0" w:color="auto"/>
              <w:right w:val="single" w:sz="4" w:space="0" w:color="auto"/>
            </w:tcBorders>
            <w:noWrap/>
            <w:vAlign w:val="center"/>
            <w:hideMark/>
          </w:tcPr>
          <w:p w14:paraId="21E10441"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17,500,000</w:t>
            </w:r>
          </w:p>
        </w:tc>
      </w:tr>
      <w:tr w:rsidR="00BF5974" w14:paraId="50A494EE"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01BC3A0F"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02052025023</w:t>
            </w:r>
          </w:p>
        </w:tc>
        <w:tc>
          <w:tcPr>
            <w:tcW w:w="5529" w:type="dxa"/>
            <w:tcBorders>
              <w:top w:val="nil"/>
              <w:left w:val="nil"/>
              <w:bottom w:val="single" w:sz="4" w:space="0" w:color="auto"/>
              <w:right w:val="single" w:sz="4" w:space="0" w:color="auto"/>
            </w:tcBorders>
            <w:vAlign w:val="center"/>
            <w:hideMark/>
          </w:tcPr>
          <w:p w14:paraId="2D0C0514"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Programa E-005 "Capacitación Ambiental y Desarrollo Sustentable" respecto a las acciones en materia de Cultura del Agua"</w:t>
            </w:r>
          </w:p>
        </w:tc>
        <w:tc>
          <w:tcPr>
            <w:tcW w:w="1030" w:type="dxa"/>
            <w:tcBorders>
              <w:top w:val="nil"/>
              <w:left w:val="nil"/>
              <w:bottom w:val="single" w:sz="4" w:space="0" w:color="auto"/>
              <w:right w:val="single" w:sz="4" w:space="0" w:color="auto"/>
            </w:tcBorders>
            <w:noWrap/>
            <w:vAlign w:val="center"/>
            <w:hideMark/>
          </w:tcPr>
          <w:p w14:paraId="412B8983" w14:textId="77777777" w:rsidR="00BF5974" w:rsidRDefault="00BF5974">
            <w:pPr>
              <w:spacing w:line="256" w:lineRule="auto"/>
              <w:jc w:val="right"/>
              <w:rPr>
                <w:rFonts w:eastAsia="Times New Roman" w:cs="Arial"/>
                <w:sz w:val="16"/>
                <w:szCs w:val="16"/>
                <w:highlight w:val="yellow"/>
                <w:lang w:val="es-ES" w:eastAsia="en-US"/>
              </w:rPr>
            </w:pPr>
            <w:r>
              <w:rPr>
                <w:rFonts w:eastAsia="Times New Roman" w:cs="Arial"/>
                <w:sz w:val="16"/>
                <w:szCs w:val="16"/>
                <w:lang w:val="es-ES" w:eastAsia="en-US"/>
              </w:rPr>
              <w:t>0</w:t>
            </w:r>
          </w:p>
        </w:tc>
        <w:tc>
          <w:tcPr>
            <w:tcW w:w="1164" w:type="dxa"/>
            <w:tcBorders>
              <w:top w:val="nil"/>
              <w:left w:val="nil"/>
              <w:bottom w:val="single" w:sz="4" w:space="0" w:color="auto"/>
              <w:right w:val="single" w:sz="4" w:space="0" w:color="auto"/>
            </w:tcBorders>
            <w:noWrap/>
            <w:vAlign w:val="center"/>
            <w:hideMark/>
          </w:tcPr>
          <w:p w14:paraId="3E474EBE"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200,000</w:t>
            </w:r>
          </w:p>
        </w:tc>
      </w:tr>
      <w:tr w:rsidR="00BF5974" w14:paraId="1AC8D03C"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54F25A5B"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02052025026</w:t>
            </w:r>
          </w:p>
        </w:tc>
        <w:tc>
          <w:tcPr>
            <w:tcW w:w="5529" w:type="dxa"/>
            <w:tcBorders>
              <w:top w:val="nil"/>
              <w:left w:val="nil"/>
              <w:bottom w:val="single" w:sz="4" w:space="0" w:color="auto"/>
              <w:right w:val="single" w:sz="4" w:space="0" w:color="auto"/>
            </w:tcBorders>
            <w:noWrap/>
            <w:vAlign w:val="center"/>
            <w:hideMark/>
          </w:tcPr>
          <w:p w14:paraId="70814479"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Programa de Modernización y Tecnificación de Unidades de Riego</w:t>
            </w:r>
          </w:p>
        </w:tc>
        <w:tc>
          <w:tcPr>
            <w:tcW w:w="1030" w:type="dxa"/>
            <w:tcBorders>
              <w:top w:val="nil"/>
              <w:left w:val="nil"/>
              <w:bottom w:val="single" w:sz="4" w:space="0" w:color="auto"/>
              <w:right w:val="single" w:sz="4" w:space="0" w:color="auto"/>
            </w:tcBorders>
            <w:noWrap/>
            <w:vAlign w:val="center"/>
            <w:hideMark/>
          </w:tcPr>
          <w:p w14:paraId="2A2CD9FB"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1,000,000</w:t>
            </w:r>
          </w:p>
        </w:tc>
        <w:tc>
          <w:tcPr>
            <w:tcW w:w="1164" w:type="dxa"/>
            <w:tcBorders>
              <w:top w:val="nil"/>
              <w:left w:val="nil"/>
              <w:bottom w:val="single" w:sz="4" w:space="0" w:color="auto"/>
              <w:right w:val="single" w:sz="4" w:space="0" w:color="auto"/>
            </w:tcBorders>
            <w:noWrap/>
            <w:vAlign w:val="center"/>
            <w:hideMark/>
          </w:tcPr>
          <w:p w14:paraId="15B34E20"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4,600,000</w:t>
            </w:r>
          </w:p>
        </w:tc>
      </w:tr>
      <w:tr w:rsidR="00BF5974" w14:paraId="357D5928"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24E94086"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02052025027</w:t>
            </w:r>
          </w:p>
        </w:tc>
        <w:tc>
          <w:tcPr>
            <w:tcW w:w="5529" w:type="dxa"/>
            <w:tcBorders>
              <w:top w:val="nil"/>
              <w:left w:val="nil"/>
              <w:bottom w:val="single" w:sz="4" w:space="0" w:color="auto"/>
              <w:right w:val="single" w:sz="4" w:space="0" w:color="auto"/>
            </w:tcBorders>
            <w:vAlign w:val="center"/>
            <w:hideMark/>
          </w:tcPr>
          <w:p w14:paraId="235D2D66"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Programa de Tecnificación, Modernización y Equipamiento de Distritos de Riego</w:t>
            </w:r>
          </w:p>
        </w:tc>
        <w:tc>
          <w:tcPr>
            <w:tcW w:w="1030" w:type="dxa"/>
            <w:tcBorders>
              <w:top w:val="nil"/>
              <w:left w:val="nil"/>
              <w:bottom w:val="single" w:sz="4" w:space="0" w:color="auto"/>
              <w:right w:val="single" w:sz="4" w:space="0" w:color="auto"/>
            </w:tcBorders>
            <w:noWrap/>
            <w:vAlign w:val="center"/>
            <w:hideMark/>
          </w:tcPr>
          <w:p w14:paraId="48A357EE"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1,000,000</w:t>
            </w:r>
          </w:p>
        </w:tc>
        <w:tc>
          <w:tcPr>
            <w:tcW w:w="1164" w:type="dxa"/>
            <w:tcBorders>
              <w:top w:val="nil"/>
              <w:left w:val="nil"/>
              <w:bottom w:val="single" w:sz="4" w:space="0" w:color="auto"/>
              <w:right w:val="single" w:sz="4" w:space="0" w:color="auto"/>
            </w:tcBorders>
            <w:noWrap/>
            <w:vAlign w:val="center"/>
            <w:hideMark/>
          </w:tcPr>
          <w:p w14:paraId="3D710FF1"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6,000,000</w:t>
            </w:r>
          </w:p>
        </w:tc>
      </w:tr>
      <w:tr w:rsidR="00BF5974" w14:paraId="24B0C71A"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24D22DBF"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02052025024</w:t>
            </w:r>
          </w:p>
        </w:tc>
        <w:tc>
          <w:tcPr>
            <w:tcW w:w="5529" w:type="dxa"/>
            <w:tcBorders>
              <w:top w:val="nil"/>
              <w:left w:val="nil"/>
              <w:bottom w:val="single" w:sz="4" w:space="0" w:color="auto"/>
              <w:right w:val="single" w:sz="4" w:space="0" w:color="auto"/>
            </w:tcBorders>
            <w:noWrap/>
            <w:vAlign w:val="center"/>
            <w:hideMark/>
          </w:tcPr>
          <w:p w14:paraId="2E31C68A"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 xml:space="preserve">Programa para el Funcionamiento y Operación de la Cuenca Río Ayuquila-Armería </w:t>
            </w:r>
          </w:p>
        </w:tc>
        <w:tc>
          <w:tcPr>
            <w:tcW w:w="1030" w:type="dxa"/>
            <w:tcBorders>
              <w:top w:val="nil"/>
              <w:left w:val="nil"/>
              <w:bottom w:val="single" w:sz="4" w:space="0" w:color="auto"/>
              <w:right w:val="single" w:sz="4" w:space="0" w:color="auto"/>
            </w:tcBorders>
            <w:noWrap/>
            <w:vAlign w:val="center"/>
            <w:hideMark/>
          </w:tcPr>
          <w:p w14:paraId="469A60EB"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786,000</w:t>
            </w:r>
          </w:p>
        </w:tc>
        <w:tc>
          <w:tcPr>
            <w:tcW w:w="1164" w:type="dxa"/>
            <w:tcBorders>
              <w:top w:val="nil"/>
              <w:left w:val="nil"/>
              <w:bottom w:val="single" w:sz="4" w:space="0" w:color="auto"/>
              <w:right w:val="single" w:sz="4" w:space="0" w:color="auto"/>
            </w:tcBorders>
            <w:noWrap/>
            <w:vAlign w:val="center"/>
            <w:hideMark/>
          </w:tcPr>
          <w:p w14:paraId="2B84E779"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20,000</w:t>
            </w:r>
          </w:p>
        </w:tc>
      </w:tr>
      <w:tr w:rsidR="00BF5974" w14:paraId="484EE270"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2CD3087D"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02052025025</w:t>
            </w:r>
          </w:p>
        </w:tc>
        <w:tc>
          <w:tcPr>
            <w:tcW w:w="5529" w:type="dxa"/>
            <w:tcBorders>
              <w:top w:val="nil"/>
              <w:left w:val="nil"/>
              <w:bottom w:val="single" w:sz="4" w:space="0" w:color="auto"/>
              <w:right w:val="single" w:sz="4" w:space="0" w:color="auto"/>
            </w:tcBorders>
            <w:noWrap/>
            <w:vAlign w:val="center"/>
            <w:hideMark/>
          </w:tcPr>
          <w:p w14:paraId="36F9674C"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Consejo de la Cuenca Costa Pacífico Centro (Jalisco, Colima, Nayarit y Michoacán)</w:t>
            </w:r>
          </w:p>
        </w:tc>
        <w:tc>
          <w:tcPr>
            <w:tcW w:w="1030" w:type="dxa"/>
            <w:tcBorders>
              <w:top w:val="nil"/>
              <w:left w:val="nil"/>
              <w:bottom w:val="single" w:sz="4" w:space="0" w:color="auto"/>
              <w:right w:val="single" w:sz="4" w:space="0" w:color="auto"/>
            </w:tcBorders>
            <w:noWrap/>
            <w:vAlign w:val="center"/>
            <w:hideMark/>
          </w:tcPr>
          <w:p w14:paraId="18FC97D1" w14:textId="77777777" w:rsidR="00BF5974" w:rsidRDefault="00BF5974">
            <w:pPr>
              <w:spacing w:line="256" w:lineRule="auto"/>
              <w:jc w:val="right"/>
              <w:rPr>
                <w:rFonts w:eastAsia="Times New Roman" w:cs="Arial"/>
                <w:sz w:val="16"/>
                <w:szCs w:val="16"/>
                <w:highlight w:val="yellow"/>
                <w:lang w:val="es-ES" w:eastAsia="en-US"/>
              </w:rPr>
            </w:pPr>
            <w:r>
              <w:rPr>
                <w:rFonts w:eastAsia="Times New Roman" w:cs="Arial"/>
                <w:sz w:val="16"/>
                <w:szCs w:val="16"/>
                <w:lang w:val="es-ES" w:eastAsia="en-US"/>
              </w:rPr>
              <w:t>20,000</w:t>
            </w:r>
          </w:p>
        </w:tc>
        <w:tc>
          <w:tcPr>
            <w:tcW w:w="1164" w:type="dxa"/>
            <w:tcBorders>
              <w:top w:val="nil"/>
              <w:left w:val="nil"/>
              <w:bottom w:val="single" w:sz="4" w:space="0" w:color="auto"/>
              <w:right w:val="single" w:sz="4" w:space="0" w:color="auto"/>
            </w:tcBorders>
            <w:noWrap/>
            <w:vAlign w:val="center"/>
            <w:hideMark/>
          </w:tcPr>
          <w:p w14:paraId="2D58F229"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20,000</w:t>
            </w:r>
          </w:p>
        </w:tc>
      </w:tr>
      <w:tr w:rsidR="00BF5974" w14:paraId="6B8D86FC"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1551D0D6" w14:textId="77777777" w:rsidR="00BF5974" w:rsidRDefault="00BF5974">
            <w:pPr>
              <w:rPr>
                <w:rFonts w:eastAsia="Times New Roman" w:cs="Arial"/>
                <w:sz w:val="16"/>
                <w:szCs w:val="16"/>
                <w:lang w:val="es-ES" w:eastAsia="en-US"/>
              </w:rPr>
            </w:pPr>
          </w:p>
        </w:tc>
        <w:tc>
          <w:tcPr>
            <w:tcW w:w="5529" w:type="dxa"/>
            <w:tcBorders>
              <w:top w:val="nil"/>
              <w:left w:val="nil"/>
              <w:bottom w:val="single" w:sz="4" w:space="0" w:color="auto"/>
              <w:right w:val="single" w:sz="4" w:space="0" w:color="auto"/>
            </w:tcBorders>
            <w:noWrap/>
            <w:vAlign w:val="center"/>
            <w:hideMark/>
          </w:tcPr>
          <w:p w14:paraId="7EC555AA" w14:textId="77777777" w:rsidR="00BF5974" w:rsidRDefault="00BF5974">
            <w:pPr>
              <w:spacing w:line="256" w:lineRule="auto"/>
              <w:jc w:val="left"/>
              <w:rPr>
                <w:rFonts w:eastAsia="Times New Roman" w:cs="Arial"/>
                <w:b/>
                <w:bCs/>
                <w:sz w:val="16"/>
                <w:szCs w:val="16"/>
                <w:lang w:val="es-ES" w:eastAsia="en-US"/>
              </w:rPr>
            </w:pPr>
            <w:r>
              <w:rPr>
                <w:rFonts w:eastAsia="Times New Roman" w:cs="Arial"/>
                <w:b/>
                <w:bCs/>
                <w:sz w:val="16"/>
                <w:szCs w:val="16"/>
                <w:lang w:val="es-ES" w:eastAsia="en-US"/>
              </w:rPr>
              <w:t>Secretaría de Seguridad y Protección Ciudadana</w:t>
            </w:r>
          </w:p>
        </w:tc>
        <w:tc>
          <w:tcPr>
            <w:tcW w:w="1030" w:type="dxa"/>
            <w:tcBorders>
              <w:top w:val="nil"/>
              <w:left w:val="nil"/>
              <w:bottom w:val="single" w:sz="4" w:space="0" w:color="auto"/>
              <w:right w:val="single" w:sz="4" w:space="0" w:color="auto"/>
            </w:tcBorders>
            <w:noWrap/>
            <w:vAlign w:val="center"/>
            <w:hideMark/>
          </w:tcPr>
          <w:p w14:paraId="7374563D"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27,575,540</w:t>
            </w:r>
          </w:p>
        </w:tc>
        <w:tc>
          <w:tcPr>
            <w:tcW w:w="1164" w:type="dxa"/>
            <w:tcBorders>
              <w:top w:val="nil"/>
              <w:left w:val="nil"/>
              <w:bottom w:val="single" w:sz="4" w:space="0" w:color="auto"/>
              <w:right w:val="single" w:sz="4" w:space="0" w:color="auto"/>
            </w:tcBorders>
            <w:noWrap/>
            <w:vAlign w:val="center"/>
            <w:hideMark/>
          </w:tcPr>
          <w:p w14:paraId="511D4930"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27,575,540</w:t>
            </w:r>
          </w:p>
        </w:tc>
      </w:tr>
      <w:tr w:rsidR="00BF5974" w14:paraId="71B0E2BD"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2F805581"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02052025099</w:t>
            </w:r>
          </w:p>
        </w:tc>
        <w:tc>
          <w:tcPr>
            <w:tcW w:w="5529" w:type="dxa"/>
            <w:tcBorders>
              <w:top w:val="nil"/>
              <w:left w:val="nil"/>
              <w:bottom w:val="single" w:sz="4" w:space="0" w:color="auto"/>
              <w:right w:val="single" w:sz="4" w:space="0" w:color="auto"/>
            </w:tcBorders>
            <w:vAlign w:val="center"/>
            <w:hideMark/>
          </w:tcPr>
          <w:p w14:paraId="695CF553"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Fondo para el Fortalecimiento de las Instituciones de Seguridad Pública (FOFISP)</w:t>
            </w:r>
          </w:p>
        </w:tc>
        <w:tc>
          <w:tcPr>
            <w:tcW w:w="1030" w:type="dxa"/>
            <w:tcBorders>
              <w:top w:val="nil"/>
              <w:left w:val="nil"/>
              <w:bottom w:val="single" w:sz="4" w:space="0" w:color="auto"/>
              <w:right w:val="single" w:sz="4" w:space="0" w:color="auto"/>
            </w:tcBorders>
            <w:noWrap/>
            <w:vAlign w:val="center"/>
            <w:hideMark/>
          </w:tcPr>
          <w:p w14:paraId="2E3C6B96"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27,575,540</w:t>
            </w:r>
          </w:p>
        </w:tc>
        <w:tc>
          <w:tcPr>
            <w:tcW w:w="1164" w:type="dxa"/>
            <w:tcBorders>
              <w:top w:val="nil"/>
              <w:left w:val="nil"/>
              <w:bottom w:val="single" w:sz="4" w:space="0" w:color="auto"/>
              <w:right w:val="single" w:sz="4" w:space="0" w:color="auto"/>
            </w:tcBorders>
            <w:noWrap/>
            <w:vAlign w:val="center"/>
            <w:hideMark/>
          </w:tcPr>
          <w:p w14:paraId="5EF82BB0"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27,575,540</w:t>
            </w:r>
          </w:p>
        </w:tc>
      </w:tr>
      <w:tr w:rsidR="00BF5974" w14:paraId="7BF5DC11"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29F76AC4" w14:textId="77777777" w:rsidR="00BF5974" w:rsidRDefault="00BF5974">
            <w:pPr>
              <w:rPr>
                <w:rFonts w:eastAsia="Times New Roman" w:cs="Arial"/>
                <w:sz w:val="16"/>
                <w:szCs w:val="16"/>
                <w:lang w:val="es-ES" w:eastAsia="en-US"/>
              </w:rPr>
            </w:pPr>
          </w:p>
        </w:tc>
        <w:tc>
          <w:tcPr>
            <w:tcW w:w="5529" w:type="dxa"/>
            <w:tcBorders>
              <w:top w:val="nil"/>
              <w:left w:val="nil"/>
              <w:bottom w:val="single" w:sz="4" w:space="0" w:color="auto"/>
              <w:right w:val="single" w:sz="4" w:space="0" w:color="auto"/>
            </w:tcBorders>
            <w:noWrap/>
            <w:vAlign w:val="center"/>
            <w:hideMark/>
          </w:tcPr>
          <w:p w14:paraId="13C7AFA8" w14:textId="77777777" w:rsidR="00BF5974" w:rsidRDefault="00BF5974">
            <w:pPr>
              <w:spacing w:line="256" w:lineRule="auto"/>
              <w:jc w:val="left"/>
              <w:rPr>
                <w:rFonts w:eastAsia="Times New Roman" w:cs="Arial"/>
                <w:b/>
                <w:bCs/>
                <w:sz w:val="16"/>
                <w:szCs w:val="16"/>
                <w:lang w:val="es-ES" w:eastAsia="en-US"/>
              </w:rPr>
            </w:pPr>
            <w:r>
              <w:rPr>
                <w:rFonts w:eastAsia="Times New Roman" w:cs="Arial"/>
                <w:b/>
                <w:bCs/>
                <w:sz w:val="16"/>
                <w:szCs w:val="16"/>
                <w:lang w:val="es-ES" w:eastAsia="en-US"/>
              </w:rPr>
              <w:t>Comisión Nacional Forestal</w:t>
            </w:r>
          </w:p>
        </w:tc>
        <w:tc>
          <w:tcPr>
            <w:tcW w:w="1030" w:type="dxa"/>
            <w:tcBorders>
              <w:top w:val="nil"/>
              <w:left w:val="nil"/>
              <w:bottom w:val="single" w:sz="4" w:space="0" w:color="auto"/>
              <w:right w:val="single" w:sz="4" w:space="0" w:color="auto"/>
            </w:tcBorders>
            <w:noWrap/>
            <w:vAlign w:val="center"/>
            <w:hideMark/>
          </w:tcPr>
          <w:p w14:paraId="6EAA7A53"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800,000</w:t>
            </w:r>
          </w:p>
        </w:tc>
        <w:tc>
          <w:tcPr>
            <w:tcW w:w="1164" w:type="dxa"/>
            <w:tcBorders>
              <w:top w:val="nil"/>
              <w:left w:val="nil"/>
              <w:bottom w:val="single" w:sz="4" w:space="0" w:color="auto"/>
              <w:right w:val="single" w:sz="4" w:space="0" w:color="auto"/>
            </w:tcBorders>
            <w:noWrap/>
            <w:vAlign w:val="center"/>
            <w:hideMark/>
          </w:tcPr>
          <w:p w14:paraId="1D23A822" w14:textId="77777777" w:rsidR="00BF5974" w:rsidRDefault="00BF5974">
            <w:pPr>
              <w:spacing w:line="256" w:lineRule="auto"/>
              <w:jc w:val="right"/>
              <w:rPr>
                <w:rFonts w:eastAsia="Times New Roman" w:cs="Arial"/>
                <w:b/>
                <w:bCs/>
                <w:sz w:val="16"/>
                <w:szCs w:val="16"/>
                <w:lang w:val="es-ES" w:eastAsia="en-US"/>
              </w:rPr>
            </w:pPr>
            <w:r>
              <w:rPr>
                <w:rFonts w:eastAsia="Times New Roman" w:cs="Arial"/>
                <w:b/>
                <w:bCs/>
                <w:sz w:val="16"/>
                <w:szCs w:val="16"/>
                <w:lang w:val="es-ES" w:eastAsia="en-US"/>
              </w:rPr>
              <w:t>632,000</w:t>
            </w:r>
          </w:p>
        </w:tc>
      </w:tr>
      <w:tr w:rsidR="00BF5974" w14:paraId="11897FFB"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22086F77"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02052025035</w:t>
            </w:r>
          </w:p>
        </w:tc>
        <w:tc>
          <w:tcPr>
            <w:tcW w:w="5529" w:type="dxa"/>
            <w:tcBorders>
              <w:top w:val="nil"/>
              <w:left w:val="nil"/>
              <w:bottom w:val="single" w:sz="4" w:space="0" w:color="auto"/>
              <w:right w:val="single" w:sz="4" w:space="0" w:color="auto"/>
            </w:tcBorders>
            <w:vAlign w:val="center"/>
            <w:hideMark/>
          </w:tcPr>
          <w:p w14:paraId="38A8E24D"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Programa de Apoyos para el Desarrollo Forestal Sustentable (Brigadas Rurales de Incendios Forestales)</w:t>
            </w:r>
          </w:p>
        </w:tc>
        <w:tc>
          <w:tcPr>
            <w:tcW w:w="1030" w:type="dxa"/>
            <w:tcBorders>
              <w:top w:val="nil"/>
              <w:left w:val="nil"/>
              <w:bottom w:val="single" w:sz="4" w:space="0" w:color="auto"/>
              <w:right w:val="single" w:sz="4" w:space="0" w:color="auto"/>
            </w:tcBorders>
            <w:noWrap/>
            <w:vAlign w:val="center"/>
            <w:hideMark/>
          </w:tcPr>
          <w:p w14:paraId="41FE750C"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800,000</w:t>
            </w:r>
          </w:p>
        </w:tc>
        <w:tc>
          <w:tcPr>
            <w:tcW w:w="1164" w:type="dxa"/>
            <w:tcBorders>
              <w:top w:val="nil"/>
              <w:left w:val="nil"/>
              <w:bottom w:val="single" w:sz="4" w:space="0" w:color="auto"/>
              <w:right w:val="single" w:sz="4" w:space="0" w:color="auto"/>
            </w:tcBorders>
            <w:noWrap/>
            <w:vAlign w:val="center"/>
            <w:hideMark/>
          </w:tcPr>
          <w:p w14:paraId="59DD155D"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632,000</w:t>
            </w:r>
          </w:p>
        </w:tc>
      </w:tr>
      <w:tr w:rsidR="00BF5974" w14:paraId="3679B5D5" w14:textId="77777777" w:rsidTr="00BF5974">
        <w:trPr>
          <w:trHeight w:val="20"/>
        </w:trPr>
        <w:tc>
          <w:tcPr>
            <w:tcW w:w="1115" w:type="dxa"/>
            <w:tcBorders>
              <w:top w:val="nil"/>
              <w:left w:val="single" w:sz="4" w:space="0" w:color="auto"/>
              <w:bottom w:val="single" w:sz="4" w:space="0" w:color="auto"/>
              <w:right w:val="single" w:sz="4" w:space="0" w:color="auto"/>
            </w:tcBorders>
            <w:vAlign w:val="center"/>
            <w:hideMark/>
          </w:tcPr>
          <w:p w14:paraId="62FF88F0" w14:textId="77777777" w:rsidR="00BF5974" w:rsidRDefault="00BF5974">
            <w:pPr>
              <w:rPr>
                <w:rFonts w:eastAsia="Times New Roman" w:cs="Arial"/>
                <w:sz w:val="16"/>
                <w:szCs w:val="16"/>
                <w:lang w:val="es-ES" w:eastAsia="en-US"/>
              </w:rPr>
            </w:pPr>
          </w:p>
        </w:tc>
        <w:tc>
          <w:tcPr>
            <w:tcW w:w="5529" w:type="dxa"/>
            <w:tcBorders>
              <w:top w:val="nil"/>
              <w:left w:val="nil"/>
              <w:bottom w:val="single" w:sz="4" w:space="0" w:color="auto"/>
              <w:right w:val="single" w:sz="4" w:space="0" w:color="auto"/>
            </w:tcBorders>
            <w:noWrap/>
            <w:vAlign w:val="center"/>
            <w:hideMark/>
          </w:tcPr>
          <w:p w14:paraId="00354758" w14:textId="77777777" w:rsidR="00BF5974" w:rsidRDefault="00BF5974">
            <w:pPr>
              <w:spacing w:line="256" w:lineRule="auto"/>
              <w:jc w:val="left"/>
              <w:rPr>
                <w:rFonts w:eastAsia="Times New Roman" w:cs="Arial"/>
                <w:b/>
                <w:bCs/>
                <w:sz w:val="16"/>
                <w:szCs w:val="16"/>
                <w:lang w:val="es-ES" w:eastAsia="en-US"/>
              </w:rPr>
            </w:pPr>
            <w:r>
              <w:rPr>
                <w:rFonts w:eastAsia="Times New Roman" w:cs="Arial"/>
                <w:b/>
                <w:bCs/>
                <w:sz w:val="16"/>
                <w:szCs w:val="16"/>
                <w:lang w:val="es-ES" w:eastAsia="en-US"/>
              </w:rPr>
              <w:t>Transferencias, Asignaciones, Subsidios y Subvenciones, y Pensiones y Jubilaciones</w:t>
            </w:r>
          </w:p>
        </w:tc>
        <w:tc>
          <w:tcPr>
            <w:tcW w:w="1030" w:type="dxa"/>
            <w:tcBorders>
              <w:top w:val="nil"/>
              <w:left w:val="nil"/>
              <w:bottom w:val="single" w:sz="4" w:space="0" w:color="auto"/>
              <w:right w:val="single" w:sz="4" w:space="0" w:color="auto"/>
            </w:tcBorders>
            <w:noWrap/>
            <w:vAlign w:val="center"/>
          </w:tcPr>
          <w:p w14:paraId="16FE9A84" w14:textId="152BA493" w:rsidR="00BF5974" w:rsidRDefault="003A70C3">
            <w:pPr>
              <w:spacing w:line="256" w:lineRule="auto"/>
              <w:jc w:val="right"/>
              <w:rPr>
                <w:rFonts w:eastAsia="Times New Roman" w:cs="Arial"/>
                <w:b/>
                <w:bCs/>
                <w:sz w:val="16"/>
                <w:szCs w:val="16"/>
                <w:lang w:val="es-ES" w:eastAsia="en-US"/>
              </w:rPr>
            </w:pPr>
            <w:r w:rsidRPr="003A70C3">
              <w:rPr>
                <w:rFonts w:eastAsia="Times New Roman" w:cs="Arial"/>
                <w:b/>
                <w:bCs/>
                <w:sz w:val="16"/>
                <w:szCs w:val="16"/>
                <w:lang w:val="es-ES" w:eastAsia="en-US"/>
              </w:rPr>
              <w:t>586,701,938</w:t>
            </w:r>
          </w:p>
        </w:tc>
        <w:tc>
          <w:tcPr>
            <w:tcW w:w="1164" w:type="dxa"/>
            <w:tcBorders>
              <w:top w:val="nil"/>
              <w:left w:val="nil"/>
              <w:bottom w:val="single" w:sz="4" w:space="0" w:color="auto"/>
              <w:right w:val="single" w:sz="4" w:space="0" w:color="auto"/>
            </w:tcBorders>
            <w:noWrap/>
            <w:vAlign w:val="center"/>
          </w:tcPr>
          <w:p w14:paraId="407A7F7D" w14:textId="7CF1FBEF" w:rsidR="00BF5974" w:rsidRDefault="003A70C3">
            <w:pPr>
              <w:spacing w:line="256" w:lineRule="auto"/>
              <w:jc w:val="right"/>
              <w:rPr>
                <w:rFonts w:eastAsia="Times New Roman" w:cs="Arial"/>
                <w:b/>
                <w:bCs/>
                <w:sz w:val="16"/>
                <w:szCs w:val="16"/>
                <w:lang w:val="es-ES" w:eastAsia="en-US"/>
              </w:rPr>
            </w:pPr>
            <w:r w:rsidRPr="003A70C3">
              <w:rPr>
                <w:rFonts w:eastAsia="Times New Roman" w:cs="Arial"/>
                <w:b/>
                <w:bCs/>
                <w:sz w:val="16"/>
                <w:szCs w:val="16"/>
                <w:lang w:val="es-ES" w:eastAsia="en-US"/>
              </w:rPr>
              <w:t>2,032,677,181</w:t>
            </w:r>
          </w:p>
        </w:tc>
      </w:tr>
      <w:tr w:rsidR="00BF5974" w14:paraId="6A2DA44B"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76418D1C"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02052025067</w:t>
            </w:r>
          </w:p>
        </w:tc>
        <w:tc>
          <w:tcPr>
            <w:tcW w:w="5529" w:type="dxa"/>
            <w:tcBorders>
              <w:top w:val="nil"/>
              <w:left w:val="nil"/>
              <w:bottom w:val="single" w:sz="4" w:space="0" w:color="auto"/>
              <w:right w:val="single" w:sz="4" w:space="0" w:color="auto"/>
            </w:tcBorders>
            <w:vAlign w:val="center"/>
            <w:hideMark/>
          </w:tcPr>
          <w:p w14:paraId="4BCF581E"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Subsidio Federal Ordinario Universidad de Colima</w:t>
            </w:r>
          </w:p>
        </w:tc>
        <w:tc>
          <w:tcPr>
            <w:tcW w:w="1030" w:type="dxa"/>
            <w:tcBorders>
              <w:top w:val="nil"/>
              <w:left w:val="nil"/>
              <w:bottom w:val="single" w:sz="4" w:space="0" w:color="auto"/>
              <w:right w:val="single" w:sz="4" w:space="0" w:color="auto"/>
            </w:tcBorders>
            <w:noWrap/>
            <w:vAlign w:val="center"/>
            <w:hideMark/>
          </w:tcPr>
          <w:p w14:paraId="6C7454EE"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550,000,000</w:t>
            </w:r>
          </w:p>
        </w:tc>
        <w:tc>
          <w:tcPr>
            <w:tcW w:w="1164" w:type="dxa"/>
            <w:tcBorders>
              <w:top w:val="nil"/>
              <w:left w:val="nil"/>
              <w:bottom w:val="single" w:sz="4" w:space="0" w:color="auto"/>
              <w:right w:val="single" w:sz="4" w:space="0" w:color="auto"/>
            </w:tcBorders>
            <w:noWrap/>
            <w:vAlign w:val="center"/>
            <w:hideMark/>
          </w:tcPr>
          <w:p w14:paraId="45EB2D17"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1,989,167,181</w:t>
            </w:r>
          </w:p>
        </w:tc>
      </w:tr>
      <w:tr w:rsidR="00BF5974" w14:paraId="3268C32E" w14:textId="77777777" w:rsidTr="00BF5974">
        <w:trPr>
          <w:trHeight w:val="20"/>
        </w:trPr>
        <w:tc>
          <w:tcPr>
            <w:tcW w:w="1115" w:type="dxa"/>
            <w:tcBorders>
              <w:top w:val="nil"/>
              <w:left w:val="single" w:sz="4" w:space="0" w:color="auto"/>
              <w:bottom w:val="single" w:sz="4" w:space="0" w:color="auto"/>
              <w:right w:val="single" w:sz="4" w:space="0" w:color="auto"/>
            </w:tcBorders>
            <w:noWrap/>
            <w:vAlign w:val="center"/>
            <w:hideMark/>
          </w:tcPr>
          <w:p w14:paraId="7404C263"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02052025068</w:t>
            </w:r>
          </w:p>
        </w:tc>
        <w:tc>
          <w:tcPr>
            <w:tcW w:w="5529" w:type="dxa"/>
            <w:tcBorders>
              <w:top w:val="nil"/>
              <w:left w:val="nil"/>
              <w:bottom w:val="single" w:sz="4" w:space="0" w:color="auto"/>
              <w:right w:val="single" w:sz="4" w:space="0" w:color="auto"/>
            </w:tcBorders>
            <w:vAlign w:val="center"/>
            <w:hideMark/>
          </w:tcPr>
          <w:p w14:paraId="75A23471"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Convenio Específico para la Asignación de Recursos Financieros para la Operación de la Universidad Tecnológica de Manzanillo</w:t>
            </w:r>
          </w:p>
        </w:tc>
        <w:tc>
          <w:tcPr>
            <w:tcW w:w="1030" w:type="dxa"/>
            <w:tcBorders>
              <w:top w:val="nil"/>
              <w:left w:val="nil"/>
              <w:bottom w:val="single" w:sz="4" w:space="0" w:color="auto"/>
              <w:right w:val="single" w:sz="4" w:space="0" w:color="auto"/>
            </w:tcBorders>
            <w:noWrap/>
            <w:vAlign w:val="center"/>
            <w:hideMark/>
          </w:tcPr>
          <w:p w14:paraId="6AC2C337"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28,891,538</w:t>
            </w:r>
          </w:p>
        </w:tc>
        <w:tc>
          <w:tcPr>
            <w:tcW w:w="1164" w:type="dxa"/>
            <w:tcBorders>
              <w:top w:val="nil"/>
              <w:left w:val="nil"/>
              <w:bottom w:val="single" w:sz="4" w:space="0" w:color="auto"/>
              <w:right w:val="single" w:sz="4" w:space="0" w:color="auto"/>
            </w:tcBorders>
            <w:noWrap/>
            <w:vAlign w:val="center"/>
            <w:hideMark/>
          </w:tcPr>
          <w:p w14:paraId="4CC81209"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33,000,000</w:t>
            </w:r>
          </w:p>
        </w:tc>
      </w:tr>
      <w:tr w:rsidR="00BF5974" w14:paraId="5D239721" w14:textId="77777777" w:rsidTr="00BF5974">
        <w:trPr>
          <w:trHeight w:val="20"/>
        </w:trPr>
        <w:tc>
          <w:tcPr>
            <w:tcW w:w="1115" w:type="dxa"/>
            <w:tcBorders>
              <w:top w:val="nil"/>
              <w:left w:val="single" w:sz="4" w:space="0" w:color="auto"/>
              <w:bottom w:val="single" w:sz="4" w:space="0" w:color="auto"/>
              <w:right w:val="single" w:sz="4" w:space="0" w:color="auto"/>
            </w:tcBorders>
            <w:vAlign w:val="center"/>
            <w:hideMark/>
          </w:tcPr>
          <w:p w14:paraId="7814825D"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02052025082</w:t>
            </w:r>
          </w:p>
        </w:tc>
        <w:tc>
          <w:tcPr>
            <w:tcW w:w="5529" w:type="dxa"/>
            <w:tcBorders>
              <w:top w:val="nil"/>
              <w:left w:val="nil"/>
              <w:bottom w:val="single" w:sz="4" w:space="0" w:color="auto"/>
              <w:right w:val="single" w:sz="4" w:space="0" w:color="auto"/>
            </w:tcBorders>
            <w:vAlign w:val="center"/>
            <w:hideMark/>
          </w:tcPr>
          <w:p w14:paraId="45DA3500"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Convenio marco de colaboración para el apoyo financiero para la Universidad Intercultural de Colima Programa U006</w:t>
            </w:r>
          </w:p>
        </w:tc>
        <w:tc>
          <w:tcPr>
            <w:tcW w:w="1030" w:type="dxa"/>
            <w:tcBorders>
              <w:top w:val="nil"/>
              <w:left w:val="nil"/>
              <w:bottom w:val="single" w:sz="4" w:space="0" w:color="auto"/>
              <w:right w:val="single" w:sz="4" w:space="0" w:color="auto"/>
            </w:tcBorders>
            <w:noWrap/>
            <w:vAlign w:val="center"/>
            <w:hideMark/>
          </w:tcPr>
          <w:p w14:paraId="5F302DB8"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7,810,400</w:t>
            </w:r>
          </w:p>
        </w:tc>
        <w:tc>
          <w:tcPr>
            <w:tcW w:w="1164" w:type="dxa"/>
            <w:tcBorders>
              <w:top w:val="nil"/>
              <w:left w:val="nil"/>
              <w:bottom w:val="single" w:sz="4" w:space="0" w:color="auto"/>
              <w:right w:val="single" w:sz="4" w:space="0" w:color="auto"/>
            </w:tcBorders>
            <w:noWrap/>
            <w:vAlign w:val="center"/>
            <w:hideMark/>
          </w:tcPr>
          <w:p w14:paraId="5656DB30"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10,510,000</w:t>
            </w:r>
          </w:p>
        </w:tc>
      </w:tr>
      <w:tr w:rsidR="00BF5974" w14:paraId="3F18F2AA" w14:textId="77777777" w:rsidTr="00BF5974">
        <w:trPr>
          <w:trHeight w:val="20"/>
        </w:trPr>
        <w:tc>
          <w:tcPr>
            <w:tcW w:w="1115" w:type="dxa"/>
            <w:tcBorders>
              <w:top w:val="nil"/>
              <w:left w:val="single" w:sz="4" w:space="0" w:color="auto"/>
              <w:bottom w:val="single" w:sz="4" w:space="0" w:color="auto"/>
              <w:right w:val="single" w:sz="4" w:space="0" w:color="auto"/>
            </w:tcBorders>
            <w:vAlign w:val="center"/>
          </w:tcPr>
          <w:p w14:paraId="3969ACE6" w14:textId="77777777" w:rsidR="00BF5974" w:rsidRDefault="00BF5974">
            <w:pPr>
              <w:spacing w:line="256" w:lineRule="auto"/>
              <w:jc w:val="center"/>
              <w:rPr>
                <w:rFonts w:eastAsia="Times New Roman" w:cs="Arial"/>
                <w:sz w:val="14"/>
                <w:szCs w:val="14"/>
                <w:lang w:val="es-ES" w:eastAsia="en-US"/>
              </w:rPr>
            </w:pPr>
          </w:p>
        </w:tc>
        <w:tc>
          <w:tcPr>
            <w:tcW w:w="5529" w:type="dxa"/>
            <w:tcBorders>
              <w:top w:val="nil"/>
              <w:left w:val="nil"/>
              <w:bottom w:val="single" w:sz="4" w:space="0" w:color="auto"/>
              <w:right w:val="single" w:sz="4" w:space="0" w:color="auto"/>
            </w:tcBorders>
            <w:vAlign w:val="center"/>
            <w:hideMark/>
          </w:tcPr>
          <w:p w14:paraId="261ABA37" w14:textId="77777777" w:rsidR="00BF5974" w:rsidRDefault="00BF5974">
            <w:pPr>
              <w:spacing w:line="256" w:lineRule="auto"/>
              <w:jc w:val="left"/>
              <w:rPr>
                <w:rFonts w:eastAsia="Times New Roman" w:cs="Arial"/>
                <w:sz w:val="16"/>
                <w:szCs w:val="16"/>
                <w:lang w:val="es-ES" w:eastAsia="en-US"/>
              </w:rPr>
            </w:pPr>
            <w:r>
              <w:rPr>
                <w:rFonts w:eastAsia="Times New Roman" w:cs="Arial"/>
                <w:b/>
                <w:bCs/>
                <w:sz w:val="16"/>
                <w:szCs w:val="16"/>
                <w:lang w:val="es-ES" w:eastAsia="en-US"/>
              </w:rPr>
              <w:t>Aportaciones Federales – Ramo 33</w:t>
            </w:r>
          </w:p>
        </w:tc>
        <w:tc>
          <w:tcPr>
            <w:tcW w:w="1030" w:type="dxa"/>
            <w:tcBorders>
              <w:top w:val="nil"/>
              <w:left w:val="nil"/>
              <w:bottom w:val="single" w:sz="4" w:space="0" w:color="auto"/>
              <w:right w:val="single" w:sz="4" w:space="0" w:color="auto"/>
            </w:tcBorders>
            <w:noWrap/>
            <w:vAlign w:val="center"/>
          </w:tcPr>
          <w:p w14:paraId="6A668E78" w14:textId="2A915C38" w:rsidR="00BF5974" w:rsidRPr="0071787A" w:rsidRDefault="0071787A">
            <w:pPr>
              <w:spacing w:line="256" w:lineRule="auto"/>
              <w:jc w:val="right"/>
              <w:rPr>
                <w:rFonts w:eastAsia="Times New Roman" w:cs="Arial"/>
                <w:b/>
                <w:sz w:val="16"/>
                <w:szCs w:val="16"/>
                <w:lang w:val="es-ES" w:eastAsia="en-US"/>
              </w:rPr>
            </w:pPr>
            <w:r w:rsidRPr="0071787A">
              <w:rPr>
                <w:rFonts w:eastAsia="Times New Roman" w:cs="Arial"/>
                <w:b/>
                <w:sz w:val="16"/>
                <w:szCs w:val="16"/>
                <w:lang w:val="es-ES" w:eastAsia="en-US"/>
              </w:rPr>
              <w:t>63,579,603</w:t>
            </w:r>
          </w:p>
        </w:tc>
        <w:tc>
          <w:tcPr>
            <w:tcW w:w="1164" w:type="dxa"/>
            <w:tcBorders>
              <w:top w:val="nil"/>
              <w:left w:val="nil"/>
              <w:bottom w:val="single" w:sz="4" w:space="0" w:color="auto"/>
              <w:right w:val="single" w:sz="4" w:space="0" w:color="auto"/>
            </w:tcBorders>
            <w:noWrap/>
            <w:vAlign w:val="center"/>
          </w:tcPr>
          <w:p w14:paraId="7B747E29" w14:textId="520F5DE0" w:rsidR="00BF5974" w:rsidRPr="0071787A" w:rsidRDefault="0071787A">
            <w:pPr>
              <w:spacing w:line="256" w:lineRule="auto"/>
              <w:jc w:val="right"/>
              <w:rPr>
                <w:rFonts w:eastAsia="Times New Roman" w:cs="Arial"/>
                <w:b/>
                <w:sz w:val="16"/>
                <w:szCs w:val="16"/>
                <w:lang w:val="es-ES" w:eastAsia="en-US"/>
              </w:rPr>
            </w:pPr>
            <w:r w:rsidRPr="0071787A">
              <w:rPr>
                <w:rFonts w:eastAsia="Times New Roman" w:cs="Arial"/>
                <w:b/>
                <w:sz w:val="16"/>
                <w:szCs w:val="16"/>
                <w:lang w:val="es-ES" w:eastAsia="en-US"/>
              </w:rPr>
              <w:t>254,318,412</w:t>
            </w:r>
          </w:p>
        </w:tc>
      </w:tr>
      <w:tr w:rsidR="00BF5974" w14:paraId="486A5CB3" w14:textId="77777777" w:rsidTr="00BF5974">
        <w:trPr>
          <w:trHeight w:val="20"/>
        </w:trPr>
        <w:tc>
          <w:tcPr>
            <w:tcW w:w="1115" w:type="dxa"/>
            <w:tcBorders>
              <w:top w:val="single" w:sz="4" w:space="0" w:color="auto"/>
              <w:left w:val="single" w:sz="4" w:space="0" w:color="auto"/>
              <w:bottom w:val="single" w:sz="4" w:space="0" w:color="auto"/>
              <w:right w:val="single" w:sz="4" w:space="0" w:color="auto"/>
            </w:tcBorders>
            <w:vAlign w:val="center"/>
            <w:hideMark/>
          </w:tcPr>
          <w:p w14:paraId="3B2242B1" w14:textId="77777777" w:rsidR="00BF5974" w:rsidRDefault="00BF5974">
            <w:pPr>
              <w:spacing w:line="256" w:lineRule="auto"/>
              <w:jc w:val="center"/>
              <w:rPr>
                <w:rFonts w:eastAsia="Times New Roman" w:cs="Arial"/>
                <w:sz w:val="14"/>
                <w:szCs w:val="14"/>
                <w:lang w:val="es-ES" w:eastAsia="en-US"/>
              </w:rPr>
            </w:pPr>
            <w:r>
              <w:rPr>
                <w:rFonts w:eastAsia="Times New Roman" w:cs="Arial"/>
                <w:sz w:val="14"/>
                <w:szCs w:val="14"/>
                <w:lang w:val="es-ES" w:eastAsia="en-US"/>
              </w:rPr>
              <w:t>02052025009</w:t>
            </w:r>
          </w:p>
        </w:tc>
        <w:tc>
          <w:tcPr>
            <w:tcW w:w="5529" w:type="dxa"/>
            <w:tcBorders>
              <w:top w:val="single" w:sz="4" w:space="0" w:color="auto"/>
              <w:left w:val="nil"/>
              <w:bottom w:val="single" w:sz="4" w:space="0" w:color="auto"/>
              <w:right w:val="single" w:sz="4" w:space="0" w:color="auto"/>
            </w:tcBorders>
            <w:vAlign w:val="center"/>
            <w:hideMark/>
          </w:tcPr>
          <w:p w14:paraId="2C655F76" w14:textId="77777777" w:rsidR="00BF5974" w:rsidRDefault="00BF5974">
            <w:pPr>
              <w:spacing w:line="256" w:lineRule="auto"/>
              <w:jc w:val="left"/>
              <w:rPr>
                <w:rFonts w:eastAsia="Times New Roman" w:cs="Arial"/>
                <w:sz w:val="16"/>
                <w:szCs w:val="16"/>
                <w:lang w:val="es-ES" w:eastAsia="en-US"/>
              </w:rPr>
            </w:pPr>
            <w:r>
              <w:rPr>
                <w:rFonts w:eastAsia="Times New Roman" w:cs="Arial"/>
                <w:sz w:val="16"/>
                <w:szCs w:val="16"/>
                <w:lang w:val="es-ES" w:eastAsia="en-US"/>
              </w:rPr>
              <w:t>Fondo de Aportaciones para la Seguridad Pública</w:t>
            </w:r>
          </w:p>
        </w:tc>
        <w:tc>
          <w:tcPr>
            <w:tcW w:w="1030" w:type="dxa"/>
            <w:tcBorders>
              <w:top w:val="single" w:sz="4" w:space="0" w:color="auto"/>
              <w:left w:val="nil"/>
              <w:bottom w:val="single" w:sz="4" w:space="0" w:color="auto"/>
              <w:right w:val="single" w:sz="4" w:space="0" w:color="auto"/>
            </w:tcBorders>
            <w:noWrap/>
            <w:vAlign w:val="center"/>
            <w:hideMark/>
          </w:tcPr>
          <w:p w14:paraId="480BFF91"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 xml:space="preserve">63,579,603 </w:t>
            </w:r>
          </w:p>
        </w:tc>
        <w:tc>
          <w:tcPr>
            <w:tcW w:w="1164" w:type="dxa"/>
            <w:tcBorders>
              <w:top w:val="single" w:sz="4" w:space="0" w:color="auto"/>
              <w:left w:val="nil"/>
              <w:bottom w:val="single" w:sz="4" w:space="0" w:color="auto"/>
              <w:right w:val="single" w:sz="4" w:space="0" w:color="auto"/>
            </w:tcBorders>
            <w:noWrap/>
            <w:vAlign w:val="center"/>
            <w:hideMark/>
          </w:tcPr>
          <w:p w14:paraId="0F584561" w14:textId="77777777" w:rsidR="00BF5974" w:rsidRDefault="00BF5974">
            <w:pPr>
              <w:spacing w:line="256" w:lineRule="auto"/>
              <w:jc w:val="right"/>
              <w:rPr>
                <w:rFonts w:eastAsia="Times New Roman" w:cs="Arial"/>
                <w:sz w:val="16"/>
                <w:szCs w:val="16"/>
                <w:lang w:val="es-ES" w:eastAsia="en-US"/>
              </w:rPr>
            </w:pPr>
            <w:r>
              <w:rPr>
                <w:rFonts w:eastAsia="Times New Roman" w:cs="Arial"/>
                <w:sz w:val="16"/>
                <w:szCs w:val="16"/>
                <w:lang w:val="es-ES" w:eastAsia="en-US"/>
              </w:rPr>
              <w:t xml:space="preserve">254,318,412 </w:t>
            </w:r>
          </w:p>
        </w:tc>
      </w:tr>
    </w:tbl>
    <w:p w14:paraId="33731D4A" w14:textId="77777777" w:rsidR="00BF5974" w:rsidRDefault="00BF5974" w:rsidP="00BF5974">
      <w:pPr>
        <w:rPr>
          <w:rFonts w:cs="Arial"/>
          <w:lang w:val="es-ES"/>
        </w:rPr>
      </w:pPr>
    </w:p>
    <w:p w14:paraId="623766B0" w14:textId="1F87352A" w:rsidR="00BF5974" w:rsidRDefault="00BF5974" w:rsidP="00BF5974">
      <w:pPr>
        <w:rPr>
          <w:rFonts w:cs="Arial"/>
          <w:lang w:val="es-ES"/>
        </w:rPr>
      </w:pPr>
    </w:p>
    <w:p w14:paraId="210F54A4" w14:textId="642EDCE3" w:rsidR="00105286" w:rsidRDefault="00105286" w:rsidP="00BF5974">
      <w:pPr>
        <w:rPr>
          <w:rFonts w:cs="Arial"/>
          <w:lang w:val="es-ES"/>
        </w:rPr>
      </w:pPr>
    </w:p>
    <w:p w14:paraId="74DCCAFA" w14:textId="2085D0D2" w:rsidR="00105286" w:rsidRDefault="00105286" w:rsidP="00BF5974">
      <w:pPr>
        <w:rPr>
          <w:rFonts w:cs="Arial"/>
          <w:lang w:val="es-ES"/>
        </w:rPr>
      </w:pPr>
    </w:p>
    <w:p w14:paraId="48A8D6BD" w14:textId="2A06CF6D" w:rsidR="00105286" w:rsidRDefault="00105286" w:rsidP="00BF5974">
      <w:pPr>
        <w:rPr>
          <w:rFonts w:cs="Arial"/>
          <w:lang w:val="es-ES"/>
        </w:rPr>
      </w:pPr>
    </w:p>
    <w:p w14:paraId="6250528D" w14:textId="77777777" w:rsidR="00105286" w:rsidRDefault="00105286" w:rsidP="00BF5974">
      <w:pPr>
        <w:rPr>
          <w:rFonts w:cs="Arial"/>
          <w:lang w:val="es-ES"/>
        </w:rPr>
      </w:pPr>
    </w:p>
    <w:p w14:paraId="026B60BB" w14:textId="77777777" w:rsidR="00BF5974" w:rsidRDefault="00BF5974" w:rsidP="00BF5974">
      <w:pPr>
        <w:jc w:val="center"/>
        <w:rPr>
          <w:rFonts w:eastAsia="Times New Roman" w:cs="Arial"/>
          <w:b/>
          <w:lang w:val="es-ES"/>
        </w:rPr>
      </w:pPr>
      <w:bookmarkStart w:id="262" w:name="_Toc522869310"/>
      <w:bookmarkStart w:id="263" w:name="_Toc526757529"/>
      <w:bookmarkStart w:id="264" w:name="_Toc22021992"/>
      <w:bookmarkStart w:id="265" w:name="_Toc22983237"/>
      <w:bookmarkStart w:id="266" w:name="_Toc465292960"/>
      <w:bookmarkStart w:id="267" w:name="_Toc465292888"/>
      <w:r>
        <w:rPr>
          <w:rFonts w:eastAsia="Times New Roman" w:cs="Arial"/>
          <w:b/>
          <w:lang w:val="es-ES"/>
        </w:rPr>
        <w:lastRenderedPageBreak/>
        <w:t>TÍTULO TERCERO</w:t>
      </w:r>
      <w:bookmarkEnd w:id="262"/>
      <w:bookmarkEnd w:id="263"/>
      <w:bookmarkEnd w:id="264"/>
      <w:bookmarkEnd w:id="265"/>
    </w:p>
    <w:p w14:paraId="6C6AA3E6" w14:textId="77777777" w:rsidR="00BF5974" w:rsidRDefault="00BF5974" w:rsidP="00BF5974">
      <w:pPr>
        <w:keepNext/>
        <w:keepLines/>
        <w:jc w:val="center"/>
        <w:outlineLvl w:val="0"/>
        <w:rPr>
          <w:rFonts w:eastAsia="Times New Roman" w:cs="Arial"/>
          <w:b/>
          <w:szCs w:val="32"/>
          <w:lang w:val="es-ES"/>
        </w:rPr>
      </w:pPr>
      <w:bookmarkStart w:id="268" w:name="_Toc522869311"/>
      <w:bookmarkStart w:id="269" w:name="_Toc526757530"/>
      <w:bookmarkStart w:id="270" w:name="_Toc22021993"/>
      <w:bookmarkStart w:id="271" w:name="_Toc22983238"/>
      <w:r>
        <w:rPr>
          <w:rFonts w:eastAsia="Times New Roman" w:cs="Arial"/>
          <w:b/>
          <w:szCs w:val="32"/>
          <w:lang w:val="es-ES"/>
        </w:rPr>
        <w:t>DE LA DISCIPLINA PRESUPUESTARIA EN EL EJERCICIO DEL GASTO PÚBLICO</w:t>
      </w:r>
      <w:bookmarkEnd w:id="266"/>
      <w:bookmarkEnd w:id="267"/>
      <w:bookmarkEnd w:id="268"/>
      <w:bookmarkEnd w:id="269"/>
      <w:bookmarkEnd w:id="270"/>
      <w:bookmarkEnd w:id="271"/>
    </w:p>
    <w:p w14:paraId="521E90B6" w14:textId="77777777" w:rsidR="00BF5974" w:rsidRDefault="00BF5974" w:rsidP="00BF5974">
      <w:pPr>
        <w:jc w:val="center"/>
        <w:rPr>
          <w:rFonts w:cs="Arial"/>
          <w:b/>
          <w:lang w:val="es-ES"/>
        </w:rPr>
      </w:pPr>
    </w:p>
    <w:p w14:paraId="79A28515" w14:textId="77777777" w:rsidR="00BF5974" w:rsidRDefault="00BF5974" w:rsidP="00BF5974">
      <w:pPr>
        <w:jc w:val="center"/>
        <w:rPr>
          <w:rFonts w:cs="Arial"/>
          <w:b/>
          <w:lang w:val="es-ES"/>
        </w:rPr>
      </w:pPr>
      <w:r>
        <w:rPr>
          <w:rFonts w:cs="Arial"/>
          <w:b/>
          <w:lang w:val="es-ES"/>
        </w:rPr>
        <w:t>CAPÍTULO I</w:t>
      </w:r>
    </w:p>
    <w:p w14:paraId="6AD87734" w14:textId="77777777" w:rsidR="00BF5974" w:rsidRDefault="00BF5974" w:rsidP="00BF5974">
      <w:pPr>
        <w:jc w:val="center"/>
        <w:rPr>
          <w:rFonts w:cs="Arial"/>
          <w:b/>
          <w:lang w:val="es-ES"/>
        </w:rPr>
      </w:pPr>
      <w:r>
        <w:rPr>
          <w:rFonts w:cs="Arial"/>
          <w:b/>
          <w:lang w:val="es-ES"/>
        </w:rPr>
        <w:t xml:space="preserve"> DISPOSICIONES GENERALES</w:t>
      </w:r>
    </w:p>
    <w:p w14:paraId="0D61FA68" w14:textId="77777777" w:rsidR="00BF5974" w:rsidRDefault="00BF5974" w:rsidP="00BF5974">
      <w:pPr>
        <w:rPr>
          <w:rFonts w:cs="Arial"/>
          <w:b/>
          <w:lang w:val="es-ES"/>
        </w:rPr>
      </w:pPr>
    </w:p>
    <w:p w14:paraId="02D02CA5" w14:textId="77777777" w:rsidR="00BF5974" w:rsidRDefault="00BF5974" w:rsidP="00BF5974">
      <w:pPr>
        <w:rPr>
          <w:rFonts w:cs="Arial"/>
          <w:lang w:val="es-ES"/>
        </w:rPr>
      </w:pPr>
      <w:r>
        <w:rPr>
          <w:rFonts w:cs="Arial"/>
          <w:b/>
          <w:lang w:val="es-ES"/>
        </w:rPr>
        <w:t xml:space="preserve">Artículo 67. </w:t>
      </w:r>
      <w:r>
        <w:rPr>
          <w:rFonts w:cs="Arial"/>
          <w:lang w:val="es-ES"/>
        </w:rPr>
        <w:t>El gasto total propuesto por la persona Titular del Poder Ejecutivo en el proyecto de Presupuesto de Egresos, aquél que apruebe el H. Congreso del Estado y el que se ejerza en el año fiscal 2025, deberá contribuir a un Balance presupuestario sostenible, en los términos que señalan los artículos 6 y 7 de la Ley de Disciplina Financiera.</w:t>
      </w:r>
    </w:p>
    <w:p w14:paraId="074D66A6" w14:textId="77777777" w:rsidR="00BF5974" w:rsidRDefault="00BF5974" w:rsidP="00BF5974">
      <w:pPr>
        <w:rPr>
          <w:rFonts w:cs="Arial"/>
          <w:b/>
          <w:lang w:val="es-ES"/>
        </w:rPr>
      </w:pPr>
    </w:p>
    <w:p w14:paraId="3F67A455" w14:textId="77777777" w:rsidR="00BF5974" w:rsidRDefault="00BF5974" w:rsidP="00BF5974">
      <w:pPr>
        <w:rPr>
          <w:rFonts w:cs="Arial"/>
          <w:lang w:val="es-ES"/>
        </w:rPr>
      </w:pPr>
      <w:r>
        <w:rPr>
          <w:rFonts w:cs="Arial"/>
          <w:b/>
          <w:lang w:val="es-ES"/>
        </w:rPr>
        <w:t xml:space="preserve">Artículo 68. </w:t>
      </w:r>
      <w:r>
        <w:rPr>
          <w:rFonts w:cs="Arial"/>
          <w:lang w:val="es-ES"/>
        </w:rPr>
        <w:t>Para el ejercicio del gasto, se deberán observar las disposiciones señaladas en el artículo 13 de la Ley de Disciplina Financiera, en particular lo siguiente:</w:t>
      </w:r>
    </w:p>
    <w:p w14:paraId="061819EE" w14:textId="77777777" w:rsidR="00BF5974" w:rsidRDefault="00BF5974" w:rsidP="00BF5974">
      <w:pPr>
        <w:rPr>
          <w:rFonts w:cs="Arial"/>
          <w:lang w:val="es-ES"/>
        </w:rPr>
      </w:pPr>
    </w:p>
    <w:p w14:paraId="65A76778" w14:textId="77777777" w:rsidR="00BF5974" w:rsidRDefault="00BF5974" w:rsidP="00BF5974">
      <w:pPr>
        <w:numPr>
          <w:ilvl w:val="0"/>
          <w:numId w:val="4"/>
        </w:numPr>
        <w:ind w:hanging="720"/>
        <w:contextualSpacing/>
        <w:rPr>
          <w:rFonts w:eastAsia="Times New Roman" w:cs="Arial"/>
        </w:rPr>
      </w:pPr>
      <w:r>
        <w:rPr>
          <w:rFonts w:eastAsia="Times New Roman" w:cs="Arial"/>
        </w:rPr>
        <w:t>Sólo podrán comprometer recursos con cargo al presupuesto autorizado, contando previamente con la suficiencia presupuestaria, identificando la fuente de ingresos; y</w:t>
      </w:r>
    </w:p>
    <w:p w14:paraId="623966A5" w14:textId="77777777" w:rsidR="00BF5974" w:rsidRDefault="00BF5974" w:rsidP="00BF5974">
      <w:pPr>
        <w:numPr>
          <w:ilvl w:val="0"/>
          <w:numId w:val="4"/>
        </w:numPr>
        <w:ind w:hanging="720"/>
        <w:contextualSpacing/>
        <w:rPr>
          <w:rFonts w:eastAsia="Times New Roman" w:cs="Arial"/>
        </w:rPr>
      </w:pPr>
      <w:r>
        <w:rPr>
          <w:rFonts w:eastAsia="Times New Roman" w:cs="Arial"/>
        </w:rPr>
        <w:t>Sólo procederá hacer pagos con base en el Presupuesto de Egresos aprobado, y por los conceptos efectivamente devengados, siempre que se hubieren registrado y contabilizado debida y oportunamente las operaciones consideradas en éste.</w:t>
      </w:r>
    </w:p>
    <w:p w14:paraId="4F23B20A" w14:textId="77777777" w:rsidR="00BF5974" w:rsidRDefault="00BF5974" w:rsidP="00BF5974">
      <w:pPr>
        <w:rPr>
          <w:rFonts w:cs="Arial"/>
          <w:lang w:val="es-ES"/>
        </w:rPr>
      </w:pPr>
    </w:p>
    <w:p w14:paraId="27720B44" w14:textId="77777777" w:rsidR="00BF5974" w:rsidRDefault="00BF5974" w:rsidP="00BF5974">
      <w:pPr>
        <w:rPr>
          <w:rFonts w:cs="Arial"/>
          <w:lang w:val="es-ES"/>
        </w:rPr>
      </w:pPr>
      <w:r>
        <w:rPr>
          <w:rFonts w:cs="Arial"/>
          <w:b/>
          <w:lang w:val="es-ES"/>
        </w:rPr>
        <w:t xml:space="preserve">Artículo 69. </w:t>
      </w:r>
      <w:r>
        <w:rPr>
          <w:rFonts w:cs="Arial"/>
          <w:lang w:val="es-ES"/>
        </w:rPr>
        <w:t>Para el ejercicio del gasto, se podrán realizar erogaciones adicionales a las aprobadas con cargo a los ingresos excedentes que se obtengan, y con la autorización previa de la Secretaría, observando lo siguiente:</w:t>
      </w:r>
    </w:p>
    <w:p w14:paraId="5D26FD2D" w14:textId="77777777" w:rsidR="00BF5974" w:rsidRDefault="00BF5974" w:rsidP="00BF5974">
      <w:pPr>
        <w:rPr>
          <w:rFonts w:cs="Arial"/>
          <w:lang w:val="es-ES"/>
        </w:rPr>
      </w:pPr>
    </w:p>
    <w:p w14:paraId="3BCBA082" w14:textId="77777777" w:rsidR="00BF5974" w:rsidRDefault="00BF5974" w:rsidP="00BF5974">
      <w:pPr>
        <w:numPr>
          <w:ilvl w:val="0"/>
          <w:numId w:val="5"/>
        </w:numPr>
        <w:ind w:hanging="720"/>
        <w:contextualSpacing/>
        <w:rPr>
          <w:rFonts w:eastAsia="Times New Roman" w:cs="Arial"/>
        </w:rPr>
      </w:pPr>
      <w:r>
        <w:rPr>
          <w:rFonts w:eastAsia="Times New Roman" w:cs="Arial"/>
        </w:rPr>
        <w:t>Los ingresos excedentes derivados de Ingresos de Libre Disposición, deberán ser destinados a los conceptos señalados en el artículo 14 de la Ley de Disciplina Financiera; y</w:t>
      </w:r>
    </w:p>
    <w:p w14:paraId="0DD96A0E" w14:textId="77777777" w:rsidR="00BF5974" w:rsidRDefault="00BF5974" w:rsidP="00BF5974">
      <w:pPr>
        <w:numPr>
          <w:ilvl w:val="0"/>
          <w:numId w:val="5"/>
        </w:numPr>
        <w:ind w:hanging="720"/>
        <w:contextualSpacing/>
        <w:rPr>
          <w:rFonts w:eastAsia="Times New Roman" w:cs="Arial"/>
        </w:rPr>
      </w:pPr>
      <w:r>
        <w:rPr>
          <w:rFonts w:eastAsia="Times New Roman" w:cs="Arial"/>
        </w:rPr>
        <w:t xml:space="preserve">Los ingresos excedentes derivados de Transferencias Federales Etiquetadas, deberán ser destinados conforme a lo previsto en la legislación federal aplicable. Los recursos excedentes señalados en esta fracción se considerarán de ampliación automática.  </w:t>
      </w:r>
    </w:p>
    <w:p w14:paraId="68C651DB" w14:textId="77777777" w:rsidR="00BF5974" w:rsidRDefault="00BF5974" w:rsidP="00BF5974">
      <w:pPr>
        <w:ind w:hanging="720"/>
        <w:rPr>
          <w:rFonts w:cs="Arial"/>
          <w:b/>
          <w:lang w:val="es-ES"/>
        </w:rPr>
      </w:pPr>
    </w:p>
    <w:p w14:paraId="1B3F364C" w14:textId="78A40104" w:rsidR="00BF5974" w:rsidRDefault="00BF5974" w:rsidP="00BF5974">
      <w:pPr>
        <w:rPr>
          <w:rFonts w:cs="Arial"/>
          <w:lang w:val="es-ES"/>
        </w:rPr>
      </w:pPr>
      <w:r>
        <w:rPr>
          <w:rFonts w:cs="Arial"/>
          <w:b/>
          <w:lang w:val="es-ES"/>
        </w:rPr>
        <w:t xml:space="preserve">Artículo 70. </w:t>
      </w:r>
      <w:r>
        <w:rPr>
          <w:rFonts w:cs="Arial"/>
          <w:lang w:val="es-ES"/>
        </w:rPr>
        <w:t>En caso de que durante el Ejercicio Fiscal disminuyan los ingresos previstos en la Ley de Ingresos, la persona Titular del Ejecutivo, por conducto de la Secretaría, a efecto de cumplir con el principio de sostenibilidad del Balance Presupuestario y del Balance Presupuestario de Recursos Disponibles, deberá aplicar ajustes al Presupuesto de Egresos en los rubros de gasto señalados en el artículo 15 de la Ley de Disciplina Financiera.</w:t>
      </w:r>
    </w:p>
    <w:p w14:paraId="46C7EFB0" w14:textId="35C43CCD" w:rsidR="00657B7A" w:rsidRDefault="00657B7A" w:rsidP="00BF5974">
      <w:pPr>
        <w:rPr>
          <w:rFonts w:cs="Arial"/>
          <w:lang w:val="es-ES"/>
        </w:rPr>
      </w:pPr>
    </w:p>
    <w:p w14:paraId="445D61E9" w14:textId="37ED9CE5" w:rsidR="00105286" w:rsidRDefault="00105286" w:rsidP="00BF5974">
      <w:pPr>
        <w:rPr>
          <w:rFonts w:cs="Arial"/>
          <w:lang w:val="es-ES"/>
        </w:rPr>
      </w:pPr>
    </w:p>
    <w:p w14:paraId="31A8DFB9" w14:textId="77777777" w:rsidR="00105286" w:rsidRDefault="00105286" w:rsidP="00BF5974">
      <w:pPr>
        <w:rPr>
          <w:rFonts w:cs="Arial"/>
          <w:lang w:val="es-ES"/>
        </w:rPr>
      </w:pPr>
    </w:p>
    <w:p w14:paraId="6312BF20" w14:textId="77777777" w:rsidR="00BF5974" w:rsidRDefault="00BF5974" w:rsidP="00BF5974">
      <w:pPr>
        <w:jc w:val="center"/>
        <w:rPr>
          <w:rFonts w:cs="Arial"/>
          <w:b/>
          <w:lang w:val="es-ES"/>
        </w:rPr>
      </w:pPr>
    </w:p>
    <w:p w14:paraId="613B0D55" w14:textId="77777777" w:rsidR="00BF5974" w:rsidRDefault="00BF5974" w:rsidP="00BF5974">
      <w:pPr>
        <w:jc w:val="center"/>
        <w:rPr>
          <w:rFonts w:cs="Arial"/>
          <w:b/>
          <w:lang w:val="es-ES"/>
        </w:rPr>
      </w:pPr>
      <w:r>
        <w:rPr>
          <w:rFonts w:cs="Arial"/>
          <w:b/>
          <w:lang w:val="es-ES"/>
        </w:rPr>
        <w:lastRenderedPageBreak/>
        <w:t>CAPÍTULO II</w:t>
      </w:r>
    </w:p>
    <w:p w14:paraId="317B667F" w14:textId="77777777" w:rsidR="00BF5974" w:rsidRDefault="00BF5974" w:rsidP="00BF5974">
      <w:pPr>
        <w:jc w:val="center"/>
        <w:rPr>
          <w:rFonts w:cs="Arial"/>
          <w:b/>
          <w:lang w:val="es-ES"/>
        </w:rPr>
      </w:pPr>
      <w:r>
        <w:rPr>
          <w:rFonts w:cs="Arial"/>
          <w:b/>
          <w:lang w:val="es-ES"/>
        </w:rPr>
        <w:t>DE LA RACIONALIDAD, EFICIENTICA, EFICACIA, ECONOMÍA, TRANSPARENCIA Y HONRADEZ EN EL EJERCICIO DEL GASTO</w:t>
      </w:r>
    </w:p>
    <w:p w14:paraId="6617F033" w14:textId="77777777" w:rsidR="00BF5974" w:rsidRDefault="00BF5974" w:rsidP="00BF5974">
      <w:pPr>
        <w:rPr>
          <w:rFonts w:cs="Arial"/>
          <w:b/>
          <w:lang w:val="es-ES"/>
        </w:rPr>
      </w:pPr>
    </w:p>
    <w:p w14:paraId="3F66BB1B" w14:textId="77777777" w:rsidR="00BF5974" w:rsidRDefault="00BF5974" w:rsidP="00BF5974">
      <w:pPr>
        <w:rPr>
          <w:rFonts w:cs="Arial"/>
          <w:lang w:val="es-ES"/>
        </w:rPr>
      </w:pPr>
      <w:r>
        <w:rPr>
          <w:rFonts w:cs="Arial"/>
          <w:b/>
          <w:lang w:val="es-ES"/>
        </w:rPr>
        <w:t>Artículo 71</w:t>
      </w:r>
      <w:r>
        <w:rPr>
          <w:rFonts w:cs="Arial"/>
          <w:lang w:val="es-ES"/>
        </w:rPr>
        <w:t>. La Administración Pública Centralizada sólo podrá modificar sus estructuras orgánicas y laborales aprobadas para el Ejercicio Fiscal 2025, previa autorización de la persona Titular del Ejecutivo, y de conformidad con las normas aplicables, siempre que cuenten con los recursos presupuestarios suficientes.</w:t>
      </w:r>
    </w:p>
    <w:p w14:paraId="6324C7D5" w14:textId="77777777" w:rsidR="00BF5974" w:rsidRDefault="00BF5974" w:rsidP="00BF5974">
      <w:pPr>
        <w:rPr>
          <w:rFonts w:cs="Arial"/>
          <w:lang w:val="es-ES"/>
        </w:rPr>
      </w:pPr>
    </w:p>
    <w:p w14:paraId="15132C18" w14:textId="77777777" w:rsidR="00BF5974" w:rsidRDefault="00BF5974" w:rsidP="00BF5974">
      <w:pPr>
        <w:rPr>
          <w:rFonts w:cs="Arial"/>
          <w:lang w:val="es-ES"/>
        </w:rPr>
      </w:pPr>
      <w:r>
        <w:rPr>
          <w:rFonts w:cs="Arial"/>
          <w:b/>
          <w:lang w:val="es-ES"/>
        </w:rPr>
        <w:t>Artículo 72</w:t>
      </w:r>
      <w:r>
        <w:rPr>
          <w:rFonts w:cs="Arial"/>
          <w:lang w:val="es-ES"/>
        </w:rPr>
        <w:t xml:space="preserve">. En el ejercicio del Presupuesto de Egresos, </w:t>
      </w:r>
      <w:r>
        <w:rPr>
          <w:rFonts w:eastAsia="Times New Roman" w:cs="Arial"/>
        </w:rPr>
        <w:t>la Administración Pública Centralizada y la Administración Pública Paraestatal</w:t>
      </w:r>
      <w:r>
        <w:rPr>
          <w:rFonts w:cs="Arial"/>
          <w:lang w:val="es-ES"/>
        </w:rPr>
        <w:t xml:space="preserve"> se sujetarán a la calendarización que determine y les dé a conocer la Secretaría, la cual será congruente con los flujos de ingresos. Asimismo, </w:t>
      </w:r>
      <w:r>
        <w:rPr>
          <w:rFonts w:eastAsia="Times New Roman" w:cs="Arial"/>
        </w:rPr>
        <w:t xml:space="preserve">la Administración Pública Centralizada y Administración Pública Paraestatal </w:t>
      </w:r>
      <w:r>
        <w:rPr>
          <w:rFonts w:cs="Arial"/>
          <w:lang w:val="es-ES"/>
        </w:rPr>
        <w:t>proporcionarán a dicha Secretaría, la información presupuestal y financiera que ésta les requiera, de conformidad con las disposiciones en vigor.</w:t>
      </w:r>
    </w:p>
    <w:p w14:paraId="1B8F55E9" w14:textId="77777777" w:rsidR="00BF5974" w:rsidRDefault="00BF5974" w:rsidP="00BF5974">
      <w:pPr>
        <w:rPr>
          <w:rFonts w:cs="Arial"/>
          <w:lang w:val="es-ES"/>
        </w:rPr>
      </w:pPr>
    </w:p>
    <w:p w14:paraId="64DF802B" w14:textId="77777777" w:rsidR="00BF5974" w:rsidRDefault="00BF5974" w:rsidP="00BF5974">
      <w:pPr>
        <w:rPr>
          <w:rFonts w:cs="Arial"/>
          <w:lang w:val="es-ES"/>
        </w:rPr>
      </w:pPr>
      <w:r>
        <w:rPr>
          <w:rFonts w:cs="Arial"/>
          <w:b/>
          <w:lang w:val="es-ES"/>
        </w:rPr>
        <w:t>Artículo 73</w:t>
      </w:r>
      <w:r>
        <w:rPr>
          <w:rFonts w:cs="Arial"/>
          <w:lang w:val="es-ES"/>
        </w:rPr>
        <w:t>. Los viáticos nacionales para los servidores públicos que sean comisionados por la Administración Pública Centralizada del Estado de Colima, deberán cumplir con los requisitos y observar las cuotas que se establecen en los Lineamientos que Regulan los Viáticos para las Comisiones en el Desempeño de Funciones en la Administración Pública Centralizada del Estado de Colima. (P.O. 15 de junio de 2024)</w:t>
      </w:r>
    </w:p>
    <w:p w14:paraId="6D44D81F" w14:textId="77777777" w:rsidR="00BF5974" w:rsidRDefault="00BF5974" w:rsidP="00BF5974">
      <w:pPr>
        <w:rPr>
          <w:rFonts w:cs="Arial"/>
          <w:lang w:val="es-ES"/>
        </w:rPr>
      </w:pPr>
    </w:p>
    <w:p w14:paraId="052409B0" w14:textId="77777777" w:rsidR="00BF5974" w:rsidRDefault="00BF5974" w:rsidP="00BF5974">
      <w:pPr>
        <w:rPr>
          <w:rFonts w:cs="Arial"/>
          <w:lang w:val="es-ES"/>
        </w:rPr>
      </w:pPr>
      <w:r>
        <w:rPr>
          <w:rFonts w:cs="Arial"/>
          <w:b/>
          <w:lang w:val="es-ES"/>
        </w:rPr>
        <w:t>Artículo 74</w:t>
      </w:r>
      <w:r>
        <w:rPr>
          <w:rFonts w:cs="Arial"/>
          <w:lang w:val="es-ES"/>
        </w:rPr>
        <w:t xml:space="preserve">. La </w:t>
      </w:r>
      <w:r>
        <w:rPr>
          <w:rFonts w:eastAsia="Times New Roman" w:cs="Arial"/>
        </w:rPr>
        <w:t>Administración Pública Centralizada y la Administración Pública Paraestatal</w:t>
      </w:r>
      <w:r>
        <w:rPr>
          <w:rFonts w:cs="Arial"/>
          <w:lang w:val="es-ES"/>
        </w:rPr>
        <w:t xml:space="preserve"> deberán registrar ante la Secretaría, todas las operaciones que involucren compromisos financieros, los cuales sólo se podrán erogar si se encuentran autorizados en el Presupuesto de Egresos. </w:t>
      </w:r>
    </w:p>
    <w:p w14:paraId="5294521E" w14:textId="77777777" w:rsidR="00BF5974" w:rsidRDefault="00BF5974" w:rsidP="00BF5974">
      <w:pPr>
        <w:rPr>
          <w:rFonts w:cs="Arial"/>
          <w:b/>
          <w:bCs/>
          <w:lang w:val="es-ES"/>
        </w:rPr>
      </w:pPr>
    </w:p>
    <w:p w14:paraId="1F1F370C" w14:textId="77777777" w:rsidR="00BF5974" w:rsidRDefault="00BF5974" w:rsidP="00BF5974">
      <w:pPr>
        <w:rPr>
          <w:rFonts w:cs="Arial"/>
          <w:lang w:val="es-ES"/>
        </w:rPr>
      </w:pPr>
      <w:r>
        <w:rPr>
          <w:rFonts w:cs="Arial"/>
          <w:b/>
          <w:lang w:val="es-ES"/>
        </w:rPr>
        <w:t>Artículo 75</w:t>
      </w:r>
      <w:r>
        <w:rPr>
          <w:rFonts w:cs="Arial"/>
          <w:lang w:val="es-ES"/>
        </w:rPr>
        <w:t>. Los Entes Públicos deberán sujetarse a los montos autorizados, y observar los criterios señalados por el presente Decreto; por consiguiente, no deberán adquirir compromisos distintos a los estipulados en el Presupuesto Aprobado. Debiéndose observar lo señalado en la Ley de Austeridad del Estado de Colima y en las Reglas de Austeridad, Racionalidad y Disciplina del Gasto Público Estatal.</w:t>
      </w:r>
    </w:p>
    <w:p w14:paraId="0B8F7B4A" w14:textId="77777777" w:rsidR="00BF5974" w:rsidRDefault="00BF5974" w:rsidP="00BF5974">
      <w:pPr>
        <w:rPr>
          <w:rFonts w:cs="Arial"/>
          <w:lang w:val="es-ES"/>
        </w:rPr>
      </w:pPr>
    </w:p>
    <w:p w14:paraId="1A7974A4" w14:textId="77777777" w:rsidR="00BF5974" w:rsidRDefault="00BF5974" w:rsidP="00BF5974">
      <w:pPr>
        <w:rPr>
          <w:rFonts w:cs="Arial"/>
          <w:lang w:val="es-ES"/>
        </w:rPr>
      </w:pPr>
      <w:r>
        <w:rPr>
          <w:rFonts w:cs="Arial"/>
          <w:b/>
          <w:lang w:val="es-ES"/>
        </w:rPr>
        <w:t>Artículo 76</w:t>
      </w:r>
      <w:r>
        <w:rPr>
          <w:rFonts w:cs="Arial"/>
          <w:lang w:val="es-ES"/>
        </w:rPr>
        <w:t>. La Secretaría podrá emitir durante el Ejercicio Fiscal 2025, disposiciones sobre la operación, evaluación y ejercicio del gasto de las economías presupuestarias del Ejercicio Fiscal.</w:t>
      </w:r>
    </w:p>
    <w:p w14:paraId="407C783E" w14:textId="77777777" w:rsidR="00BF5974" w:rsidRDefault="00BF5974" w:rsidP="00BF5974">
      <w:pPr>
        <w:rPr>
          <w:rFonts w:cs="Arial"/>
          <w:lang w:val="es-ES"/>
        </w:rPr>
      </w:pPr>
    </w:p>
    <w:p w14:paraId="021DB300" w14:textId="77777777" w:rsidR="00BF5974" w:rsidRDefault="00BF5974" w:rsidP="00BF5974">
      <w:pPr>
        <w:rPr>
          <w:rFonts w:cs="Arial"/>
        </w:rPr>
      </w:pPr>
      <w:r>
        <w:rPr>
          <w:rFonts w:cs="Arial"/>
          <w:lang w:val="es-ES"/>
        </w:rPr>
        <w:t>Los ahorros o economías presupuestarias que se obtengan podrán reasignarse a programas prioritarios del Poder Ejecutivo del Estado.</w:t>
      </w:r>
      <w:r>
        <w:rPr>
          <w:rFonts w:cs="Arial"/>
        </w:rPr>
        <w:t xml:space="preserve"> Dichas reasignaciones no serán regularizables para el siguiente Ejercicio Fiscal.</w:t>
      </w:r>
    </w:p>
    <w:p w14:paraId="4868BD9F" w14:textId="77777777" w:rsidR="00BF5974" w:rsidRDefault="00BF5974" w:rsidP="00BF5974">
      <w:pPr>
        <w:rPr>
          <w:rFonts w:cs="Arial"/>
          <w:b/>
          <w:lang w:val="es-ES"/>
        </w:rPr>
      </w:pPr>
    </w:p>
    <w:p w14:paraId="753F668F" w14:textId="77777777" w:rsidR="00BF5974" w:rsidRDefault="00BF5974" w:rsidP="00BF5974">
      <w:pPr>
        <w:rPr>
          <w:rFonts w:cs="Arial"/>
          <w:lang w:val="es-ES"/>
        </w:rPr>
      </w:pPr>
      <w:r>
        <w:rPr>
          <w:rFonts w:cs="Arial"/>
          <w:b/>
          <w:lang w:val="es-ES"/>
        </w:rPr>
        <w:lastRenderedPageBreak/>
        <w:t>Artículo 77</w:t>
      </w:r>
      <w:r>
        <w:rPr>
          <w:rFonts w:cs="Arial"/>
          <w:lang w:val="es-ES"/>
        </w:rPr>
        <w:t xml:space="preserve">. El Presupuesto de Egresos de las Dependencias de la Administración Pública Centralizada por ejercer en el mes no comprometido, será considerado como Economía Presupuestaria, y se reasignará de conformidad con lo establecido en los artículos 49 y 53 de la Ley de Presupuesto y Responsabilidad Hacendaria del Estado de Colima. </w:t>
      </w:r>
    </w:p>
    <w:p w14:paraId="1C4E7F14" w14:textId="77777777" w:rsidR="00BF5974" w:rsidRDefault="00BF5974" w:rsidP="00BF5974">
      <w:pPr>
        <w:rPr>
          <w:rFonts w:cs="Arial"/>
          <w:lang w:val="es-ES"/>
        </w:rPr>
      </w:pPr>
    </w:p>
    <w:p w14:paraId="0A6DD0F3" w14:textId="77777777" w:rsidR="00BF5974" w:rsidRDefault="00BF5974" w:rsidP="00BF5974">
      <w:pPr>
        <w:rPr>
          <w:rFonts w:cs="Arial"/>
          <w:lang w:val="es-ES"/>
        </w:rPr>
      </w:pPr>
      <w:r>
        <w:rPr>
          <w:rFonts w:cs="Arial"/>
          <w:lang w:val="es-ES"/>
        </w:rPr>
        <w:t xml:space="preserve">Solo se autorizarán las modificaciones a los calendarios de presupuesto de egresos, señalados en el artículo 51, fracción 1, numeral II, de la Ley de Presupuesto y Responsabilidad Hacendaria del Estado de Colima; cuando sean enterados a la Secretaría, mediante el Formato de Solicitud de Adecuación Presupuestal dentro de los 5 (cinco) días naturales siguientes a la conclusión del mes respectivo. </w:t>
      </w:r>
    </w:p>
    <w:p w14:paraId="31F5B3F9" w14:textId="77777777" w:rsidR="00BF5974" w:rsidRDefault="00BF5974" w:rsidP="00BF5974">
      <w:pPr>
        <w:rPr>
          <w:rFonts w:cs="Arial"/>
          <w:lang w:val="es-ES"/>
        </w:rPr>
      </w:pPr>
    </w:p>
    <w:p w14:paraId="3A062C0D" w14:textId="77777777" w:rsidR="00BF5974" w:rsidRDefault="00BF5974" w:rsidP="00BF5974">
      <w:pPr>
        <w:rPr>
          <w:rFonts w:cs="Arial"/>
          <w:lang w:val="es-ES"/>
        </w:rPr>
      </w:pPr>
      <w:r>
        <w:rPr>
          <w:rFonts w:cs="Arial"/>
          <w:lang w:val="es-ES"/>
        </w:rPr>
        <w:t>Dicho formato deberá acompañarse con la documentación que justifique plenamente el fin especifico de la solicitud de la modificación al calendario de presupuesto de egresos aprobado. En caso de no cumplir con esta disposición, no procederá la solicitud de adecuación presupuestal.</w:t>
      </w:r>
    </w:p>
    <w:p w14:paraId="19D4CB56" w14:textId="77777777" w:rsidR="00BF5974" w:rsidRDefault="00BF5974" w:rsidP="00BF5974">
      <w:pPr>
        <w:rPr>
          <w:rFonts w:cs="Arial"/>
          <w:lang w:val="es-ES"/>
        </w:rPr>
      </w:pPr>
    </w:p>
    <w:p w14:paraId="13896934" w14:textId="77777777" w:rsidR="00BF5974" w:rsidRDefault="00BF5974" w:rsidP="00BF5974">
      <w:pPr>
        <w:rPr>
          <w:rFonts w:cs="Arial"/>
          <w:lang w:val="es-ES"/>
        </w:rPr>
      </w:pPr>
      <w:r>
        <w:rPr>
          <w:rFonts w:cs="Arial"/>
          <w:lang w:val="es-ES"/>
        </w:rPr>
        <w:t>En el ejercicio fiscal 2025 el trámite de pago de facturas que se generen en el mes que corresponda se deben ingresar contando únicamente con 10 (diez) días naturales posteriores a la fecha de expedición para su ingreso.</w:t>
      </w:r>
    </w:p>
    <w:p w14:paraId="1995A3E5" w14:textId="77777777" w:rsidR="00BF5974" w:rsidRDefault="00BF5974" w:rsidP="00BF5974">
      <w:pPr>
        <w:rPr>
          <w:rFonts w:cs="Arial"/>
          <w:lang w:val="es-ES"/>
        </w:rPr>
      </w:pPr>
    </w:p>
    <w:p w14:paraId="1CBD3DEB" w14:textId="77777777" w:rsidR="00BF5974" w:rsidRDefault="00BF5974" w:rsidP="00BF5974">
      <w:pPr>
        <w:rPr>
          <w:rFonts w:cs="Arial"/>
          <w:lang w:val="es-ES"/>
        </w:rPr>
      </w:pPr>
      <w:r>
        <w:rPr>
          <w:rFonts w:cs="Arial"/>
          <w:b/>
          <w:lang w:val="es-ES"/>
        </w:rPr>
        <w:t>Artículo 78</w:t>
      </w:r>
      <w:r>
        <w:rPr>
          <w:rFonts w:cs="Arial"/>
          <w:lang w:val="es-ES"/>
        </w:rPr>
        <w:t>. El H. Congreso del Estado, el Poder Judicial, los Órganos Autónomos Estatales, las Dependencias de la Administración Pública Centralizada y Entidades de la Administración Pública Paraestatal deberán sujetarse a los montos autorizados en el presente Presupuesto de Egresos, salvo que se autoricen adecuaciones presupuestales en los términos de este Decreto y de la Ley de Presupuesto y Responsabilidad Hacendaria del Estado de Colima; por consiguiente, no deberán adquirir compromisos distintos a los estipulados en el presupuesto aprobado.</w:t>
      </w:r>
    </w:p>
    <w:p w14:paraId="22FD1CEA" w14:textId="77777777" w:rsidR="00BF5974" w:rsidRDefault="00BF5974" w:rsidP="00BF5974">
      <w:pPr>
        <w:rPr>
          <w:rFonts w:cs="Arial"/>
          <w:b/>
          <w:lang w:val="es-ES"/>
        </w:rPr>
      </w:pPr>
    </w:p>
    <w:p w14:paraId="634B0DDB" w14:textId="77777777" w:rsidR="00BF5974" w:rsidRDefault="00BF5974" w:rsidP="00BF5974">
      <w:pPr>
        <w:rPr>
          <w:rFonts w:cs="Arial"/>
          <w:lang w:val="es-ES"/>
        </w:rPr>
      </w:pPr>
      <w:r>
        <w:rPr>
          <w:rFonts w:cs="Arial"/>
          <w:b/>
          <w:lang w:val="es-ES"/>
        </w:rPr>
        <w:t>Artículo 79</w:t>
      </w:r>
      <w:r>
        <w:rPr>
          <w:rFonts w:cs="Arial"/>
          <w:lang w:val="es-ES"/>
        </w:rPr>
        <w:t xml:space="preserve">. La Secretaría podrá entregar adelantos de Participaciones a los Municipios, previa petición que, por escrito, haga la Presidenta Municipal o él Presidente Municipal a la persona titular de la Secretaría de Planeación, Finanzas y Administración, siempre que el primero cuente con la aprobación del Ayuntamiento. </w:t>
      </w:r>
    </w:p>
    <w:p w14:paraId="515F6406" w14:textId="77777777" w:rsidR="00BF5974" w:rsidRDefault="00BF5974" w:rsidP="00BF5974">
      <w:pPr>
        <w:rPr>
          <w:rFonts w:cs="Arial"/>
          <w:lang w:val="es-ES"/>
        </w:rPr>
      </w:pPr>
    </w:p>
    <w:p w14:paraId="538D0F5F" w14:textId="77777777" w:rsidR="00BF5974" w:rsidRDefault="00BF5974" w:rsidP="00BF5974">
      <w:pPr>
        <w:rPr>
          <w:rFonts w:cs="Arial"/>
          <w:lang w:val="es-ES"/>
        </w:rPr>
      </w:pPr>
      <w:r>
        <w:rPr>
          <w:rFonts w:cs="Arial"/>
          <w:lang w:val="es-ES"/>
        </w:rPr>
        <w:t>También podrá hacerlo con respecto a las Entidades de la Administración Pública Paraestatal y Órganos Autónomos del Estado, a cuenta de las transferencias presupuestales que les correspondan, previa petición que, por escrito, presenten sus titulares a la Secretaría de Planeación, Finanzas y Administración.</w:t>
      </w:r>
    </w:p>
    <w:p w14:paraId="65939D81" w14:textId="77777777" w:rsidR="00BF5974" w:rsidRDefault="00BF5974" w:rsidP="00BF5974">
      <w:pPr>
        <w:rPr>
          <w:rFonts w:cs="Arial"/>
          <w:lang w:val="es-ES"/>
        </w:rPr>
      </w:pPr>
    </w:p>
    <w:p w14:paraId="6B0E5094" w14:textId="77777777" w:rsidR="00BF5974" w:rsidRDefault="00BF5974" w:rsidP="00BF5974">
      <w:pPr>
        <w:rPr>
          <w:rFonts w:cs="Arial"/>
          <w:lang w:val="es-ES"/>
        </w:rPr>
      </w:pPr>
      <w:r>
        <w:rPr>
          <w:rFonts w:cs="Arial"/>
          <w:lang w:val="es-ES"/>
        </w:rPr>
        <w:t>La Secretaría podrá autorizar o negar las peticiones a que se refiere el párrafo anterior, en función de la situación de las finanzas públicas del Gobierno del Estado y del resultado que arroje el análisis practicado a la capacidad financiera del Municipio, Entidad de la Administración Pública Paraestatal u Órgano Autónomo del Estado solicitante.</w:t>
      </w:r>
    </w:p>
    <w:p w14:paraId="79BB810C" w14:textId="77777777" w:rsidR="00BF5974" w:rsidRDefault="00BF5974" w:rsidP="00BF5974">
      <w:pPr>
        <w:jc w:val="center"/>
        <w:rPr>
          <w:rFonts w:eastAsia="Times New Roman" w:cs="Arial"/>
          <w:b/>
          <w:lang w:val="es-ES"/>
        </w:rPr>
      </w:pPr>
      <w:bookmarkStart w:id="272" w:name="_Toc22021994"/>
      <w:bookmarkStart w:id="273" w:name="_Toc22983239"/>
      <w:r>
        <w:rPr>
          <w:rFonts w:eastAsia="Times New Roman" w:cs="Arial"/>
          <w:b/>
          <w:lang w:val="es-ES"/>
        </w:rPr>
        <w:lastRenderedPageBreak/>
        <w:t xml:space="preserve">CAPÍTULO </w:t>
      </w:r>
      <w:bookmarkEnd w:id="272"/>
      <w:bookmarkEnd w:id="273"/>
      <w:r>
        <w:rPr>
          <w:rFonts w:eastAsia="Times New Roman" w:cs="Arial"/>
          <w:b/>
          <w:lang w:val="es-ES"/>
        </w:rPr>
        <w:t>II</w:t>
      </w:r>
    </w:p>
    <w:p w14:paraId="2952B52D" w14:textId="77777777" w:rsidR="00BF5974" w:rsidRDefault="00BF5974" w:rsidP="00BF5974">
      <w:pPr>
        <w:keepNext/>
        <w:keepLines/>
        <w:jc w:val="center"/>
        <w:outlineLvl w:val="0"/>
        <w:rPr>
          <w:rFonts w:eastAsia="Times New Roman" w:cs="Arial"/>
          <w:b/>
          <w:szCs w:val="32"/>
          <w:lang w:val="es-ES"/>
        </w:rPr>
      </w:pPr>
      <w:bookmarkStart w:id="274" w:name="_Toc22021995"/>
      <w:bookmarkStart w:id="275" w:name="_Toc22983240"/>
      <w:r>
        <w:rPr>
          <w:rFonts w:eastAsia="Times New Roman" w:cs="Arial"/>
          <w:b/>
          <w:szCs w:val="32"/>
          <w:lang w:val="es-ES"/>
        </w:rPr>
        <w:t>DE LAS ADQUISICIONES, ARRENDAMIENTOS Y CONTRATACIÓN DE BIENES, SERVICIOS Y OBRA PÚBLICA</w:t>
      </w:r>
      <w:bookmarkEnd w:id="274"/>
      <w:bookmarkEnd w:id="275"/>
    </w:p>
    <w:p w14:paraId="64FD5716" w14:textId="4713FDF5" w:rsidR="00BF5974" w:rsidRDefault="00BF5974" w:rsidP="00BF5974">
      <w:pPr>
        <w:rPr>
          <w:rFonts w:cs="Arial"/>
          <w:b/>
          <w:lang w:val="es-ES"/>
        </w:rPr>
      </w:pPr>
    </w:p>
    <w:p w14:paraId="650268AF" w14:textId="77777777" w:rsidR="00657B7A" w:rsidRDefault="00657B7A" w:rsidP="00BF5974">
      <w:pPr>
        <w:rPr>
          <w:rFonts w:cs="Arial"/>
          <w:b/>
          <w:lang w:val="es-ES"/>
        </w:rPr>
      </w:pPr>
    </w:p>
    <w:p w14:paraId="6602DBBA" w14:textId="582E9E62" w:rsidR="00BF5974" w:rsidRDefault="00BF5974" w:rsidP="00BF5974">
      <w:pPr>
        <w:rPr>
          <w:rFonts w:cs="Arial"/>
          <w:lang w:val="es-ES"/>
        </w:rPr>
      </w:pPr>
      <w:r>
        <w:rPr>
          <w:rFonts w:cs="Arial"/>
          <w:b/>
          <w:lang w:val="es-ES"/>
        </w:rPr>
        <w:t>Artículo 80</w:t>
      </w:r>
      <w:r>
        <w:rPr>
          <w:rFonts w:cs="Arial"/>
          <w:lang w:val="es-ES"/>
        </w:rPr>
        <w:t>. En apego a lo estipulado en los artículos 28 y 43 de la Ley Estatal de Obras Públicas, los montos máximos de contratación de obra pública serán los siguientes:</w:t>
      </w:r>
    </w:p>
    <w:p w14:paraId="0F7F089F" w14:textId="177A6846" w:rsidR="00657B7A" w:rsidRDefault="00657B7A" w:rsidP="00BF5974">
      <w:pPr>
        <w:rPr>
          <w:rFonts w:cs="Arial"/>
          <w:lang w:val="es-ES"/>
        </w:rPr>
      </w:pPr>
    </w:p>
    <w:tbl>
      <w:tblPr>
        <w:tblStyle w:val="Tablaconcuadrcula"/>
        <w:tblW w:w="0" w:type="auto"/>
        <w:jc w:val="center"/>
        <w:tblLook w:val="04A0" w:firstRow="1" w:lastRow="0" w:firstColumn="1" w:lastColumn="0" w:noHBand="0" w:noVBand="1"/>
      </w:tblPr>
      <w:tblGrid>
        <w:gridCol w:w="3163"/>
        <w:gridCol w:w="1020"/>
        <w:gridCol w:w="1042"/>
        <w:gridCol w:w="1403"/>
        <w:gridCol w:w="1592"/>
      </w:tblGrid>
      <w:tr w:rsidR="00BF5974" w14:paraId="0674E08F" w14:textId="77777777" w:rsidTr="00BF5974">
        <w:trPr>
          <w:trHeight w:val="20"/>
          <w:tblHeader/>
          <w:jc w:val="center"/>
        </w:trPr>
        <w:tc>
          <w:tcPr>
            <w:tcW w:w="8220" w:type="dxa"/>
            <w:gridSpan w:val="5"/>
            <w:tcBorders>
              <w:top w:val="nil"/>
              <w:left w:val="nil"/>
              <w:bottom w:val="single" w:sz="4" w:space="0" w:color="auto"/>
              <w:right w:val="nil"/>
            </w:tcBorders>
            <w:vAlign w:val="center"/>
            <w:hideMark/>
          </w:tcPr>
          <w:p w14:paraId="2304B3DD" w14:textId="77777777" w:rsidR="00BF5974" w:rsidRDefault="00BF5974">
            <w:pPr>
              <w:keepNext/>
              <w:keepLines/>
              <w:jc w:val="center"/>
              <w:outlineLvl w:val="1"/>
              <w:rPr>
                <w:rFonts w:cs="Arial"/>
                <w:b/>
                <w:sz w:val="20"/>
                <w:lang w:val="es-ES" w:eastAsia="en-US"/>
              </w:rPr>
            </w:pPr>
            <w:r>
              <w:rPr>
                <w:rFonts w:eastAsia="Times New Roman" w:cs="Arial"/>
                <w:b/>
                <w:sz w:val="20"/>
                <w:lang w:val="es-ES" w:eastAsia="en-US"/>
              </w:rPr>
              <w:t>Tabla 58. Montos Máximos de Contratación de Obra Pública</w:t>
            </w:r>
          </w:p>
        </w:tc>
      </w:tr>
      <w:tr w:rsidR="00BF5974" w14:paraId="5C273946" w14:textId="77777777" w:rsidTr="00BF5974">
        <w:trPr>
          <w:trHeight w:val="20"/>
          <w:jc w:val="center"/>
        </w:trPr>
        <w:tc>
          <w:tcPr>
            <w:tcW w:w="3163" w:type="dxa"/>
            <w:vMerge w:val="restart"/>
            <w:tcBorders>
              <w:top w:val="single" w:sz="4" w:space="0" w:color="auto"/>
              <w:left w:val="single" w:sz="4" w:space="0" w:color="auto"/>
              <w:bottom w:val="single" w:sz="4" w:space="0" w:color="auto"/>
              <w:right w:val="single" w:sz="4" w:space="0" w:color="auto"/>
            </w:tcBorders>
            <w:vAlign w:val="center"/>
            <w:hideMark/>
          </w:tcPr>
          <w:p w14:paraId="4CD77510" w14:textId="77777777" w:rsidR="00BF5974" w:rsidRDefault="00BF5974">
            <w:pPr>
              <w:jc w:val="center"/>
              <w:rPr>
                <w:rFonts w:cs="Arial"/>
                <w:b/>
                <w:sz w:val="18"/>
                <w:lang w:val="es-ES" w:eastAsia="en-US"/>
              </w:rPr>
            </w:pPr>
            <w:r>
              <w:rPr>
                <w:rFonts w:cs="Arial"/>
                <w:b/>
                <w:sz w:val="18"/>
                <w:lang w:val="es-ES" w:eastAsia="en-US"/>
              </w:rPr>
              <w:t>Modalidad de Contratación</w:t>
            </w:r>
          </w:p>
        </w:tc>
        <w:tc>
          <w:tcPr>
            <w:tcW w:w="2062" w:type="dxa"/>
            <w:gridSpan w:val="2"/>
            <w:tcBorders>
              <w:top w:val="single" w:sz="4" w:space="0" w:color="auto"/>
              <w:left w:val="single" w:sz="4" w:space="0" w:color="auto"/>
              <w:bottom w:val="single" w:sz="4" w:space="0" w:color="auto"/>
              <w:right w:val="single" w:sz="4" w:space="0" w:color="auto"/>
            </w:tcBorders>
            <w:vAlign w:val="center"/>
            <w:hideMark/>
          </w:tcPr>
          <w:p w14:paraId="00B2B99D" w14:textId="77777777" w:rsidR="00BF5974" w:rsidRDefault="00BF5974">
            <w:pPr>
              <w:jc w:val="center"/>
              <w:rPr>
                <w:rFonts w:cs="Arial"/>
                <w:b/>
                <w:sz w:val="18"/>
                <w:lang w:val="es-ES" w:eastAsia="en-US"/>
              </w:rPr>
            </w:pPr>
            <w:r>
              <w:rPr>
                <w:rFonts w:cs="Arial"/>
                <w:b/>
                <w:sz w:val="18"/>
                <w:lang w:val="es-ES" w:eastAsia="en-US"/>
              </w:rPr>
              <w:t xml:space="preserve">En </w:t>
            </w:r>
            <w:proofErr w:type="spellStart"/>
            <w:r>
              <w:rPr>
                <w:rFonts w:cs="Arial"/>
                <w:b/>
                <w:sz w:val="18"/>
                <w:lang w:val="es-ES" w:eastAsia="en-US"/>
              </w:rPr>
              <w:t>UMA´s</w:t>
            </w:r>
            <w:proofErr w:type="spellEnd"/>
          </w:p>
        </w:tc>
        <w:tc>
          <w:tcPr>
            <w:tcW w:w="2995" w:type="dxa"/>
            <w:gridSpan w:val="2"/>
            <w:tcBorders>
              <w:top w:val="single" w:sz="4" w:space="0" w:color="auto"/>
              <w:left w:val="single" w:sz="4" w:space="0" w:color="auto"/>
              <w:bottom w:val="single" w:sz="4" w:space="0" w:color="auto"/>
              <w:right w:val="single" w:sz="4" w:space="0" w:color="auto"/>
            </w:tcBorders>
            <w:vAlign w:val="center"/>
            <w:hideMark/>
          </w:tcPr>
          <w:p w14:paraId="6387647F" w14:textId="77777777" w:rsidR="00BF5974" w:rsidRDefault="00BF5974">
            <w:pPr>
              <w:jc w:val="center"/>
              <w:rPr>
                <w:rFonts w:cs="Arial"/>
                <w:b/>
                <w:sz w:val="18"/>
                <w:lang w:val="es-ES" w:eastAsia="en-US"/>
              </w:rPr>
            </w:pPr>
            <w:r>
              <w:rPr>
                <w:rFonts w:cs="Arial"/>
                <w:b/>
                <w:sz w:val="18"/>
                <w:lang w:val="es-ES" w:eastAsia="en-US"/>
              </w:rPr>
              <w:t>En Pesos</w:t>
            </w:r>
          </w:p>
        </w:tc>
      </w:tr>
      <w:tr w:rsidR="00BF5974" w14:paraId="37137138" w14:textId="77777777" w:rsidTr="00BF597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CD0F44" w14:textId="77777777" w:rsidR="00BF5974" w:rsidRDefault="00BF5974">
            <w:pPr>
              <w:jc w:val="left"/>
              <w:rPr>
                <w:rFonts w:cs="Arial"/>
                <w:b/>
                <w:sz w:val="18"/>
                <w:lang w:val="es-ES" w:eastAsia="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40CF7F91" w14:textId="77777777" w:rsidR="00BF5974" w:rsidRDefault="00BF5974">
            <w:pPr>
              <w:jc w:val="center"/>
              <w:rPr>
                <w:rFonts w:cs="Arial"/>
                <w:sz w:val="18"/>
                <w:lang w:val="es-ES" w:eastAsia="en-US"/>
              </w:rPr>
            </w:pPr>
            <w:r>
              <w:rPr>
                <w:rFonts w:cs="Arial"/>
                <w:sz w:val="18"/>
                <w:lang w:val="es-ES" w:eastAsia="en-US"/>
              </w:rPr>
              <w:t xml:space="preserve">De </w:t>
            </w:r>
          </w:p>
        </w:tc>
        <w:tc>
          <w:tcPr>
            <w:tcW w:w="1042" w:type="dxa"/>
            <w:tcBorders>
              <w:top w:val="single" w:sz="4" w:space="0" w:color="auto"/>
              <w:left w:val="single" w:sz="4" w:space="0" w:color="auto"/>
              <w:bottom w:val="single" w:sz="4" w:space="0" w:color="auto"/>
              <w:right w:val="single" w:sz="4" w:space="0" w:color="auto"/>
            </w:tcBorders>
            <w:vAlign w:val="center"/>
            <w:hideMark/>
          </w:tcPr>
          <w:p w14:paraId="735DABAC" w14:textId="77777777" w:rsidR="00BF5974" w:rsidRDefault="00BF5974">
            <w:pPr>
              <w:jc w:val="center"/>
              <w:rPr>
                <w:rFonts w:cs="Arial"/>
                <w:sz w:val="18"/>
                <w:lang w:val="es-ES" w:eastAsia="en-US"/>
              </w:rPr>
            </w:pPr>
            <w:r>
              <w:rPr>
                <w:rFonts w:cs="Arial"/>
                <w:sz w:val="18"/>
                <w:lang w:val="es-ES" w:eastAsia="en-US"/>
              </w:rPr>
              <w:t>Hasta</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B8FE90E" w14:textId="77777777" w:rsidR="00BF5974" w:rsidRDefault="00BF5974">
            <w:pPr>
              <w:jc w:val="center"/>
              <w:rPr>
                <w:rFonts w:cs="Arial"/>
                <w:sz w:val="18"/>
                <w:lang w:val="es-ES" w:eastAsia="en-US"/>
              </w:rPr>
            </w:pPr>
            <w:r>
              <w:rPr>
                <w:rFonts w:cs="Arial"/>
                <w:sz w:val="18"/>
                <w:lang w:val="es-ES" w:eastAsia="en-US"/>
              </w:rPr>
              <w:t>De</w:t>
            </w:r>
          </w:p>
        </w:tc>
        <w:tc>
          <w:tcPr>
            <w:tcW w:w="1592" w:type="dxa"/>
            <w:tcBorders>
              <w:top w:val="single" w:sz="4" w:space="0" w:color="auto"/>
              <w:left w:val="single" w:sz="4" w:space="0" w:color="auto"/>
              <w:bottom w:val="single" w:sz="4" w:space="0" w:color="auto"/>
              <w:right w:val="single" w:sz="4" w:space="0" w:color="auto"/>
            </w:tcBorders>
            <w:vAlign w:val="center"/>
            <w:hideMark/>
          </w:tcPr>
          <w:p w14:paraId="0AECBCCB" w14:textId="77777777" w:rsidR="00BF5974" w:rsidRDefault="00BF5974">
            <w:pPr>
              <w:jc w:val="center"/>
              <w:rPr>
                <w:rFonts w:cs="Arial"/>
                <w:sz w:val="18"/>
                <w:lang w:val="es-ES" w:eastAsia="en-US"/>
              </w:rPr>
            </w:pPr>
            <w:r>
              <w:rPr>
                <w:rFonts w:cs="Arial"/>
                <w:sz w:val="18"/>
                <w:lang w:val="es-ES" w:eastAsia="en-US"/>
              </w:rPr>
              <w:t>Hasta</w:t>
            </w:r>
          </w:p>
        </w:tc>
      </w:tr>
      <w:tr w:rsidR="00BF5974" w14:paraId="5C829743" w14:textId="77777777" w:rsidTr="00BF5974">
        <w:trPr>
          <w:trHeight w:val="20"/>
          <w:jc w:val="center"/>
        </w:trPr>
        <w:tc>
          <w:tcPr>
            <w:tcW w:w="3163" w:type="dxa"/>
            <w:tcBorders>
              <w:top w:val="single" w:sz="4" w:space="0" w:color="auto"/>
              <w:left w:val="single" w:sz="4" w:space="0" w:color="auto"/>
              <w:bottom w:val="single" w:sz="4" w:space="0" w:color="auto"/>
              <w:right w:val="single" w:sz="4" w:space="0" w:color="auto"/>
            </w:tcBorders>
            <w:vAlign w:val="center"/>
            <w:hideMark/>
          </w:tcPr>
          <w:p w14:paraId="7FEB3107" w14:textId="77777777" w:rsidR="00BF5974" w:rsidRDefault="00BF5974">
            <w:pPr>
              <w:rPr>
                <w:rFonts w:cs="Arial"/>
                <w:sz w:val="18"/>
                <w:lang w:val="es-ES" w:eastAsia="en-US"/>
              </w:rPr>
            </w:pPr>
            <w:r>
              <w:rPr>
                <w:rFonts w:cs="Arial"/>
                <w:sz w:val="18"/>
                <w:lang w:val="es-ES" w:eastAsia="en-US"/>
              </w:rPr>
              <w:t>Adjudicación Directa.</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CC4E8E1" w14:textId="77777777" w:rsidR="00BF5974" w:rsidRDefault="00BF5974">
            <w:pPr>
              <w:jc w:val="right"/>
              <w:rPr>
                <w:rFonts w:cs="Arial"/>
                <w:sz w:val="18"/>
                <w:lang w:val="es-ES" w:eastAsia="en-US"/>
              </w:rPr>
            </w:pPr>
            <w:r>
              <w:rPr>
                <w:rFonts w:cs="Arial"/>
                <w:sz w:val="18"/>
                <w:lang w:val="es-ES" w:eastAsia="en-US"/>
              </w:rPr>
              <w:t>0.00</w:t>
            </w:r>
          </w:p>
        </w:tc>
        <w:tc>
          <w:tcPr>
            <w:tcW w:w="1042" w:type="dxa"/>
            <w:tcBorders>
              <w:top w:val="single" w:sz="4" w:space="0" w:color="auto"/>
              <w:left w:val="single" w:sz="4" w:space="0" w:color="auto"/>
              <w:bottom w:val="single" w:sz="4" w:space="0" w:color="auto"/>
              <w:right w:val="single" w:sz="4" w:space="0" w:color="auto"/>
            </w:tcBorders>
            <w:vAlign w:val="center"/>
            <w:hideMark/>
          </w:tcPr>
          <w:p w14:paraId="2926EC03" w14:textId="77777777" w:rsidR="00BF5974" w:rsidRDefault="00BF5974">
            <w:pPr>
              <w:jc w:val="right"/>
              <w:rPr>
                <w:rFonts w:cs="Arial"/>
                <w:sz w:val="18"/>
                <w:lang w:val="es-ES" w:eastAsia="en-US"/>
              </w:rPr>
            </w:pPr>
            <w:r>
              <w:rPr>
                <w:rFonts w:cs="Arial"/>
                <w:sz w:val="18"/>
                <w:lang w:val="es-ES" w:eastAsia="en-US"/>
              </w:rPr>
              <w:t>10,000.00</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538F4B2" w14:textId="77777777" w:rsidR="00BF5974" w:rsidRDefault="00BF5974">
            <w:pPr>
              <w:jc w:val="right"/>
              <w:rPr>
                <w:rFonts w:cs="Arial"/>
                <w:sz w:val="18"/>
                <w:lang w:val="es-ES" w:eastAsia="en-US"/>
              </w:rPr>
            </w:pPr>
            <w:r>
              <w:rPr>
                <w:rFonts w:cs="Arial"/>
                <w:sz w:val="18"/>
                <w:lang w:val="es-ES" w:eastAsia="en-US"/>
              </w:rPr>
              <w:t>0.00</w:t>
            </w:r>
          </w:p>
        </w:tc>
        <w:tc>
          <w:tcPr>
            <w:tcW w:w="1592" w:type="dxa"/>
            <w:tcBorders>
              <w:top w:val="single" w:sz="4" w:space="0" w:color="auto"/>
              <w:left w:val="single" w:sz="4" w:space="0" w:color="auto"/>
              <w:bottom w:val="single" w:sz="4" w:space="0" w:color="auto"/>
              <w:right w:val="single" w:sz="4" w:space="0" w:color="auto"/>
            </w:tcBorders>
            <w:vAlign w:val="center"/>
            <w:hideMark/>
          </w:tcPr>
          <w:p w14:paraId="0510470E" w14:textId="77777777" w:rsidR="00BF5974" w:rsidRDefault="00BF5974">
            <w:pPr>
              <w:jc w:val="right"/>
              <w:rPr>
                <w:rFonts w:cs="Arial"/>
                <w:sz w:val="18"/>
                <w:lang w:val="es-ES" w:eastAsia="en-US"/>
              </w:rPr>
            </w:pPr>
            <w:r>
              <w:rPr>
                <w:rFonts w:cs="Arial"/>
                <w:sz w:val="18"/>
                <w:lang w:val="es-ES" w:eastAsia="en-US"/>
              </w:rPr>
              <w:t>1,085,700.00</w:t>
            </w:r>
          </w:p>
        </w:tc>
      </w:tr>
      <w:tr w:rsidR="00BF5974" w14:paraId="6135D4B0" w14:textId="77777777" w:rsidTr="00BF5974">
        <w:trPr>
          <w:trHeight w:val="20"/>
          <w:jc w:val="center"/>
        </w:trPr>
        <w:tc>
          <w:tcPr>
            <w:tcW w:w="3163" w:type="dxa"/>
            <w:tcBorders>
              <w:top w:val="single" w:sz="4" w:space="0" w:color="auto"/>
              <w:left w:val="single" w:sz="4" w:space="0" w:color="auto"/>
              <w:bottom w:val="single" w:sz="4" w:space="0" w:color="auto"/>
              <w:right w:val="single" w:sz="4" w:space="0" w:color="auto"/>
            </w:tcBorders>
            <w:vAlign w:val="center"/>
            <w:hideMark/>
          </w:tcPr>
          <w:p w14:paraId="18F1C181" w14:textId="77777777" w:rsidR="00BF5974" w:rsidRDefault="00BF5974">
            <w:pPr>
              <w:jc w:val="left"/>
              <w:rPr>
                <w:rFonts w:cs="Arial"/>
                <w:sz w:val="18"/>
                <w:lang w:val="es-ES" w:eastAsia="en-US"/>
              </w:rPr>
            </w:pPr>
            <w:r>
              <w:rPr>
                <w:rFonts w:cs="Arial"/>
                <w:sz w:val="18"/>
                <w:lang w:val="es-ES" w:eastAsia="en-US"/>
              </w:rPr>
              <w:t>Invitación a cuando menos Tres Personas.</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D993561" w14:textId="77777777" w:rsidR="00BF5974" w:rsidRDefault="00BF5974">
            <w:pPr>
              <w:jc w:val="right"/>
              <w:rPr>
                <w:rFonts w:cs="Arial"/>
                <w:sz w:val="18"/>
                <w:lang w:val="es-ES" w:eastAsia="en-US"/>
              </w:rPr>
            </w:pPr>
            <w:r>
              <w:rPr>
                <w:rFonts w:cs="Arial"/>
                <w:sz w:val="18"/>
                <w:lang w:val="es-ES" w:eastAsia="en-US"/>
              </w:rPr>
              <w:t>10,000.00</w:t>
            </w:r>
          </w:p>
        </w:tc>
        <w:tc>
          <w:tcPr>
            <w:tcW w:w="1042" w:type="dxa"/>
            <w:tcBorders>
              <w:top w:val="single" w:sz="4" w:space="0" w:color="auto"/>
              <w:left w:val="single" w:sz="4" w:space="0" w:color="auto"/>
              <w:bottom w:val="single" w:sz="4" w:space="0" w:color="auto"/>
              <w:right w:val="single" w:sz="4" w:space="0" w:color="auto"/>
            </w:tcBorders>
            <w:vAlign w:val="center"/>
            <w:hideMark/>
          </w:tcPr>
          <w:p w14:paraId="49A1709A" w14:textId="77777777" w:rsidR="00BF5974" w:rsidRDefault="00BF5974">
            <w:pPr>
              <w:jc w:val="right"/>
              <w:rPr>
                <w:rFonts w:cs="Arial"/>
                <w:sz w:val="18"/>
                <w:lang w:val="es-ES" w:eastAsia="en-US"/>
              </w:rPr>
            </w:pPr>
            <w:r>
              <w:rPr>
                <w:rFonts w:cs="Arial"/>
                <w:sz w:val="18"/>
                <w:lang w:val="es-ES" w:eastAsia="en-US"/>
              </w:rPr>
              <w:t>20,000.00</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1699DC9" w14:textId="77777777" w:rsidR="00BF5974" w:rsidRDefault="00BF5974">
            <w:pPr>
              <w:jc w:val="right"/>
              <w:rPr>
                <w:rFonts w:cs="Arial"/>
                <w:sz w:val="18"/>
                <w:lang w:val="es-ES" w:eastAsia="en-US"/>
              </w:rPr>
            </w:pPr>
            <w:r>
              <w:rPr>
                <w:rFonts w:cs="Arial"/>
                <w:sz w:val="18"/>
                <w:lang w:val="es-ES" w:eastAsia="en-US"/>
              </w:rPr>
              <w:t>$1,085,701.00</w:t>
            </w:r>
          </w:p>
        </w:tc>
        <w:tc>
          <w:tcPr>
            <w:tcW w:w="1592" w:type="dxa"/>
            <w:tcBorders>
              <w:top w:val="single" w:sz="4" w:space="0" w:color="auto"/>
              <w:left w:val="single" w:sz="4" w:space="0" w:color="auto"/>
              <w:bottom w:val="single" w:sz="4" w:space="0" w:color="auto"/>
              <w:right w:val="single" w:sz="4" w:space="0" w:color="auto"/>
            </w:tcBorders>
            <w:vAlign w:val="center"/>
            <w:hideMark/>
          </w:tcPr>
          <w:p w14:paraId="5BD6F9B1" w14:textId="77777777" w:rsidR="00BF5974" w:rsidRDefault="00BF5974">
            <w:pPr>
              <w:jc w:val="right"/>
              <w:rPr>
                <w:rFonts w:cs="Arial"/>
                <w:sz w:val="18"/>
                <w:lang w:val="es-ES" w:eastAsia="en-US"/>
              </w:rPr>
            </w:pPr>
            <w:r>
              <w:rPr>
                <w:rFonts w:cs="Arial"/>
                <w:sz w:val="18"/>
                <w:lang w:val="es-ES" w:eastAsia="en-US"/>
              </w:rPr>
              <w:t>2,171,400.00</w:t>
            </w:r>
          </w:p>
        </w:tc>
      </w:tr>
      <w:tr w:rsidR="00BF5974" w14:paraId="14C3C0E1" w14:textId="77777777" w:rsidTr="00BF5974">
        <w:trPr>
          <w:trHeight w:val="20"/>
          <w:jc w:val="center"/>
        </w:trPr>
        <w:tc>
          <w:tcPr>
            <w:tcW w:w="3163" w:type="dxa"/>
            <w:tcBorders>
              <w:top w:val="single" w:sz="4" w:space="0" w:color="auto"/>
              <w:left w:val="single" w:sz="4" w:space="0" w:color="auto"/>
              <w:bottom w:val="single" w:sz="4" w:space="0" w:color="auto"/>
              <w:right w:val="single" w:sz="4" w:space="0" w:color="auto"/>
            </w:tcBorders>
            <w:vAlign w:val="center"/>
            <w:hideMark/>
          </w:tcPr>
          <w:p w14:paraId="692D5886" w14:textId="77777777" w:rsidR="00BF5974" w:rsidRDefault="00BF5974">
            <w:pPr>
              <w:rPr>
                <w:rFonts w:cs="Arial"/>
                <w:sz w:val="18"/>
                <w:lang w:val="es-ES" w:eastAsia="en-US"/>
              </w:rPr>
            </w:pPr>
            <w:r>
              <w:rPr>
                <w:rFonts w:cs="Arial"/>
                <w:sz w:val="18"/>
                <w:lang w:val="es-ES" w:eastAsia="en-US"/>
              </w:rPr>
              <w:t>Licitación Pública.</w:t>
            </w:r>
          </w:p>
        </w:tc>
        <w:tc>
          <w:tcPr>
            <w:tcW w:w="2062" w:type="dxa"/>
            <w:gridSpan w:val="2"/>
            <w:tcBorders>
              <w:top w:val="single" w:sz="4" w:space="0" w:color="auto"/>
              <w:left w:val="single" w:sz="4" w:space="0" w:color="auto"/>
              <w:bottom w:val="single" w:sz="4" w:space="0" w:color="auto"/>
              <w:right w:val="single" w:sz="4" w:space="0" w:color="auto"/>
            </w:tcBorders>
            <w:vAlign w:val="center"/>
            <w:hideMark/>
          </w:tcPr>
          <w:p w14:paraId="0BA9FECD" w14:textId="77777777" w:rsidR="00BF5974" w:rsidRDefault="00BF5974">
            <w:pPr>
              <w:jc w:val="center"/>
              <w:rPr>
                <w:rFonts w:cs="Arial"/>
                <w:sz w:val="18"/>
                <w:lang w:val="es-ES" w:eastAsia="en-US"/>
              </w:rPr>
            </w:pPr>
            <w:r>
              <w:rPr>
                <w:rFonts w:cs="Arial"/>
                <w:sz w:val="18"/>
                <w:lang w:val="es-ES" w:eastAsia="en-US"/>
              </w:rPr>
              <w:t>Mayor a 20,000.00</w:t>
            </w:r>
          </w:p>
        </w:tc>
        <w:tc>
          <w:tcPr>
            <w:tcW w:w="2995" w:type="dxa"/>
            <w:gridSpan w:val="2"/>
            <w:tcBorders>
              <w:top w:val="single" w:sz="4" w:space="0" w:color="auto"/>
              <w:left w:val="single" w:sz="4" w:space="0" w:color="auto"/>
              <w:bottom w:val="single" w:sz="4" w:space="0" w:color="auto"/>
              <w:right w:val="single" w:sz="4" w:space="0" w:color="auto"/>
            </w:tcBorders>
            <w:vAlign w:val="center"/>
            <w:hideMark/>
          </w:tcPr>
          <w:p w14:paraId="13A0A417" w14:textId="77777777" w:rsidR="00BF5974" w:rsidRDefault="00BF5974">
            <w:pPr>
              <w:jc w:val="center"/>
              <w:rPr>
                <w:rFonts w:cs="Arial"/>
                <w:sz w:val="18"/>
                <w:lang w:val="es-ES" w:eastAsia="en-US"/>
              </w:rPr>
            </w:pPr>
            <w:r>
              <w:rPr>
                <w:rFonts w:cs="Arial"/>
                <w:sz w:val="18"/>
                <w:lang w:val="es-ES" w:eastAsia="en-US"/>
              </w:rPr>
              <w:t>Mayor a 2,171,401.00</w:t>
            </w:r>
          </w:p>
        </w:tc>
      </w:tr>
    </w:tbl>
    <w:p w14:paraId="34CB25E5" w14:textId="77777777" w:rsidR="00BF5974" w:rsidRDefault="00BF5974" w:rsidP="00BF5974">
      <w:pPr>
        <w:ind w:left="284" w:right="191"/>
        <w:rPr>
          <w:rFonts w:cs="Arial"/>
          <w:sz w:val="16"/>
        </w:rPr>
      </w:pPr>
      <w:r>
        <w:rPr>
          <w:rFonts w:cs="Arial"/>
          <w:b/>
          <w:sz w:val="16"/>
          <w:lang w:val="es-ES"/>
        </w:rPr>
        <w:t>Nota</w:t>
      </w:r>
      <w:r>
        <w:rPr>
          <w:rFonts w:cs="Arial"/>
          <w:sz w:val="16"/>
          <w:lang w:val="es-ES"/>
        </w:rPr>
        <w:t xml:space="preserve">: El valor de la </w:t>
      </w:r>
      <w:r>
        <w:rPr>
          <w:rFonts w:cs="Arial"/>
          <w:sz w:val="16"/>
        </w:rPr>
        <w:t>Unidades de Medida y Actualización (UMA) a partir del 1 de febrero de 2024 es de 108.57 pesos. Dicho valor corresponde al ejercicio 2024 tiene validez del 1 de febrero de 2024 al 31 de enero de 2025. Los importes no contemplan el Impuesto al Valor Agregado (I.V.A.).</w:t>
      </w:r>
    </w:p>
    <w:p w14:paraId="707997D5" w14:textId="77777777" w:rsidR="00BF5974" w:rsidRDefault="00BF5974" w:rsidP="00BF5974">
      <w:pPr>
        <w:ind w:left="567" w:right="191" w:hanging="425"/>
        <w:rPr>
          <w:rFonts w:cs="Arial"/>
          <w:lang w:val="es-ES"/>
        </w:rPr>
      </w:pPr>
    </w:p>
    <w:p w14:paraId="03C2B7D3" w14:textId="77777777" w:rsidR="00BF5974" w:rsidRDefault="00BF5974" w:rsidP="00BF5974">
      <w:pPr>
        <w:rPr>
          <w:rFonts w:cs="Arial"/>
          <w:lang w:val="es-ES"/>
        </w:rPr>
      </w:pPr>
      <w:r>
        <w:rPr>
          <w:rFonts w:cs="Arial"/>
          <w:lang w:val="es-ES"/>
        </w:rPr>
        <w:t>Cuando se ejecuten programas en los que se ejerzan asignaciones presupuestales federales, se deberán apegar a la normatividad aplicable o a la que se pacte en los Acuerdos o Convenios respectivos.</w:t>
      </w:r>
    </w:p>
    <w:p w14:paraId="6012CD6D" w14:textId="77777777" w:rsidR="00BF5974" w:rsidRDefault="00BF5974" w:rsidP="00BF5974">
      <w:pPr>
        <w:rPr>
          <w:rFonts w:cs="Arial"/>
          <w:lang w:val="es-ES"/>
        </w:rPr>
      </w:pPr>
    </w:p>
    <w:p w14:paraId="4C5FBC24" w14:textId="77777777" w:rsidR="00BF5974" w:rsidRDefault="00BF5974" w:rsidP="00BF5974">
      <w:pPr>
        <w:rPr>
          <w:rFonts w:cs="Arial"/>
          <w:lang w:val="es-ES"/>
        </w:rPr>
      </w:pPr>
      <w:r>
        <w:rPr>
          <w:rFonts w:cs="Arial"/>
          <w:lang w:val="es-ES"/>
        </w:rPr>
        <w:t>Cuando se aplique la normatividad federal en la contratación de obra pública o servicios relacionados con la misma, financiados con cargo a recursos federales convenidos, se estará al rango que determine dicha normativa, conforme al monto de los recursos recibidos en su totalidad por el Estado.</w:t>
      </w:r>
    </w:p>
    <w:p w14:paraId="0FC1A05A" w14:textId="77777777" w:rsidR="00BF5974" w:rsidRDefault="00BF5974" w:rsidP="00BF5974">
      <w:pPr>
        <w:rPr>
          <w:rFonts w:cs="Arial"/>
          <w:lang w:val="es-ES"/>
        </w:rPr>
      </w:pPr>
    </w:p>
    <w:p w14:paraId="1231460F" w14:textId="77777777" w:rsidR="00BF5974" w:rsidRDefault="00BF5974" w:rsidP="00BF5974">
      <w:pPr>
        <w:rPr>
          <w:rFonts w:cs="Arial"/>
          <w:lang w:val="es-ES"/>
        </w:rPr>
      </w:pPr>
      <w:r>
        <w:rPr>
          <w:rFonts w:cs="Arial"/>
          <w:b/>
          <w:lang w:val="es-ES"/>
        </w:rPr>
        <w:t>Artículo 81</w:t>
      </w:r>
      <w:r>
        <w:rPr>
          <w:rFonts w:cs="Arial"/>
          <w:lang w:val="es-ES"/>
        </w:rPr>
        <w:t xml:space="preserve">. En apego a lo establecido en el artículo 20 de la </w:t>
      </w:r>
      <w:r>
        <w:rPr>
          <w:rFonts w:cs="Arial"/>
        </w:rPr>
        <w:t>Ley de Adquisiciones, Arrendamientos y Servicios del Sector Público del Estado de Colima</w:t>
      </w:r>
      <w:r>
        <w:rPr>
          <w:rFonts w:cs="Arial"/>
          <w:lang w:val="es-ES"/>
        </w:rPr>
        <w:t xml:space="preserve">, la planeación, programación, presupuestación y el gasto de las adquisiciones, arrendamientos y servicios se sujetará a las disposiciones específicas del Presupuesto de Egresos que corresponda a cada ente gubernamental, así como a lo previsto en la </w:t>
      </w:r>
      <w:r>
        <w:rPr>
          <w:rFonts w:cs="Arial"/>
        </w:rPr>
        <w:t>Ley de Presupuesto</w:t>
      </w:r>
      <w:r>
        <w:rPr>
          <w:rFonts w:cs="Arial"/>
          <w:lang w:val="es-ES"/>
        </w:rPr>
        <w:t>, la Ley de Disciplina Financiera, y demás disposiciones aplicables.</w:t>
      </w:r>
    </w:p>
    <w:p w14:paraId="07596B1E" w14:textId="77777777" w:rsidR="00BF5974" w:rsidRDefault="00BF5974" w:rsidP="00BF5974">
      <w:pPr>
        <w:rPr>
          <w:rFonts w:cs="Arial"/>
          <w:lang w:val="es-ES"/>
        </w:rPr>
      </w:pPr>
    </w:p>
    <w:p w14:paraId="0C6F242F" w14:textId="77777777" w:rsidR="00BF5974" w:rsidRDefault="00BF5974" w:rsidP="00BF5974">
      <w:pPr>
        <w:rPr>
          <w:rFonts w:cs="Arial"/>
          <w:lang w:val="es-ES"/>
        </w:rPr>
      </w:pPr>
      <w:r>
        <w:rPr>
          <w:rFonts w:cs="Arial"/>
          <w:b/>
          <w:lang w:val="es-ES"/>
        </w:rPr>
        <w:t>Artículo 82</w:t>
      </w:r>
      <w:r>
        <w:rPr>
          <w:rFonts w:cs="Arial"/>
          <w:lang w:val="es-ES"/>
        </w:rPr>
        <w:t>. La</w:t>
      </w:r>
      <w:r>
        <w:rPr>
          <w:rFonts w:eastAsia="Times New Roman" w:cs="Arial"/>
        </w:rPr>
        <w:t xml:space="preserve"> Administración Pública Centralizada y la Administración Pública Paraestatal </w:t>
      </w:r>
      <w:r>
        <w:rPr>
          <w:rFonts w:cs="Arial"/>
          <w:lang w:val="es-ES"/>
        </w:rPr>
        <w:t>podrán convocar, adjudicar o contratar adquisiciones, servicios y arrendamientos solamente cuando se cuente con la autorización global o específica, por parte de la Secretaría, y de los órganos similares en las entidades; en su caso, del presupuesto de inversión y de gasto corriente, conforme a los cuales deberán programarse los pagos respectivos.</w:t>
      </w:r>
    </w:p>
    <w:p w14:paraId="1ECBE117" w14:textId="77777777" w:rsidR="00BF5974" w:rsidRDefault="00BF5974" w:rsidP="00BF5974">
      <w:pPr>
        <w:rPr>
          <w:rFonts w:cs="Arial"/>
          <w:lang w:val="es-ES"/>
        </w:rPr>
      </w:pPr>
    </w:p>
    <w:p w14:paraId="0E86E3CF" w14:textId="77777777" w:rsidR="00BF5974" w:rsidRDefault="00BF5974" w:rsidP="00BF5974">
      <w:pPr>
        <w:rPr>
          <w:rFonts w:cs="Arial"/>
          <w:lang w:val="es-ES"/>
        </w:rPr>
      </w:pPr>
      <w:r>
        <w:rPr>
          <w:rFonts w:cs="Arial"/>
          <w:lang w:val="es-ES"/>
        </w:rPr>
        <w:t xml:space="preserve">En atención a lo dispuesto por el artículo 46 de la </w:t>
      </w:r>
      <w:r>
        <w:rPr>
          <w:rFonts w:cs="Arial"/>
        </w:rPr>
        <w:t>Ley de Adquisiciones, Arrendamientos y Servicios del Sector Público del Estado de Colima</w:t>
      </w:r>
      <w:r>
        <w:rPr>
          <w:rFonts w:cs="Arial"/>
          <w:lang w:val="es-ES"/>
        </w:rPr>
        <w:t xml:space="preserve">, los montos máximos de actuación para </w:t>
      </w:r>
      <w:r>
        <w:rPr>
          <w:rFonts w:cs="Arial"/>
          <w:lang w:val="es-ES"/>
        </w:rPr>
        <w:lastRenderedPageBreak/>
        <w:t xml:space="preserve">adquisiciones en sus modalidades de: Adjudicación Directa, Adjudicación Directa con tres cotizaciones y visto bueno del Comité de Adquisiciones, de Invitación Restringida con participación del Comité de Adquisiciones, y Licitación Pública Nacional; los montos máximos de actuación para adquisiciones a los que deberán sujetarse las </w:t>
      </w:r>
      <w:r>
        <w:rPr>
          <w:rFonts w:eastAsia="Times New Roman" w:cs="Arial"/>
        </w:rPr>
        <w:t>Dependencias de la Administración Pública Centralizada y Entidades de la Administración Pública Paraestatal, serán</w:t>
      </w:r>
      <w:r>
        <w:rPr>
          <w:rFonts w:cs="Arial"/>
          <w:lang w:val="es-ES"/>
        </w:rPr>
        <w:t>:</w:t>
      </w:r>
    </w:p>
    <w:p w14:paraId="67DE355E" w14:textId="77777777" w:rsidR="00BF5974" w:rsidRDefault="00BF5974" w:rsidP="00BF5974">
      <w:pPr>
        <w:keepNext/>
        <w:keepLines/>
        <w:jc w:val="center"/>
        <w:outlineLvl w:val="1"/>
        <w:rPr>
          <w:rFonts w:eastAsia="Times New Roman" w:cs="Arial"/>
          <w:b/>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3795"/>
        <w:gridCol w:w="1983"/>
      </w:tblGrid>
      <w:tr w:rsidR="00BF5974" w14:paraId="1C752466" w14:textId="77777777" w:rsidTr="00BF5974">
        <w:trPr>
          <w:trHeight w:val="283"/>
          <w:tblHeader/>
        </w:trPr>
        <w:tc>
          <w:tcPr>
            <w:tcW w:w="8396" w:type="dxa"/>
            <w:gridSpan w:val="3"/>
            <w:tcBorders>
              <w:top w:val="single" w:sz="4" w:space="0" w:color="auto"/>
              <w:left w:val="single" w:sz="4" w:space="0" w:color="auto"/>
              <w:bottom w:val="single" w:sz="4" w:space="0" w:color="auto"/>
              <w:right w:val="single" w:sz="4" w:space="0" w:color="auto"/>
            </w:tcBorders>
            <w:vAlign w:val="center"/>
            <w:hideMark/>
          </w:tcPr>
          <w:p w14:paraId="52B247B1" w14:textId="77777777" w:rsidR="00BF5974" w:rsidRDefault="00BF5974">
            <w:pPr>
              <w:spacing w:line="256" w:lineRule="auto"/>
              <w:jc w:val="center"/>
              <w:rPr>
                <w:rFonts w:cs="Arial"/>
                <w:b/>
                <w:bCs/>
                <w:sz w:val="20"/>
                <w:lang w:val="es-ES" w:eastAsia="en-US"/>
              </w:rPr>
            </w:pPr>
            <w:bookmarkStart w:id="276" w:name="_Toc22983242"/>
            <w:bookmarkStart w:id="277" w:name="_Toc22021997"/>
            <w:bookmarkStart w:id="278" w:name="_Toc526757532"/>
            <w:bookmarkStart w:id="279" w:name="_Toc522869313"/>
            <w:r>
              <w:rPr>
                <w:rFonts w:eastAsia="Times New Roman" w:cs="Arial"/>
                <w:b/>
                <w:sz w:val="20"/>
                <w:lang w:val="es-ES" w:eastAsia="en-US"/>
              </w:rPr>
              <w:t>Tabla 59. Montos Máximos de Actuación para Adquisiciones</w:t>
            </w:r>
            <w:bookmarkEnd w:id="276"/>
            <w:bookmarkEnd w:id="277"/>
            <w:bookmarkEnd w:id="278"/>
            <w:bookmarkEnd w:id="279"/>
          </w:p>
        </w:tc>
      </w:tr>
      <w:tr w:rsidR="00BF5974" w14:paraId="024C4BE2" w14:textId="77777777" w:rsidTr="00BF5974">
        <w:trPr>
          <w:trHeight w:val="227"/>
        </w:trPr>
        <w:tc>
          <w:tcPr>
            <w:tcW w:w="2618" w:type="dxa"/>
            <w:tcBorders>
              <w:top w:val="single" w:sz="4" w:space="0" w:color="auto"/>
              <w:left w:val="single" w:sz="4" w:space="0" w:color="auto"/>
              <w:bottom w:val="single" w:sz="4" w:space="0" w:color="auto"/>
              <w:right w:val="single" w:sz="4" w:space="0" w:color="auto"/>
            </w:tcBorders>
            <w:vAlign w:val="center"/>
            <w:hideMark/>
          </w:tcPr>
          <w:p w14:paraId="55022163" w14:textId="77777777" w:rsidR="00BF5974" w:rsidRDefault="00BF5974">
            <w:pPr>
              <w:spacing w:line="256" w:lineRule="auto"/>
              <w:jc w:val="center"/>
              <w:rPr>
                <w:rFonts w:cs="Arial"/>
                <w:b/>
                <w:bCs/>
                <w:sz w:val="18"/>
                <w:lang w:val="es-ES" w:eastAsia="en-US"/>
              </w:rPr>
            </w:pPr>
            <w:r>
              <w:rPr>
                <w:rFonts w:cs="Arial"/>
                <w:b/>
                <w:bCs/>
                <w:sz w:val="18"/>
                <w:lang w:val="es-ES" w:eastAsia="en-US"/>
              </w:rPr>
              <w:t>Procedimiento</w:t>
            </w:r>
          </w:p>
        </w:tc>
        <w:tc>
          <w:tcPr>
            <w:tcW w:w="3795" w:type="dxa"/>
            <w:tcBorders>
              <w:top w:val="single" w:sz="4" w:space="0" w:color="auto"/>
              <w:left w:val="single" w:sz="4" w:space="0" w:color="auto"/>
              <w:bottom w:val="single" w:sz="4" w:space="0" w:color="auto"/>
              <w:right w:val="single" w:sz="4" w:space="0" w:color="auto"/>
            </w:tcBorders>
            <w:vAlign w:val="center"/>
            <w:hideMark/>
          </w:tcPr>
          <w:p w14:paraId="4DC7C5FB" w14:textId="77777777" w:rsidR="00BF5974" w:rsidRDefault="00BF5974">
            <w:pPr>
              <w:spacing w:line="256" w:lineRule="auto"/>
              <w:jc w:val="center"/>
              <w:rPr>
                <w:rFonts w:cs="Arial"/>
                <w:b/>
                <w:bCs/>
                <w:sz w:val="18"/>
                <w:lang w:val="es-ES" w:eastAsia="en-US"/>
              </w:rPr>
            </w:pPr>
            <w:r>
              <w:rPr>
                <w:rFonts w:cs="Arial"/>
                <w:b/>
                <w:bCs/>
                <w:sz w:val="18"/>
                <w:lang w:val="es-ES" w:eastAsia="en-US"/>
              </w:rPr>
              <w:t>Hipótesis</w:t>
            </w:r>
          </w:p>
        </w:tc>
        <w:tc>
          <w:tcPr>
            <w:tcW w:w="1983" w:type="dxa"/>
            <w:tcBorders>
              <w:top w:val="single" w:sz="4" w:space="0" w:color="auto"/>
              <w:left w:val="single" w:sz="4" w:space="0" w:color="auto"/>
              <w:bottom w:val="single" w:sz="4" w:space="0" w:color="auto"/>
              <w:right w:val="single" w:sz="4" w:space="0" w:color="auto"/>
            </w:tcBorders>
            <w:noWrap/>
            <w:vAlign w:val="center"/>
            <w:hideMark/>
          </w:tcPr>
          <w:p w14:paraId="0403010F" w14:textId="77777777" w:rsidR="00BF5974" w:rsidRDefault="00BF5974">
            <w:pPr>
              <w:spacing w:line="256" w:lineRule="auto"/>
              <w:jc w:val="center"/>
              <w:rPr>
                <w:rFonts w:cs="Arial"/>
                <w:b/>
                <w:bCs/>
                <w:sz w:val="18"/>
                <w:lang w:val="es-ES" w:eastAsia="en-US"/>
              </w:rPr>
            </w:pPr>
            <w:r>
              <w:rPr>
                <w:rFonts w:cs="Arial"/>
                <w:b/>
                <w:bCs/>
                <w:sz w:val="18"/>
                <w:lang w:val="es-ES" w:eastAsia="en-US"/>
              </w:rPr>
              <w:t>Total</w:t>
            </w:r>
          </w:p>
        </w:tc>
      </w:tr>
      <w:tr w:rsidR="00BF5974" w14:paraId="7E6EF4A1" w14:textId="77777777" w:rsidTr="00BF5974">
        <w:trPr>
          <w:trHeight w:val="227"/>
        </w:trPr>
        <w:tc>
          <w:tcPr>
            <w:tcW w:w="2618" w:type="dxa"/>
            <w:tcBorders>
              <w:top w:val="single" w:sz="4" w:space="0" w:color="auto"/>
              <w:left w:val="single" w:sz="4" w:space="0" w:color="auto"/>
              <w:bottom w:val="single" w:sz="4" w:space="0" w:color="auto"/>
              <w:right w:val="single" w:sz="4" w:space="0" w:color="auto"/>
            </w:tcBorders>
            <w:vAlign w:val="center"/>
            <w:hideMark/>
          </w:tcPr>
          <w:p w14:paraId="4407CFC1" w14:textId="77777777" w:rsidR="00BF5974" w:rsidRDefault="00BF5974">
            <w:pPr>
              <w:spacing w:line="256" w:lineRule="auto"/>
              <w:jc w:val="left"/>
              <w:rPr>
                <w:rFonts w:cs="Arial"/>
                <w:bCs/>
                <w:sz w:val="18"/>
                <w:lang w:val="es-ES" w:eastAsia="en-US"/>
              </w:rPr>
            </w:pPr>
            <w:r>
              <w:rPr>
                <w:rFonts w:cs="Arial"/>
                <w:bCs/>
                <w:sz w:val="18"/>
                <w:lang w:val="es-ES" w:eastAsia="en-US"/>
              </w:rPr>
              <w:t>Adjudicación Directa.</w:t>
            </w:r>
          </w:p>
        </w:tc>
        <w:tc>
          <w:tcPr>
            <w:tcW w:w="3795" w:type="dxa"/>
            <w:tcBorders>
              <w:top w:val="single" w:sz="4" w:space="0" w:color="auto"/>
              <w:left w:val="single" w:sz="4" w:space="0" w:color="auto"/>
              <w:bottom w:val="single" w:sz="4" w:space="0" w:color="auto"/>
              <w:right w:val="single" w:sz="4" w:space="0" w:color="auto"/>
            </w:tcBorders>
            <w:vAlign w:val="center"/>
            <w:hideMark/>
          </w:tcPr>
          <w:p w14:paraId="7AB9F0DC" w14:textId="77777777" w:rsidR="00BF5974" w:rsidRDefault="00BF5974">
            <w:pPr>
              <w:spacing w:line="256" w:lineRule="auto"/>
              <w:jc w:val="left"/>
              <w:rPr>
                <w:rFonts w:cs="Arial"/>
                <w:sz w:val="18"/>
                <w:lang w:val="es-ES" w:eastAsia="en-US"/>
              </w:rPr>
            </w:pPr>
            <w:r>
              <w:rPr>
                <w:rFonts w:cs="Arial"/>
                <w:sz w:val="18"/>
                <w:lang w:val="es-ES" w:eastAsia="en-US"/>
              </w:rPr>
              <w:t>Cuando el monto de la operación no exceda de 100 Unidades de Medida y Actualización.</w:t>
            </w:r>
          </w:p>
        </w:tc>
        <w:tc>
          <w:tcPr>
            <w:tcW w:w="1983" w:type="dxa"/>
            <w:tcBorders>
              <w:top w:val="single" w:sz="4" w:space="0" w:color="auto"/>
              <w:left w:val="single" w:sz="4" w:space="0" w:color="auto"/>
              <w:bottom w:val="single" w:sz="4" w:space="0" w:color="auto"/>
              <w:right w:val="single" w:sz="4" w:space="0" w:color="auto"/>
            </w:tcBorders>
            <w:vAlign w:val="center"/>
            <w:hideMark/>
          </w:tcPr>
          <w:p w14:paraId="4A5A1F48" w14:textId="77777777" w:rsidR="00BF5974" w:rsidRDefault="00BF5974">
            <w:pPr>
              <w:spacing w:line="256" w:lineRule="auto"/>
              <w:jc w:val="center"/>
              <w:rPr>
                <w:rFonts w:cs="Arial"/>
                <w:sz w:val="18"/>
                <w:lang w:val="es-ES" w:eastAsia="en-US"/>
              </w:rPr>
            </w:pPr>
            <w:r>
              <w:rPr>
                <w:rFonts w:cs="Arial"/>
                <w:sz w:val="18"/>
                <w:lang w:val="es-ES" w:eastAsia="en-US"/>
              </w:rPr>
              <w:t>Hasta de 10,857.00 pesos</w:t>
            </w:r>
          </w:p>
        </w:tc>
      </w:tr>
      <w:tr w:rsidR="00BF5974" w14:paraId="7588B20A" w14:textId="77777777" w:rsidTr="00BF5974">
        <w:trPr>
          <w:trHeight w:val="227"/>
        </w:trPr>
        <w:tc>
          <w:tcPr>
            <w:tcW w:w="2618" w:type="dxa"/>
            <w:tcBorders>
              <w:top w:val="single" w:sz="4" w:space="0" w:color="auto"/>
              <w:left w:val="single" w:sz="4" w:space="0" w:color="auto"/>
              <w:bottom w:val="single" w:sz="4" w:space="0" w:color="auto"/>
              <w:right w:val="single" w:sz="4" w:space="0" w:color="auto"/>
            </w:tcBorders>
            <w:vAlign w:val="center"/>
            <w:hideMark/>
          </w:tcPr>
          <w:p w14:paraId="01ABBEC6" w14:textId="77777777" w:rsidR="00BF5974" w:rsidRDefault="00BF5974">
            <w:pPr>
              <w:spacing w:line="256" w:lineRule="auto"/>
              <w:jc w:val="left"/>
              <w:rPr>
                <w:rFonts w:cs="Arial"/>
                <w:bCs/>
                <w:sz w:val="18"/>
                <w:lang w:val="es-ES" w:eastAsia="en-US"/>
              </w:rPr>
            </w:pPr>
            <w:r>
              <w:rPr>
                <w:rFonts w:cs="Arial"/>
                <w:bCs/>
                <w:sz w:val="18"/>
                <w:lang w:val="es-ES" w:eastAsia="en-US"/>
              </w:rPr>
              <w:t>Adjudicación Directa con tres cotizaciones y visto bueno del Comité de Adquisiciones.</w:t>
            </w:r>
          </w:p>
        </w:tc>
        <w:tc>
          <w:tcPr>
            <w:tcW w:w="3795" w:type="dxa"/>
            <w:tcBorders>
              <w:top w:val="single" w:sz="4" w:space="0" w:color="auto"/>
              <w:left w:val="single" w:sz="4" w:space="0" w:color="auto"/>
              <w:bottom w:val="single" w:sz="4" w:space="0" w:color="auto"/>
              <w:right w:val="single" w:sz="4" w:space="0" w:color="auto"/>
            </w:tcBorders>
            <w:vAlign w:val="center"/>
            <w:hideMark/>
          </w:tcPr>
          <w:p w14:paraId="34C27631" w14:textId="77777777" w:rsidR="00BF5974" w:rsidRDefault="00BF5974">
            <w:pPr>
              <w:spacing w:line="256" w:lineRule="auto"/>
              <w:jc w:val="left"/>
              <w:rPr>
                <w:rFonts w:cs="Arial"/>
                <w:sz w:val="18"/>
                <w:lang w:val="es-ES" w:eastAsia="en-US"/>
              </w:rPr>
            </w:pPr>
            <w:r>
              <w:rPr>
                <w:rFonts w:cs="Arial"/>
                <w:sz w:val="18"/>
                <w:lang w:val="es-ES" w:eastAsia="en-US"/>
              </w:rPr>
              <w:t>Cuando el monto de cada operación sea superior a 101 y hasta 850 Unidades de Medida y Actualización.</w:t>
            </w:r>
          </w:p>
        </w:tc>
        <w:tc>
          <w:tcPr>
            <w:tcW w:w="1983" w:type="dxa"/>
            <w:tcBorders>
              <w:top w:val="single" w:sz="4" w:space="0" w:color="auto"/>
              <w:left w:val="single" w:sz="4" w:space="0" w:color="auto"/>
              <w:bottom w:val="single" w:sz="4" w:space="0" w:color="auto"/>
              <w:right w:val="single" w:sz="4" w:space="0" w:color="auto"/>
            </w:tcBorders>
            <w:vAlign w:val="center"/>
            <w:hideMark/>
          </w:tcPr>
          <w:p w14:paraId="233CFB7D" w14:textId="77777777" w:rsidR="00BF5974" w:rsidRDefault="00BF5974">
            <w:pPr>
              <w:spacing w:line="256" w:lineRule="auto"/>
              <w:jc w:val="center"/>
              <w:rPr>
                <w:rFonts w:cs="Arial"/>
                <w:sz w:val="18"/>
                <w:lang w:val="es-ES" w:eastAsia="en-US"/>
              </w:rPr>
            </w:pPr>
            <w:r>
              <w:rPr>
                <w:rFonts w:cs="Arial"/>
                <w:sz w:val="18"/>
                <w:lang w:val="es-ES" w:eastAsia="en-US"/>
              </w:rPr>
              <w:t>De 10,857.01 pesos hasta 92,284.50 pesos</w:t>
            </w:r>
          </w:p>
        </w:tc>
      </w:tr>
      <w:tr w:rsidR="00BF5974" w14:paraId="678C422C" w14:textId="77777777" w:rsidTr="00BF5974">
        <w:trPr>
          <w:trHeight w:val="227"/>
        </w:trPr>
        <w:tc>
          <w:tcPr>
            <w:tcW w:w="2618" w:type="dxa"/>
            <w:tcBorders>
              <w:top w:val="single" w:sz="4" w:space="0" w:color="auto"/>
              <w:left w:val="single" w:sz="4" w:space="0" w:color="auto"/>
              <w:bottom w:val="single" w:sz="4" w:space="0" w:color="auto"/>
              <w:right w:val="single" w:sz="4" w:space="0" w:color="auto"/>
            </w:tcBorders>
            <w:vAlign w:val="center"/>
            <w:hideMark/>
          </w:tcPr>
          <w:p w14:paraId="18231C5A" w14:textId="77777777" w:rsidR="00BF5974" w:rsidRDefault="00BF5974">
            <w:pPr>
              <w:spacing w:line="256" w:lineRule="auto"/>
              <w:jc w:val="left"/>
              <w:rPr>
                <w:rFonts w:cs="Arial"/>
                <w:bCs/>
                <w:sz w:val="18"/>
                <w:lang w:val="es-ES" w:eastAsia="en-US"/>
              </w:rPr>
            </w:pPr>
            <w:r>
              <w:rPr>
                <w:rFonts w:cs="Arial"/>
                <w:bCs/>
                <w:sz w:val="18"/>
                <w:lang w:val="es-ES" w:eastAsia="en-US"/>
              </w:rPr>
              <w:t>Invitación Restringida, con participación del Comité de Adquisiciones correspondiente.</w:t>
            </w:r>
          </w:p>
        </w:tc>
        <w:tc>
          <w:tcPr>
            <w:tcW w:w="3795" w:type="dxa"/>
            <w:tcBorders>
              <w:top w:val="single" w:sz="4" w:space="0" w:color="auto"/>
              <w:left w:val="single" w:sz="4" w:space="0" w:color="auto"/>
              <w:bottom w:val="single" w:sz="4" w:space="0" w:color="auto"/>
              <w:right w:val="single" w:sz="4" w:space="0" w:color="auto"/>
            </w:tcBorders>
            <w:vAlign w:val="center"/>
            <w:hideMark/>
          </w:tcPr>
          <w:p w14:paraId="16035FC5" w14:textId="77777777" w:rsidR="00BF5974" w:rsidRDefault="00BF5974">
            <w:pPr>
              <w:spacing w:line="256" w:lineRule="auto"/>
              <w:jc w:val="left"/>
              <w:rPr>
                <w:rFonts w:cs="Arial"/>
                <w:sz w:val="18"/>
                <w:lang w:val="es-ES" w:eastAsia="en-US"/>
              </w:rPr>
            </w:pPr>
            <w:r>
              <w:rPr>
                <w:rFonts w:cs="Arial"/>
                <w:sz w:val="18"/>
                <w:lang w:val="es-ES" w:eastAsia="en-US"/>
              </w:rPr>
              <w:t>Cuando el monto de cada operación sea superior a 851 y hasta 11,150 Unidades de Medida y Actualización.</w:t>
            </w:r>
          </w:p>
        </w:tc>
        <w:tc>
          <w:tcPr>
            <w:tcW w:w="1983" w:type="dxa"/>
            <w:tcBorders>
              <w:top w:val="single" w:sz="4" w:space="0" w:color="auto"/>
              <w:left w:val="single" w:sz="4" w:space="0" w:color="auto"/>
              <w:bottom w:val="single" w:sz="4" w:space="0" w:color="auto"/>
              <w:right w:val="single" w:sz="4" w:space="0" w:color="auto"/>
            </w:tcBorders>
            <w:vAlign w:val="center"/>
            <w:hideMark/>
          </w:tcPr>
          <w:p w14:paraId="1A7DCF74" w14:textId="77777777" w:rsidR="00BF5974" w:rsidRDefault="00BF5974">
            <w:pPr>
              <w:spacing w:line="256" w:lineRule="auto"/>
              <w:jc w:val="center"/>
              <w:rPr>
                <w:rFonts w:cs="Arial"/>
                <w:sz w:val="18"/>
                <w:lang w:val="es-ES" w:eastAsia="en-US"/>
              </w:rPr>
            </w:pPr>
            <w:r>
              <w:rPr>
                <w:rFonts w:cs="Arial"/>
                <w:sz w:val="18"/>
                <w:lang w:val="es-ES" w:eastAsia="en-US"/>
              </w:rPr>
              <w:t>De 92,284.51 pesos hasta 1,210,555.50 pesos</w:t>
            </w:r>
          </w:p>
        </w:tc>
      </w:tr>
      <w:tr w:rsidR="00BF5974" w14:paraId="13CAD01C" w14:textId="77777777" w:rsidTr="00BF5974">
        <w:trPr>
          <w:trHeight w:val="227"/>
        </w:trPr>
        <w:tc>
          <w:tcPr>
            <w:tcW w:w="2618" w:type="dxa"/>
            <w:tcBorders>
              <w:top w:val="single" w:sz="4" w:space="0" w:color="auto"/>
              <w:left w:val="single" w:sz="4" w:space="0" w:color="auto"/>
              <w:bottom w:val="single" w:sz="4" w:space="0" w:color="auto"/>
              <w:right w:val="single" w:sz="4" w:space="0" w:color="auto"/>
            </w:tcBorders>
            <w:vAlign w:val="center"/>
            <w:hideMark/>
          </w:tcPr>
          <w:p w14:paraId="0AD37232" w14:textId="77777777" w:rsidR="00BF5974" w:rsidRDefault="00BF5974">
            <w:pPr>
              <w:spacing w:line="256" w:lineRule="auto"/>
              <w:jc w:val="left"/>
              <w:rPr>
                <w:rFonts w:cs="Arial"/>
                <w:bCs/>
                <w:sz w:val="18"/>
                <w:lang w:val="es-ES" w:eastAsia="en-US"/>
              </w:rPr>
            </w:pPr>
            <w:r>
              <w:rPr>
                <w:rFonts w:cs="Arial"/>
                <w:bCs/>
                <w:sz w:val="18"/>
                <w:lang w:val="es-ES" w:eastAsia="en-US"/>
              </w:rPr>
              <w:t>Licitación Pública Nacional.</w:t>
            </w:r>
          </w:p>
        </w:tc>
        <w:tc>
          <w:tcPr>
            <w:tcW w:w="3795" w:type="dxa"/>
            <w:tcBorders>
              <w:top w:val="single" w:sz="4" w:space="0" w:color="auto"/>
              <w:left w:val="single" w:sz="4" w:space="0" w:color="auto"/>
              <w:bottom w:val="single" w:sz="4" w:space="0" w:color="auto"/>
              <w:right w:val="single" w:sz="4" w:space="0" w:color="auto"/>
            </w:tcBorders>
            <w:vAlign w:val="center"/>
            <w:hideMark/>
          </w:tcPr>
          <w:p w14:paraId="6CD0A454" w14:textId="77777777" w:rsidR="00BF5974" w:rsidRDefault="00BF5974">
            <w:pPr>
              <w:spacing w:line="256" w:lineRule="auto"/>
              <w:jc w:val="left"/>
              <w:rPr>
                <w:rFonts w:cs="Arial"/>
                <w:sz w:val="18"/>
                <w:lang w:val="es-ES" w:eastAsia="en-US"/>
              </w:rPr>
            </w:pPr>
            <w:r>
              <w:rPr>
                <w:rFonts w:cs="Arial"/>
                <w:sz w:val="18"/>
                <w:lang w:val="es-ES" w:eastAsia="en-US"/>
              </w:rPr>
              <w:t>Superior a 11,150 Unidades de Medida y Actualización.</w:t>
            </w:r>
          </w:p>
        </w:tc>
        <w:tc>
          <w:tcPr>
            <w:tcW w:w="1983" w:type="dxa"/>
            <w:tcBorders>
              <w:top w:val="single" w:sz="4" w:space="0" w:color="auto"/>
              <w:left w:val="single" w:sz="4" w:space="0" w:color="auto"/>
              <w:bottom w:val="single" w:sz="4" w:space="0" w:color="auto"/>
              <w:right w:val="single" w:sz="4" w:space="0" w:color="auto"/>
            </w:tcBorders>
            <w:vAlign w:val="center"/>
            <w:hideMark/>
          </w:tcPr>
          <w:p w14:paraId="1B3D2540" w14:textId="77777777" w:rsidR="00BF5974" w:rsidRDefault="00BF5974">
            <w:pPr>
              <w:spacing w:line="256" w:lineRule="auto"/>
              <w:rPr>
                <w:rFonts w:cs="Arial"/>
                <w:sz w:val="18"/>
                <w:lang w:val="es-ES" w:eastAsia="en-US"/>
              </w:rPr>
            </w:pPr>
            <w:r>
              <w:rPr>
                <w:rFonts w:cs="Arial"/>
                <w:sz w:val="18"/>
                <w:lang w:val="es-ES" w:eastAsia="en-US"/>
              </w:rPr>
              <w:t>A partir 1,210,555.51 pesos</w:t>
            </w:r>
          </w:p>
        </w:tc>
      </w:tr>
    </w:tbl>
    <w:p w14:paraId="669E7D10" w14:textId="77777777" w:rsidR="00BF5974" w:rsidRDefault="00BF5974" w:rsidP="00BF5974">
      <w:pPr>
        <w:ind w:left="142" w:right="191"/>
        <w:rPr>
          <w:rFonts w:cs="Arial"/>
          <w:sz w:val="16"/>
          <w:lang w:val="es-ES"/>
        </w:rPr>
      </w:pPr>
      <w:r>
        <w:rPr>
          <w:rFonts w:cs="Arial"/>
          <w:b/>
          <w:sz w:val="16"/>
          <w:lang w:val="es-ES"/>
        </w:rPr>
        <w:t>Nota</w:t>
      </w:r>
      <w:r>
        <w:rPr>
          <w:rFonts w:cs="Arial"/>
          <w:sz w:val="16"/>
          <w:lang w:val="es-ES"/>
        </w:rPr>
        <w:t xml:space="preserve">: El valor de la </w:t>
      </w:r>
      <w:r>
        <w:rPr>
          <w:rFonts w:cs="Arial"/>
          <w:sz w:val="16"/>
        </w:rPr>
        <w:t>Unidades de Medida y Actualización (UMA) corresponde a 2024, que es de 108.57 pesos valor diario. Dicho valor corresponde al ejercicio 2024 tiene validez del 1 de febrero de 2024 al 31 de enero de 2025. Esta tabla se deberá actualizar con base en el valor de la UMA para 2025.</w:t>
      </w:r>
    </w:p>
    <w:p w14:paraId="6930C62C" w14:textId="77777777" w:rsidR="00BF5974" w:rsidRDefault="00BF5974" w:rsidP="00BF5974">
      <w:pPr>
        <w:rPr>
          <w:rFonts w:cs="Arial"/>
          <w:b/>
          <w:lang w:val="es-ES"/>
        </w:rPr>
      </w:pPr>
    </w:p>
    <w:p w14:paraId="0F2F6D64" w14:textId="77777777" w:rsidR="00BF5974" w:rsidRDefault="00BF5974" w:rsidP="00BF5974">
      <w:pPr>
        <w:rPr>
          <w:rFonts w:cs="Arial"/>
          <w:lang w:val="es-ES"/>
        </w:rPr>
      </w:pPr>
      <w:r>
        <w:rPr>
          <w:rFonts w:cs="Arial"/>
          <w:b/>
          <w:lang w:val="es-ES"/>
        </w:rPr>
        <w:t>Artículo 83</w:t>
      </w:r>
      <w:r>
        <w:rPr>
          <w:rFonts w:cs="Arial"/>
          <w:lang w:val="es-ES"/>
        </w:rPr>
        <w:t xml:space="preserve">. Las operaciones de adquisiciones, arrendamientos y contratación de servicios que realicen los Entes Públicos, se llevarán a cabo con estricto apego a las disposiciones previstas en la </w:t>
      </w:r>
      <w:r>
        <w:rPr>
          <w:rFonts w:cs="Arial"/>
        </w:rPr>
        <w:t>Ley de Adquisiciones, Arrendamientos y Servicios del Sector Público del Estado de Colima</w:t>
      </w:r>
      <w:r>
        <w:rPr>
          <w:rFonts w:cs="Arial"/>
          <w:lang w:val="es-ES"/>
        </w:rPr>
        <w:t>.</w:t>
      </w:r>
    </w:p>
    <w:p w14:paraId="29843BEB" w14:textId="77777777" w:rsidR="00BF5974" w:rsidRDefault="00BF5974" w:rsidP="00BF5974">
      <w:pPr>
        <w:rPr>
          <w:rFonts w:cs="Arial"/>
          <w:lang w:val="es-ES"/>
        </w:rPr>
      </w:pPr>
    </w:p>
    <w:p w14:paraId="50FB6EC0" w14:textId="1BBCB586" w:rsidR="00BF5974" w:rsidRDefault="00BF5974" w:rsidP="00BF5974">
      <w:pPr>
        <w:rPr>
          <w:rFonts w:cs="Arial"/>
          <w:lang w:val="es-ES"/>
        </w:rPr>
      </w:pPr>
      <w:r>
        <w:rPr>
          <w:rFonts w:cs="Arial"/>
          <w:lang w:val="es-ES"/>
        </w:rPr>
        <w:t>Cuando en las operaciones referidas se ejerzan recursos federales, se deberá estar a la normatividad aplicable o a la que se pacte en los convenios o instrumentos jurídicos respectivos.</w:t>
      </w:r>
    </w:p>
    <w:p w14:paraId="318C9F30" w14:textId="77777777" w:rsidR="00972897" w:rsidRDefault="00972897" w:rsidP="00BF5974">
      <w:pPr>
        <w:rPr>
          <w:rFonts w:cs="Arial"/>
          <w:lang w:val="es-ES"/>
        </w:rPr>
      </w:pPr>
    </w:p>
    <w:p w14:paraId="58D4A76C" w14:textId="77777777" w:rsidR="00BF5974" w:rsidRDefault="00BF5974" w:rsidP="00BF5974">
      <w:pPr>
        <w:rPr>
          <w:rFonts w:cs="Arial"/>
          <w:lang w:val="es-ES"/>
        </w:rPr>
      </w:pPr>
    </w:p>
    <w:p w14:paraId="7127B4BF" w14:textId="77777777" w:rsidR="00BF5974" w:rsidRDefault="00BF5974" w:rsidP="00BF5974">
      <w:pPr>
        <w:keepNext/>
        <w:keepLines/>
        <w:ind w:left="708" w:hanging="708"/>
        <w:jc w:val="center"/>
        <w:outlineLvl w:val="0"/>
        <w:rPr>
          <w:rFonts w:eastAsia="Times New Roman" w:cs="Arial"/>
          <w:b/>
          <w:lang w:val="es-ES"/>
        </w:rPr>
      </w:pPr>
      <w:bookmarkStart w:id="280" w:name="_Toc522869314"/>
      <w:bookmarkStart w:id="281" w:name="_Toc526757533"/>
      <w:bookmarkStart w:id="282" w:name="_Toc22021998"/>
      <w:bookmarkStart w:id="283" w:name="_Toc22983243"/>
      <w:bookmarkStart w:id="284" w:name="_Toc465292961"/>
      <w:bookmarkStart w:id="285" w:name="_Toc465292889"/>
      <w:r>
        <w:rPr>
          <w:rFonts w:eastAsia="Times New Roman" w:cs="Arial"/>
          <w:b/>
          <w:lang w:val="es-ES"/>
        </w:rPr>
        <w:t>TÍTULO CUARTO</w:t>
      </w:r>
      <w:bookmarkEnd w:id="280"/>
      <w:bookmarkEnd w:id="281"/>
      <w:bookmarkEnd w:id="282"/>
      <w:bookmarkEnd w:id="283"/>
    </w:p>
    <w:p w14:paraId="1B4DED6A" w14:textId="77777777" w:rsidR="00BF5974" w:rsidRDefault="00BF5974" w:rsidP="00BF5974">
      <w:pPr>
        <w:keepNext/>
        <w:keepLines/>
        <w:jc w:val="center"/>
        <w:outlineLvl w:val="0"/>
        <w:rPr>
          <w:rFonts w:eastAsia="Times New Roman" w:cs="Arial"/>
          <w:b/>
          <w:szCs w:val="32"/>
          <w:lang w:val="es-ES"/>
        </w:rPr>
      </w:pPr>
      <w:bookmarkStart w:id="286" w:name="_Toc522869315"/>
      <w:bookmarkStart w:id="287" w:name="_Toc526757534"/>
      <w:bookmarkStart w:id="288" w:name="_Toc22021999"/>
      <w:bookmarkStart w:id="289" w:name="_Toc22983244"/>
      <w:r>
        <w:rPr>
          <w:rFonts w:eastAsia="Times New Roman" w:cs="Arial"/>
          <w:b/>
          <w:szCs w:val="32"/>
          <w:lang w:val="es-ES"/>
        </w:rPr>
        <w:t>DEL PRESUPUESTO BASADO EN RESULTADOS</w:t>
      </w:r>
      <w:bookmarkEnd w:id="284"/>
      <w:bookmarkEnd w:id="285"/>
      <w:bookmarkEnd w:id="286"/>
      <w:bookmarkEnd w:id="287"/>
      <w:bookmarkEnd w:id="288"/>
      <w:bookmarkEnd w:id="289"/>
    </w:p>
    <w:p w14:paraId="1799AFE3" w14:textId="77777777" w:rsidR="00BF5974" w:rsidRDefault="00BF5974" w:rsidP="00BF5974">
      <w:pPr>
        <w:jc w:val="center"/>
        <w:rPr>
          <w:rFonts w:eastAsia="Times New Roman" w:cs="Arial"/>
          <w:b/>
          <w:lang w:val="es-ES"/>
        </w:rPr>
      </w:pPr>
      <w:bookmarkStart w:id="290" w:name="_Toc522869316"/>
      <w:bookmarkStart w:id="291" w:name="_Toc526757535"/>
      <w:bookmarkStart w:id="292" w:name="_Toc22022000"/>
      <w:bookmarkStart w:id="293" w:name="_Toc22983245"/>
      <w:bookmarkStart w:id="294" w:name="_Toc465292962"/>
      <w:bookmarkStart w:id="295" w:name="_Toc465292890"/>
      <w:r>
        <w:rPr>
          <w:rFonts w:eastAsia="Times New Roman" w:cs="Arial"/>
          <w:b/>
          <w:lang w:val="es-ES"/>
        </w:rPr>
        <w:t>CAPÍTULO</w:t>
      </w:r>
      <w:bookmarkEnd w:id="290"/>
      <w:bookmarkEnd w:id="291"/>
      <w:bookmarkEnd w:id="292"/>
      <w:bookmarkEnd w:id="293"/>
      <w:r>
        <w:rPr>
          <w:rFonts w:eastAsia="Times New Roman" w:cs="Arial"/>
          <w:b/>
          <w:lang w:val="es-ES"/>
        </w:rPr>
        <w:t xml:space="preserve"> I</w:t>
      </w:r>
    </w:p>
    <w:p w14:paraId="7DFD49AA" w14:textId="77777777" w:rsidR="00BF5974" w:rsidRDefault="00BF5974" w:rsidP="00BF5974">
      <w:pPr>
        <w:jc w:val="center"/>
        <w:rPr>
          <w:rFonts w:eastAsia="Times New Roman" w:cs="Arial"/>
          <w:b/>
          <w:lang w:val="es-ES"/>
        </w:rPr>
      </w:pPr>
      <w:bookmarkStart w:id="296" w:name="_Toc522869317"/>
      <w:bookmarkStart w:id="297" w:name="_Toc526757536"/>
      <w:bookmarkStart w:id="298" w:name="_Toc22022001"/>
      <w:bookmarkStart w:id="299" w:name="_Toc22983246"/>
      <w:r>
        <w:rPr>
          <w:rFonts w:eastAsia="Times New Roman" w:cs="Arial"/>
          <w:b/>
          <w:lang w:val="es-ES"/>
        </w:rPr>
        <w:t>DISPOSICIONES GENERALES</w:t>
      </w:r>
      <w:bookmarkEnd w:id="294"/>
      <w:bookmarkEnd w:id="295"/>
      <w:bookmarkEnd w:id="296"/>
      <w:bookmarkEnd w:id="297"/>
      <w:bookmarkEnd w:id="298"/>
      <w:bookmarkEnd w:id="299"/>
    </w:p>
    <w:p w14:paraId="78FFF36B" w14:textId="77777777" w:rsidR="00BF5974" w:rsidRDefault="00BF5974" w:rsidP="00BF5974">
      <w:pPr>
        <w:jc w:val="center"/>
        <w:rPr>
          <w:rFonts w:cs="Arial"/>
          <w:b/>
          <w:bCs/>
        </w:rPr>
      </w:pPr>
    </w:p>
    <w:p w14:paraId="0E2A4909" w14:textId="77777777" w:rsidR="00BF5974" w:rsidRDefault="00BF5974" w:rsidP="00BF5974">
      <w:pPr>
        <w:rPr>
          <w:rFonts w:cs="Arial"/>
        </w:rPr>
      </w:pPr>
      <w:r>
        <w:rPr>
          <w:rFonts w:cs="Arial"/>
          <w:b/>
          <w:bCs/>
        </w:rPr>
        <w:t xml:space="preserve">Artículo 84. </w:t>
      </w:r>
      <w:r>
        <w:rPr>
          <w:rFonts w:cs="Arial"/>
        </w:rPr>
        <w:t>El Presupuesto de Egresos para el Ejercicio Fiscal 2025 está orientado a satisfacer las necesidades sociales de interés colectivo, atendiendo a las prioridades y se distribuye de la siguiente manera: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5032"/>
        <w:gridCol w:w="2032"/>
      </w:tblGrid>
      <w:tr w:rsidR="00BF5974" w14:paraId="47799ACD" w14:textId="77777777" w:rsidTr="00BF5974">
        <w:trPr>
          <w:trHeight w:val="227"/>
          <w:tblHeader/>
          <w:jc w:val="center"/>
        </w:trPr>
        <w:tc>
          <w:tcPr>
            <w:tcW w:w="7561" w:type="dxa"/>
            <w:gridSpan w:val="3"/>
            <w:tcBorders>
              <w:top w:val="nil"/>
              <w:left w:val="nil"/>
              <w:bottom w:val="single" w:sz="4" w:space="0" w:color="auto"/>
              <w:right w:val="nil"/>
            </w:tcBorders>
            <w:vAlign w:val="center"/>
            <w:hideMark/>
          </w:tcPr>
          <w:p w14:paraId="518070F0" w14:textId="77777777" w:rsidR="00BF5974" w:rsidRDefault="00BF5974">
            <w:pPr>
              <w:spacing w:line="256" w:lineRule="auto"/>
              <w:jc w:val="center"/>
              <w:rPr>
                <w:rFonts w:cs="Arial"/>
                <w:b/>
                <w:sz w:val="20"/>
                <w:szCs w:val="20"/>
                <w:lang w:val="es-ES" w:eastAsia="en-US"/>
              </w:rPr>
            </w:pPr>
            <w:bookmarkStart w:id="300" w:name="_Toc22022002"/>
            <w:bookmarkStart w:id="301" w:name="_Toc526757537"/>
            <w:bookmarkStart w:id="302" w:name="_Toc522869318"/>
            <w:r>
              <w:rPr>
                <w:rFonts w:eastAsia="Times New Roman" w:cs="Arial"/>
                <w:b/>
                <w:sz w:val="20"/>
                <w:szCs w:val="20"/>
                <w:lang w:val="es-ES" w:eastAsia="en-US"/>
              </w:rPr>
              <w:lastRenderedPageBreak/>
              <w:t xml:space="preserve">Tabla 60. Ejes Estratégicos </w:t>
            </w:r>
            <w:bookmarkEnd w:id="300"/>
            <w:bookmarkEnd w:id="301"/>
            <w:bookmarkEnd w:id="302"/>
          </w:p>
        </w:tc>
      </w:tr>
      <w:tr w:rsidR="00BF5974" w14:paraId="11F1DD5A" w14:textId="77777777" w:rsidTr="00BF5974">
        <w:trPr>
          <w:trHeight w:val="227"/>
          <w:tblHeader/>
          <w:jc w:val="center"/>
        </w:trPr>
        <w:tc>
          <w:tcPr>
            <w:tcW w:w="497" w:type="dxa"/>
            <w:tcBorders>
              <w:top w:val="single" w:sz="4" w:space="0" w:color="auto"/>
              <w:left w:val="single" w:sz="4" w:space="0" w:color="auto"/>
              <w:bottom w:val="single" w:sz="4" w:space="0" w:color="auto"/>
              <w:right w:val="single" w:sz="4" w:space="0" w:color="auto"/>
            </w:tcBorders>
            <w:vAlign w:val="center"/>
          </w:tcPr>
          <w:p w14:paraId="1F348EBB" w14:textId="77777777" w:rsidR="00BF5974" w:rsidRDefault="00BF5974">
            <w:pPr>
              <w:spacing w:line="256" w:lineRule="auto"/>
              <w:jc w:val="center"/>
              <w:rPr>
                <w:rFonts w:cs="Arial"/>
                <w:b/>
                <w:sz w:val="20"/>
                <w:szCs w:val="20"/>
                <w:lang w:val="es-ES" w:eastAsia="en-US"/>
              </w:rPr>
            </w:pPr>
          </w:p>
        </w:tc>
        <w:tc>
          <w:tcPr>
            <w:tcW w:w="5032" w:type="dxa"/>
            <w:tcBorders>
              <w:top w:val="single" w:sz="4" w:space="0" w:color="auto"/>
              <w:left w:val="single" w:sz="4" w:space="0" w:color="auto"/>
              <w:bottom w:val="single" w:sz="4" w:space="0" w:color="auto"/>
              <w:right w:val="single" w:sz="4" w:space="0" w:color="auto"/>
            </w:tcBorders>
            <w:vAlign w:val="center"/>
            <w:hideMark/>
          </w:tcPr>
          <w:p w14:paraId="3E5450C2" w14:textId="77777777" w:rsidR="00BF5974" w:rsidRDefault="00BF5974">
            <w:pPr>
              <w:spacing w:line="256" w:lineRule="auto"/>
              <w:jc w:val="center"/>
              <w:rPr>
                <w:rFonts w:cs="Arial"/>
                <w:b/>
                <w:sz w:val="20"/>
                <w:szCs w:val="20"/>
                <w:lang w:val="es-ES" w:eastAsia="en-US"/>
              </w:rPr>
            </w:pPr>
            <w:r>
              <w:rPr>
                <w:rFonts w:cs="Arial"/>
                <w:b/>
                <w:sz w:val="20"/>
                <w:szCs w:val="20"/>
                <w:lang w:val="es-ES" w:eastAsia="en-US"/>
              </w:rPr>
              <w:t>Eje de Política del Plan Estatal</w:t>
            </w:r>
          </w:p>
        </w:tc>
        <w:tc>
          <w:tcPr>
            <w:tcW w:w="2032" w:type="dxa"/>
            <w:tcBorders>
              <w:top w:val="single" w:sz="4" w:space="0" w:color="auto"/>
              <w:left w:val="single" w:sz="4" w:space="0" w:color="auto"/>
              <w:bottom w:val="single" w:sz="4" w:space="0" w:color="auto"/>
              <w:right w:val="single" w:sz="4" w:space="0" w:color="auto"/>
            </w:tcBorders>
            <w:vAlign w:val="center"/>
            <w:hideMark/>
          </w:tcPr>
          <w:p w14:paraId="43AAFE7D" w14:textId="77777777" w:rsidR="00BF5974" w:rsidRDefault="00BF5974">
            <w:pPr>
              <w:spacing w:line="256" w:lineRule="auto"/>
              <w:jc w:val="center"/>
              <w:rPr>
                <w:rFonts w:cs="Arial"/>
                <w:b/>
                <w:sz w:val="20"/>
                <w:szCs w:val="20"/>
                <w:lang w:val="es-ES" w:eastAsia="en-US"/>
              </w:rPr>
            </w:pPr>
            <w:r>
              <w:rPr>
                <w:rFonts w:cs="Arial"/>
                <w:b/>
                <w:sz w:val="20"/>
                <w:szCs w:val="20"/>
                <w:lang w:val="es-ES" w:eastAsia="en-US"/>
              </w:rPr>
              <w:t>Asignación Presupuestal</w:t>
            </w:r>
          </w:p>
        </w:tc>
      </w:tr>
      <w:tr w:rsidR="00A41077" w14:paraId="57969C47" w14:textId="77777777" w:rsidTr="00BF5974">
        <w:trPr>
          <w:trHeight w:val="227"/>
          <w:jc w:val="center"/>
        </w:trPr>
        <w:tc>
          <w:tcPr>
            <w:tcW w:w="497" w:type="dxa"/>
            <w:tcBorders>
              <w:top w:val="single" w:sz="4" w:space="0" w:color="auto"/>
              <w:left w:val="single" w:sz="4" w:space="0" w:color="auto"/>
              <w:bottom w:val="single" w:sz="4" w:space="0" w:color="auto"/>
              <w:right w:val="single" w:sz="4" w:space="0" w:color="auto"/>
            </w:tcBorders>
            <w:hideMark/>
          </w:tcPr>
          <w:p w14:paraId="06C5744E" w14:textId="77777777" w:rsidR="00A41077" w:rsidRDefault="00A41077" w:rsidP="00A41077">
            <w:pPr>
              <w:spacing w:line="256" w:lineRule="auto"/>
              <w:jc w:val="center"/>
              <w:rPr>
                <w:rFonts w:cs="Arial"/>
                <w:sz w:val="20"/>
                <w:szCs w:val="20"/>
                <w:lang w:val="es-ES" w:eastAsia="en-US"/>
              </w:rPr>
            </w:pPr>
            <w:r>
              <w:rPr>
                <w:sz w:val="20"/>
                <w:szCs w:val="20"/>
                <w:lang w:val="es-ES" w:eastAsia="en-US"/>
              </w:rPr>
              <w:t>1</w:t>
            </w:r>
          </w:p>
        </w:tc>
        <w:tc>
          <w:tcPr>
            <w:tcW w:w="5032" w:type="dxa"/>
            <w:tcBorders>
              <w:top w:val="single" w:sz="4" w:space="0" w:color="auto"/>
              <w:left w:val="single" w:sz="4" w:space="0" w:color="auto"/>
              <w:bottom w:val="single" w:sz="4" w:space="0" w:color="auto"/>
              <w:right w:val="single" w:sz="4" w:space="0" w:color="auto"/>
            </w:tcBorders>
            <w:hideMark/>
          </w:tcPr>
          <w:p w14:paraId="600B8710" w14:textId="77777777" w:rsidR="00A41077" w:rsidRDefault="00A41077" w:rsidP="00A41077">
            <w:pPr>
              <w:spacing w:line="256" w:lineRule="auto"/>
              <w:rPr>
                <w:rFonts w:cs="Arial"/>
                <w:sz w:val="20"/>
                <w:szCs w:val="20"/>
                <w:lang w:val="es-ES" w:eastAsia="en-US"/>
              </w:rPr>
            </w:pPr>
            <w:r>
              <w:rPr>
                <w:sz w:val="20"/>
                <w:szCs w:val="20"/>
                <w:lang w:val="es-ES" w:eastAsia="en-US"/>
              </w:rPr>
              <w:t>Bienestar para Todas y Todos.</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5494987" w14:textId="5243B94A" w:rsidR="00A41077" w:rsidRDefault="00A41077" w:rsidP="00A41077">
            <w:pPr>
              <w:spacing w:line="256" w:lineRule="auto"/>
              <w:jc w:val="right"/>
              <w:rPr>
                <w:rFonts w:cs="Arial"/>
                <w:sz w:val="20"/>
                <w:szCs w:val="20"/>
                <w:lang w:val="es-ES" w:eastAsia="en-US"/>
              </w:rPr>
            </w:pPr>
            <w:r>
              <w:rPr>
                <w:rFonts w:cs="Arial"/>
                <w:color w:val="000000"/>
                <w:sz w:val="20"/>
                <w:szCs w:val="20"/>
              </w:rPr>
              <w:t xml:space="preserve">         7,180,339,882 </w:t>
            </w:r>
          </w:p>
        </w:tc>
      </w:tr>
      <w:tr w:rsidR="00A41077" w14:paraId="6B8CCA03" w14:textId="77777777" w:rsidTr="00BF5974">
        <w:trPr>
          <w:trHeight w:val="227"/>
          <w:jc w:val="center"/>
        </w:trPr>
        <w:tc>
          <w:tcPr>
            <w:tcW w:w="497" w:type="dxa"/>
            <w:tcBorders>
              <w:top w:val="single" w:sz="4" w:space="0" w:color="auto"/>
              <w:left w:val="single" w:sz="4" w:space="0" w:color="auto"/>
              <w:bottom w:val="single" w:sz="4" w:space="0" w:color="auto"/>
              <w:right w:val="single" w:sz="4" w:space="0" w:color="auto"/>
            </w:tcBorders>
            <w:hideMark/>
          </w:tcPr>
          <w:p w14:paraId="47F640A3" w14:textId="77777777" w:rsidR="00A41077" w:rsidRDefault="00A41077" w:rsidP="00A41077">
            <w:pPr>
              <w:spacing w:line="256" w:lineRule="auto"/>
              <w:jc w:val="center"/>
              <w:rPr>
                <w:rFonts w:cs="Arial"/>
                <w:sz w:val="20"/>
                <w:szCs w:val="20"/>
                <w:lang w:val="es-ES" w:eastAsia="en-US"/>
              </w:rPr>
            </w:pPr>
            <w:r>
              <w:rPr>
                <w:sz w:val="20"/>
                <w:szCs w:val="20"/>
                <w:lang w:val="es-ES" w:eastAsia="en-US"/>
              </w:rPr>
              <w:t>2</w:t>
            </w:r>
          </w:p>
        </w:tc>
        <w:tc>
          <w:tcPr>
            <w:tcW w:w="5032" w:type="dxa"/>
            <w:tcBorders>
              <w:top w:val="single" w:sz="4" w:space="0" w:color="auto"/>
              <w:left w:val="single" w:sz="4" w:space="0" w:color="auto"/>
              <w:bottom w:val="single" w:sz="4" w:space="0" w:color="auto"/>
              <w:right w:val="single" w:sz="4" w:space="0" w:color="auto"/>
            </w:tcBorders>
            <w:hideMark/>
          </w:tcPr>
          <w:p w14:paraId="4D1A75D2" w14:textId="77777777" w:rsidR="00A41077" w:rsidRDefault="00A41077" w:rsidP="00A41077">
            <w:pPr>
              <w:spacing w:line="256" w:lineRule="auto"/>
              <w:rPr>
                <w:rFonts w:cs="Arial"/>
                <w:sz w:val="20"/>
                <w:szCs w:val="20"/>
                <w:lang w:val="es-ES" w:eastAsia="en-US"/>
              </w:rPr>
            </w:pPr>
            <w:r>
              <w:rPr>
                <w:sz w:val="20"/>
                <w:szCs w:val="20"/>
                <w:lang w:val="es-ES" w:eastAsia="en-US"/>
              </w:rPr>
              <w:t>Economía para el Bienestar.</w:t>
            </w:r>
          </w:p>
        </w:tc>
        <w:tc>
          <w:tcPr>
            <w:tcW w:w="2032" w:type="dxa"/>
            <w:tcBorders>
              <w:top w:val="single" w:sz="4" w:space="0" w:color="auto"/>
              <w:left w:val="single" w:sz="4" w:space="0" w:color="auto"/>
              <w:bottom w:val="single" w:sz="4" w:space="0" w:color="auto"/>
              <w:right w:val="single" w:sz="4" w:space="0" w:color="auto"/>
            </w:tcBorders>
            <w:vAlign w:val="center"/>
            <w:hideMark/>
          </w:tcPr>
          <w:p w14:paraId="0B26D382" w14:textId="1F1C31CB" w:rsidR="00A41077" w:rsidRDefault="00A41077" w:rsidP="00A41077">
            <w:pPr>
              <w:spacing w:line="256" w:lineRule="auto"/>
              <w:jc w:val="right"/>
              <w:rPr>
                <w:rFonts w:cs="Arial"/>
                <w:sz w:val="20"/>
                <w:szCs w:val="20"/>
                <w:lang w:val="es-ES" w:eastAsia="en-US"/>
              </w:rPr>
            </w:pPr>
            <w:r>
              <w:rPr>
                <w:rFonts w:cs="Arial"/>
                <w:color w:val="000000"/>
                <w:sz w:val="20"/>
                <w:szCs w:val="20"/>
              </w:rPr>
              <w:t xml:space="preserve">            273,455,660 </w:t>
            </w:r>
          </w:p>
        </w:tc>
      </w:tr>
      <w:tr w:rsidR="00A41077" w14:paraId="5B53C8DE" w14:textId="77777777" w:rsidTr="00BF5974">
        <w:trPr>
          <w:trHeight w:val="227"/>
          <w:jc w:val="center"/>
        </w:trPr>
        <w:tc>
          <w:tcPr>
            <w:tcW w:w="497" w:type="dxa"/>
            <w:tcBorders>
              <w:top w:val="single" w:sz="4" w:space="0" w:color="auto"/>
              <w:left w:val="single" w:sz="4" w:space="0" w:color="auto"/>
              <w:bottom w:val="single" w:sz="4" w:space="0" w:color="auto"/>
              <w:right w:val="single" w:sz="4" w:space="0" w:color="auto"/>
            </w:tcBorders>
            <w:hideMark/>
          </w:tcPr>
          <w:p w14:paraId="132EC03E" w14:textId="77777777" w:rsidR="00A41077" w:rsidRDefault="00A41077" w:rsidP="00A41077">
            <w:pPr>
              <w:spacing w:line="256" w:lineRule="auto"/>
              <w:jc w:val="center"/>
              <w:rPr>
                <w:rFonts w:cs="Arial"/>
                <w:sz w:val="20"/>
                <w:szCs w:val="20"/>
                <w:lang w:val="es-ES" w:eastAsia="en-US"/>
              </w:rPr>
            </w:pPr>
            <w:r>
              <w:rPr>
                <w:sz w:val="20"/>
                <w:szCs w:val="20"/>
                <w:lang w:val="es-ES" w:eastAsia="en-US"/>
              </w:rPr>
              <w:t>3</w:t>
            </w:r>
          </w:p>
        </w:tc>
        <w:tc>
          <w:tcPr>
            <w:tcW w:w="5032" w:type="dxa"/>
            <w:tcBorders>
              <w:top w:val="single" w:sz="4" w:space="0" w:color="auto"/>
              <w:left w:val="single" w:sz="4" w:space="0" w:color="auto"/>
              <w:bottom w:val="single" w:sz="4" w:space="0" w:color="auto"/>
              <w:right w:val="single" w:sz="4" w:space="0" w:color="auto"/>
            </w:tcBorders>
            <w:hideMark/>
          </w:tcPr>
          <w:p w14:paraId="0391B46A" w14:textId="77777777" w:rsidR="00A41077" w:rsidRDefault="00A41077" w:rsidP="00A41077">
            <w:pPr>
              <w:spacing w:line="256" w:lineRule="auto"/>
              <w:rPr>
                <w:rFonts w:cs="Arial"/>
                <w:sz w:val="20"/>
                <w:szCs w:val="20"/>
                <w:lang w:val="es-ES" w:eastAsia="en-US"/>
              </w:rPr>
            </w:pPr>
            <w:r>
              <w:rPr>
                <w:sz w:val="20"/>
                <w:szCs w:val="20"/>
                <w:lang w:val="es-ES" w:eastAsia="en-US"/>
              </w:rPr>
              <w:t>Sembrar la Paz.</w:t>
            </w:r>
          </w:p>
        </w:tc>
        <w:tc>
          <w:tcPr>
            <w:tcW w:w="2032" w:type="dxa"/>
            <w:tcBorders>
              <w:top w:val="single" w:sz="4" w:space="0" w:color="auto"/>
              <w:left w:val="single" w:sz="4" w:space="0" w:color="auto"/>
              <w:bottom w:val="single" w:sz="4" w:space="0" w:color="auto"/>
              <w:right w:val="single" w:sz="4" w:space="0" w:color="auto"/>
            </w:tcBorders>
            <w:vAlign w:val="center"/>
            <w:hideMark/>
          </w:tcPr>
          <w:p w14:paraId="07C2E83B" w14:textId="3029F008" w:rsidR="00A41077" w:rsidRDefault="00A41077" w:rsidP="00A41077">
            <w:pPr>
              <w:spacing w:line="256" w:lineRule="auto"/>
              <w:jc w:val="right"/>
              <w:rPr>
                <w:rFonts w:cs="Arial"/>
                <w:sz w:val="20"/>
                <w:szCs w:val="20"/>
                <w:lang w:val="es-ES" w:eastAsia="en-US"/>
              </w:rPr>
            </w:pPr>
            <w:r>
              <w:rPr>
                <w:rFonts w:cs="Arial"/>
                <w:color w:val="000000"/>
                <w:sz w:val="20"/>
                <w:szCs w:val="20"/>
              </w:rPr>
              <w:t xml:space="preserve">         8,098,191,717 </w:t>
            </w:r>
          </w:p>
        </w:tc>
      </w:tr>
      <w:tr w:rsidR="00A41077" w14:paraId="1B0E827A" w14:textId="77777777" w:rsidTr="00BF5974">
        <w:trPr>
          <w:trHeight w:val="227"/>
          <w:jc w:val="center"/>
        </w:trPr>
        <w:tc>
          <w:tcPr>
            <w:tcW w:w="497" w:type="dxa"/>
            <w:tcBorders>
              <w:top w:val="single" w:sz="4" w:space="0" w:color="auto"/>
              <w:left w:val="single" w:sz="4" w:space="0" w:color="auto"/>
              <w:bottom w:val="single" w:sz="4" w:space="0" w:color="auto"/>
              <w:right w:val="single" w:sz="4" w:space="0" w:color="auto"/>
            </w:tcBorders>
            <w:hideMark/>
          </w:tcPr>
          <w:p w14:paraId="384DD7A6" w14:textId="77777777" w:rsidR="00A41077" w:rsidRDefault="00A41077" w:rsidP="00A41077">
            <w:pPr>
              <w:spacing w:line="256" w:lineRule="auto"/>
              <w:jc w:val="center"/>
              <w:rPr>
                <w:rFonts w:cs="Arial"/>
                <w:sz w:val="20"/>
                <w:szCs w:val="20"/>
                <w:lang w:val="es-ES" w:eastAsia="en-US"/>
              </w:rPr>
            </w:pPr>
            <w:r>
              <w:rPr>
                <w:sz w:val="20"/>
                <w:szCs w:val="20"/>
                <w:lang w:val="es-ES" w:eastAsia="en-US"/>
              </w:rPr>
              <w:t>4</w:t>
            </w:r>
          </w:p>
        </w:tc>
        <w:tc>
          <w:tcPr>
            <w:tcW w:w="5032" w:type="dxa"/>
            <w:tcBorders>
              <w:top w:val="single" w:sz="4" w:space="0" w:color="auto"/>
              <w:left w:val="single" w:sz="4" w:space="0" w:color="auto"/>
              <w:bottom w:val="single" w:sz="4" w:space="0" w:color="auto"/>
              <w:right w:val="single" w:sz="4" w:space="0" w:color="auto"/>
            </w:tcBorders>
            <w:hideMark/>
          </w:tcPr>
          <w:p w14:paraId="1D56BD78" w14:textId="77777777" w:rsidR="00A41077" w:rsidRDefault="00A41077" w:rsidP="00A41077">
            <w:pPr>
              <w:spacing w:line="256" w:lineRule="auto"/>
              <w:rPr>
                <w:rFonts w:cs="Arial"/>
                <w:sz w:val="20"/>
                <w:szCs w:val="20"/>
                <w:lang w:val="es-ES" w:eastAsia="en-US"/>
              </w:rPr>
            </w:pPr>
            <w:r>
              <w:rPr>
                <w:sz w:val="20"/>
                <w:szCs w:val="20"/>
                <w:lang w:val="es-ES" w:eastAsia="en-US"/>
              </w:rPr>
              <w:t>Colima Nuestro Hogar.</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3AF66FB" w14:textId="59211FFA" w:rsidR="00A41077" w:rsidRDefault="00A41077" w:rsidP="00A41077">
            <w:pPr>
              <w:spacing w:line="256" w:lineRule="auto"/>
              <w:jc w:val="right"/>
              <w:rPr>
                <w:rFonts w:cs="Arial"/>
                <w:sz w:val="20"/>
                <w:szCs w:val="20"/>
                <w:lang w:val="es-ES" w:eastAsia="en-US"/>
              </w:rPr>
            </w:pPr>
            <w:r>
              <w:rPr>
                <w:rFonts w:cs="Arial"/>
                <w:color w:val="000000"/>
                <w:sz w:val="20"/>
                <w:szCs w:val="20"/>
              </w:rPr>
              <w:t xml:space="preserve">            632,898,230 </w:t>
            </w:r>
          </w:p>
        </w:tc>
      </w:tr>
      <w:tr w:rsidR="00A41077" w14:paraId="6117B80C" w14:textId="77777777" w:rsidTr="00BF5974">
        <w:trPr>
          <w:trHeight w:val="227"/>
          <w:jc w:val="center"/>
        </w:trPr>
        <w:tc>
          <w:tcPr>
            <w:tcW w:w="497" w:type="dxa"/>
            <w:tcBorders>
              <w:top w:val="single" w:sz="4" w:space="0" w:color="auto"/>
              <w:left w:val="single" w:sz="4" w:space="0" w:color="auto"/>
              <w:bottom w:val="single" w:sz="4" w:space="0" w:color="auto"/>
              <w:right w:val="single" w:sz="4" w:space="0" w:color="auto"/>
            </w:tcBorders>
            <w:hideMark/>
          </w:tcPr>
          <w:p w14:paraId="16B04D40" w14:textId="77777777" w:rsidR="00A41077" w:rsidRDefault="00A41077" w:rsidP="00A41077">
            <w:pPr>
              <w:spacing w:line="256" w:lineRule="auto"/>
              <w:jc w:val="center"/>
              <w:rPr>
                <w:rFonts w:cs="Arial"/>
                <w:sz w:val="20"/>
                <w:szCs w:val="20"/>
                <w:lang w:val="es-ES" w:eastAsia="en-US"/>
              </w:rPr>
            </w:pPr>
            <w:r>
              <w:rPr>
                <w:sz w:val="20"/>
                <w:szCs w:val="20"/>
                <w:lang w:val="es-ES" w:eastAsia="en-US"/>
              </w:rPr>
              <w:t>5</w:t>
            </w:r>
          </w:p>
        </w:tc>
        <w:tc>
          <w:tcPr>
            <w:tcW w:w="5032" w:type="dxa"/>
            <w:tcBorders>
              <w:top w:val="single" w:sz="4" w:space="0" w:color="auto"/>
              <w:left w:val="single" w:sz="4" w:space="0" w:color="auto"/>
              <w:bottom w:val="single" w:sz="4" w:space="0" w:color="auto"/>
              <w:right w:val="single" w:sz="4" w:space="0" w:color="auto"/>
            </w:tcBorders>
            <w:hideMark/>
          </w:tcPr>
          <w:p w14:paraId="04905C4E" w14:textId="77777777" w:rsidR="00A41077" w:rsidRDefault="00A41077" w:rsidP="00A41077">
            <w:pPr>
              <w:spacing w:line="256" w:lineRule="auto"/>
              <w:rPr>
                <w:rFonts w:cs="Arial"/>
                <w:sz w:val="20"/>
                <w:szCs w:val="20"/>
                <w:lang w:val="es-ES" w:eastAsia="en-US"/>
              </w:rPr>
            </w:pPr>
            <w:r>
              <w:rPr>
                <w:sz w:val="20"/>
                <w:szCs w:val="20"/>
                <w:lang w:val="es-ES" w:eastAsia="en-US"/>
              </w:rPr>
              <w:t>Gobierno Honesto y Transparente</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131DDD3" w14:textId="04260C96" w:rsidR="00A41077" w:rsidRDefault="00A41077" w:rsidP="00A41077">
            <w:pPr>
              <w:spacing w:line="256" w:lineRule="auto"/>
              <w:jc w:val="right"/>
              <w:rPr>
                <w:rFonts w:cs="Arial"/>
                <w:sz w:val="20"/>
                <w:szCs w:val="20"/>
                <w:lang w:val="es-ES" w:eastAsia="en-US"/>
              </w:rPr>
            </w:pPr>
            <w:r>
              <w:rPr>
                <w:rFonts w:cs="Arial"/>
                <w:color w:val="000000"/>
                <w:sz w:val="20"/>
                <w:szCs w:val="20"/>
              </w:rPr>
              <w:t xml:space="preserve">         6,436,484,438 </w:t>
            </w:r>
          </w:p>
        </w:tc>
      </w:tr>
      <w:tr w:rsidR="00A41077" w14:paraId="6F28F812" w14:textId="77777777" w:rsidTr="00BF5974">
        <w:trPr>
          <w:trHeight w:val="227"/>
          <w:jc w:val="center"/>
        </w:trPr>
        <w:tc>
          <w:tcPr>
            <w:tcW w:w="497" w:type="dxa"/>
            <w:tcBorders>
              <w:top w:val="single" w:sz="4" w:space="0" w:color="auto"/>
              <w:left w:val="single" w:sz="4" w:space="0" w:color="auto"/>
              <w:bottom w:val="single" w:sz="4" w:space="0" w:color="auto"/>
              <w:right w:val="single" w:sz="4" w:space="0" w:color="auto"/>
            </w:tcBorders>
            <w:hideMark/>
          </w:tcPr>
          <w:p w14:paraId="65FCA0BD" w14:textId="77777777" w:rsidR="00A41077" w:rsidRDefault="00A41077" w:rsidP="00A41077">
            <w:pPr>
              <w:spacing w:line="256" w:lineRule="auto"/>
              <w:jc w:val="center"/>
              <w:rPr>
                <w:rFonts w:cs="Arial"/>
                <w:color w:val="000000"/>
                <w:sz w:val="20"/>
                <w:szCs w:val="20"/>
                <w:lang w:val="es-ES" w:eastAsia="en-US"/>
              </w:rPr>
            </w:pPr>
            <w:r>
              <w:rPr>
                <w:sz w:val="20"/>
                <w:szCs w:val="20"/>
                <w:lang w:val="es-ES" w:eastAsia="en-US"/>
              </w:rPr>
              <w:t>6</w:t>
            </w:r>
          </w:p>
        </w:tc>
        <w:tc>
          <w:tcPr>
            <w:tcW w:w="5032" w:type="dxa"/>
            <w:tcBorders>
              <w:top w:val="single" w:sz="4" w:space="0" w:color="auto"/>
              <w:left w:val="single" w:sz="4" w:space="0" w:color="auto"/>
              <w:bottom w:val="single" w:sz="4" w:space="0" w:color="auto"/>
              <w:right w:val="single" w:sz="4" w:space="0" w:color="auto"/>
            </w:tcBorders>
            <w:hideMark/>
          </w:tcPr>
          <w:p w14:paraId="27AF6095" w14:textId="77777777" w:rsidR="00A41077" w:rsidRDefault="00A41077" w:rsidP="00A41077">
            <w:pPr>
              <w:spacing w:line="256" w:lineRule="auto"/>
              <w:rPr>
                <w:rFonts w:cs="Arial"/>
                <w:sz w:val="20"/>
                <w:szCs w:val="20"/>
                <w:lang w:val="es-ES" w:eastAsia="en-US"/>
              </w:rPr>
            </w:pPr>
            <w:r>
              <w:rPr>
                <w:sz w:val="20"/>
                <w:szCs w:val="20"/>
                <w:lang w:val="es-ES" w:eastAsia="en-US"/>
              </w:rPr>
              <w:t>Diversos Ejes</w:t>
            </w:r>
          </w:p>
        </w:tc>
        <w:tc>
          <w:tcPr>
            <w:tcW w:w="2032" w:type="dxa"/>
            <w:tcBorders>
              <w:top w:val="single" w:sz="4" w:space="0" w:color="auto"/>
              <w:left w:val="single" w:sz="4" w:space="0" w:color="auto"/>
              <w:bottom w:val="single" w:sz="4" w:space="0" w:color="auto"/>
              <w:right w:val="single" w:sz="4" w:space="0" w:color="auto"/>
            </w:tcBorders>
            <w:vAlign w:val="center"/>
            <w:hideMark/>
          </w:tcPr>
          <w:p w14:paraId="0E18F984" w14:textId="7EC9E516" w:rsidR="00A41077" w:rsidRDefault="00A41077" w:rsidP="00A41077">
            <w:pPr>
              <w:spacing w:line="256" w:lineRule="auto"/>
              <w:jc w:val="right"/>
              <w:rPr>
                <w:rFonts w:cs="Arial"/>
                <w:sz w:val="20"/>
                <w:szCs w:val="20"/>
                <w:lang w:val="es-ES" w:eastAsia="en-US"/>
              </w:rPr>
            </w:pPr>
            <w:r>
              <w:rPr>
                <w:rFonts w:cs="Arial"/>
                <w:color w:val="000000"/>
                <w:sz w:val="20"/>
                <w:szCs w:val="20"/>
              </w:rPr>
              <w:t xml:space="preserve">            382,760,352 </w:t>
            </w:r>
          </w:p>
        </w:tc>
      </w:tr>
      <w:tr w:rsidR="00A41077" w14:paraId="1252AA25" w14:textId="77777777" w:rsidTr="00BF5974">
        <w:trPr>
          <w:trHeight w:val="227"/>
          <w:jc w:val="center"/>
        </w:trPr>
        <w:tc>
          <w:tcPr>
            <w:tcW w:w="497" w:type="dxa"/>
            <w:tcBorders>
              <w:top w:val="single" w:sz="4" w:space="0" w:color="auto"/>
              <w:left w:val="single" w:sz="4" w:space="0" w:color="auto"/>
              <w:bottom w:val="single" w:sz="4" w:space="0" w:color="auto"/>
              <w:right w:val="single" w:sz="4" w:space="0" w:color="auto"/>
            </w:tcBorders>
          </w:tcPr>
          <w:p w14:paraId="11C1B072" w14:textId="77777777" w:rsidR="00A41077" w:rsidRDefault="00A41077" w:rsidP="00A41077">
            <w:pPr>
              <w:spacing w:line="256" w:lineRule="auto"/>
              <w:jc w:val="center"/>
              <w:rPr>
                <w:rFonts w:cs="Arial"/>
                <w:b/>
                <w:sz w:val="20"/>
                <w:szCs w:val="20"/>
                <w:lang w:val="es-ES" w:eastAsia="en-US"/>
              </w:rPr>
            </w:pPr>
          </w:p>
        </w:tc>
        <w:tc>
          <w:tcPr>
            <w:tcW w:w="5032" w:type="dxa"/>
            <w:tcBorders>
              <w:top w:val="single" w:sz="4" w:space="0" w:color="auto"/>
              <w:left w:val="single" w:sz="4" w:space="0" w:color="auto"/>
              <w:bottom w:val="single" w:sz="4" w:space="0" w:color="auto"/>
              <w:right w:val="single" w:sz="4" w:space="0" w:color="auto"/>
            </w:tcBorders>
            <w:hideMark/>
          </w:tcPr>
          <w:p w14:paraId="4E9ABA17" w14:textId="77777777" w:rsidR="00A41077" w:rsidRPr="00A41077" w:rsidRDefault="00A41077" w:rsidP="00A41077">
            <w:pPr>
              <w:spacing w:line="256" w:lineRule="auto"/>
              <w:jc w:val="center"/>
              <w:rPr>
                <w:rFonts w:cs="Arial"/>
                <w:b/>
                <w:bCs/>
                <w:sz w:val="20"/>
                <w:szCs w:val="20"/>
                <w:lang w:val="es-ES" w:eastAsia="en-US"/>
              </w:rPr>
            </w:pPr>
            <w:r w:rsidRPr="00A41077">
              <w:rPr>
                <w:b/>
                <w:bCs/>
                <w:sz w:val="20"/>
                <w:szCs w:val="20"/>
                <w:lang w:val="es-ES" w:eastAsia="en-US"/>
              </w:rPr>
              <w:t>Total</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0E1D26F" w14:textId="650BA300" w:rsidR="00A41077" w:rsidRDefault="00A41077" w:rsidP="00A41077">
            <w:pPr>
              <w:spacing w:line="256" w:lineRule="auto"/>
              <w:jc w:val="right"/>
              <w:rPr>
                <w:rFonts w:cs="Arial"/>
                <w:b/>
                <w:bCs/>
                <w:sz w:val="20"/>
                <w:szCs w:val="20"/>
                <w:lang w:val="es-ES" w:eastAsia="en-US"/>
              </w:rPr>
            </w:pPr>
            <w:r>
              <w:rPr>
                <w:rFonts w:cs="Arial"/>
                <w:b/>
                <w:bCs/>
                <w:color w:val="000000"/>
                <w:sz w:val="20"/>
                <w:szCs w:val="20"/>
              </w:rPr>
              <w:t xml:space="preserve">23,004,130,279 </w:t>
            </w:r>
          </w:p>
        </w:tc>
      </w:tr>
    </w:tbl>
    <w:p w14:paraId="0855FB4D" w14:textId="77777777" w:rsidR="00BF5974" w:rsidRDefault="00BF5974" w:rsidP="00BF5974">
      <w:pPr>
        <w:keepNext/>
        <w:keepLines/>
        <w:outlineLvl w:val="2"/>
        <w:rPr>
          <w:rFonts w:eastAsia="Times New Roman" w:cs="Arial"/>
          <w:b/>
          <w:szCs w:val="24"/>
          <w:lang w:val="es-ES" w:eastAsia="en-US"/>
        </w:rPr>
      </w:pPr>
    </w:p>
    <w:p w14:paraId="659672BE" w14:textId="77777777" w:rsidR="00BF5974" w:rsidRDefault="00BF5974" w:rsidP="00BF5974">
      <w:pPr>
        <w:rPr>
          <w:rFonts w:cs="Arial"/>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8"/>
        <w:gridCol w:w="1975"/>
        <w:gridCol w:w="837"/>
        <w:gridCol w:w="781"/>
        <w:gridCol w:w="712"/>
        <w:gridCol w:w="708"/>
        <w:gridCol w:w="848"/>
        <w:gridCol w:w="708"/>
        <w:gridCol w:w="697"/>
        <w:gridCol w:w="585"/>
        <w:gridCol w:w="814"/>
        <w:gridCol w:w="708"/>
      </w:tblGrid>
      <w:tr w:rsidR="00BF5974" w14:paraId="7EE858FB" w14:textId="77777777" w:rsidTr="00A41077">
        <w:trPr>
          <w:trHeight w:val="20"/>
          <w:jc w:val="center"/>
        </w:trPr>
        <w:tc>
          <w:tcPr>
            <w:tcW w:w="9776" w:type="dxa"/>
            <w:gridSpan w:val="12"/>
            <w:tcBorders>
              <w:top w:val="nil"/>
              <w:left w:val="nil"/>
              <w:bottom w:val="single" w:sz="4" w:space="0" w:color="auto"/>
              <w:right w:val="nil"/>
            </w:tcBorders>
            <w:vAlign w:val="center"/>
            <w:hideMark/>
          </w:tcPr>
          <w:p w14:paraId="57BCBE96" w14:textId="77777777" w:rsidR="00BF5974" w:rsidRDefault="00BF5974">
            <w:pPr>
              <w:spacing w:line="256" w:lineRule="auto"/>
              <w:jc w:val="center"/>
              <w:rPr>
                <w:rFonts w:eastAsia="Times New Roman" w:cs="Arial"/>
                <w:color w:val="000000"/>
                <w:sz w:val="10"/>
                <w:szCs w:val="10"/>
                <w:lang w:val="es-ES" w:eastAsia="en-US"/>
              </w:rPr>
            </w:pPr>
            <w:r>
              <w:rPr>
                <w:rFonts w:eastAsia="Times New Roman" w:cs="Arial"/>
                <w:b/>
                <w:sz w:val="20"/>
                <w:lang w:val="es-ES" w:eastAsia="en-US"/>
              </w:rPr>
              <w:t>Tabla 61. Programas Presupuestarios por Objeto del Gasto</w:t>
            </w:r>
          </w:p>
        </w:tc>
      </w:tr>
      <w:tr w:rsidR="00BF5974" w14:paraId="355C1E6C"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32AA82E1" w14:textId="0A792779" w:rsidR="00BF5974" w:rsidRDefault="00BF5974">
            <w:pPr>
              <w:spacing w:line="256" w:lineRule="auto"/>
              <w:jc w:val="center"/>
              <w:rPr>
                <w:rFonts w:eastAsia="Times New Roman" w:cs="Arial"/>
                <w:b/>
                <w:bCs/>
                <w:color w:val="000000"/>
                <w:sz w:val="10"/>
                <w:szCs w:val="10"/>
                <w:lang w:val="es-ES" w:eastAsia="en-US"/>
              </w:rPr>
            </w:pPr>
            <w:r>
              <w:rPr>
                <w:rFonts w:eastAsia="Times New Roman" w:cs="Arial"/>
                <w:b/>
                <w:bCs/>
                <w:color w:val="000000"/>
                <w:sz w:val="10"/>
                <w:szCs w:val="10"/>
                <w:lang w:val="es-ES" w:eastAsia="en-US"/>
              </w:rPr>
              <w:t>Clave</w:t>
            </w:r>
          </w:p>
        </w:tc>
        <w:tc>
          <w:tcPr>
            <w:tcW w:w="1973" w:type="dxa"/>
            <w:tcBorders>
              <w:top w:val="single" w:sz="4" w:space="0" w:color="auto"/>
              <w:left w:val="single" w:sz="4" w:space="0" w:color="auto"/>
              <w:bottom w:val="single" w:sz="4" w:space="0" w:color="auto"/>
              <w:right w:val="single" w:sz="4" w:space="0" w:color="auto"/>
            </w:tcBorders>
            <w:vAlign w:val="center"/>
            <w:hideMark/>
          </w:tcPr>
          <w:p w14:paraId="526BC894" w14:textId="77777777" w:rsidR="00BF5974" w:rsidRDefault="00BF5974">
            <w:pPr>
              <w:spacing w:line="256" w:lineRule="auto"/>
              <w:jc w:val="center"/>
              <w:rPr>
                <w:rFonts w:eastAsia="Times New Roman" w:cs="Arial"/>
                <w:b/>
                <w:bCs/>
                <w:color w:val="000000"/>
                <w:sz w:val="10"/>
                <w:szCs w:val="10"/>
                <w:lang w:val="es-ES" w:eastAsia="en-US"/>
              </w:rPr>
            </w:pPr>
            <w:r>
              <w:rPr>
                <w:rFonts w:eastAsia="Times New Roman" w:cs="Arial"/>
                <w:b/>
                <w:bCs/>
                <w:color w:val="000000"/>
                <w:sz w:val="10"/>
                <w:szCs w:val="10"/>
                <w:lang w:val="es-ES" w:eastAsia="en-US"/>
              </w:rPr>
              <w:t>Programa Presupuestario</w:t>
            </w:r>
          </w:p>
        </w:tc>
        <w:tc>
          <w:tcPr>
            <w:tcW w:w="836" w:type="dxa"/>
            <w:tcBorders>
              <w:top w:val="single" w:sz="4" w:space="0" w:color="auto"/>
              <w:left w:val="single" w:sz="4" w:space="0" w:color="auto"/>
              <w:bottom w:val="single" w:sz="4" w:space="0" w:color="auto"/>
              <w:right w:val="single" w:sz="4" w:space="0" w:color="auto"/>
            </w:tcBorders>
            <w:vAlign w:val="center"/>
            <w:hideMark/>
          </w:tcPr>
          <w:p w14:paraId="0BFAC39D" w14:textId="77777777" w:rsidR="00BF5974" w:rsidRDefault="00BF5974">
            <w:pPr>
              <w:spacing w:line="256" w:lineRule="auto"/>
              <w:jc w:val="center"/>
              <w:rPr>
                <w:rFonts w:eastAsia="Times New Roman" w:cs="Arial"/>
                <w:b/>
                <w:bCs/>
                <w:color w:val="000000"/>
                <w:sz w:val="10"/>
                <w:szCs w:val="10"/>
                <w:lang w:val="es-ES" w:eastAsia="en-US"/>
              </w:rPr>
            </w:pPr>
            <w:r>
              <w:rPr>
                <w:rFonts w:eastAsia="Times New Roman" w:cs="Arial"/>
                <w:b/>
                <w:bCs/>
                <w:color w:val="000000"/>
                <w:sz w:val="10"/>
                <w:szCs w:val="10"/>
                <w:lang w:val="es-ES" w:eastAsia="en-US"/>
              </w:rPr>
              <w:t>Asignación Presupuestal</w:t>
            </w:r>
          </w:p>
        </w:tc>
        <w:tc>
          <w:tcPr>
            <w:tcW w:w="780" w:type="dxa"/>
            <w:tcBorders>
              <w:top w:val="single" w:sz="4" w:space="0" w:color="auto"/>
              <w:left w:val="single" w:sz="4" w:space="0" w:color="auto"/>
              <w:bottom w:val="single" w:sz="4" w:space="0" w:color="auto"/>
              <w:right w:val="single" w:sz="4" w:space="0" w:color="auto"/>
            </w:tcBorders>
            <w:vAlign w:val="center"/>
            <w:hideMark/>
          </w:tcPr>
          <w:p w14:paraId="2E2F1C74" w14:textId="77777777" w:rsidR="00BF5974" w:rsidRDefault="00BF5974">
            <w:pPr>
              <w:spacing w:line="256" w:lineRule="auto"/>
              <w:jc w:val="center"/>
              <w:rPr>
                <w:rFonts w:eastAsia="Times New Roman" w:cs="Arial"/>
                <w:b/>
                <w:bCs/>
                <w:color w:val="000000"/>
                <w:sz w:val="10"/>
                <w:szCs w:val="10"/>
                <w:lang w:val="es-ES" w:eastAsia="en-US"/>
              </w:rPr>
            </w:pPr>
            <w:r>
              <w:rPr>
                <w:rFonts w:eastAsia="Times New Roman" w:cs="Arial"/>
                <w:b/>
                <w:bCs/>
                <w:color w:val="000000"/>
                <w:sz w:val="10"/>
                <w:szCs w:val="10"/>
                <w:lang w:val="es-ES" w:eastAsia="en-US"/>
              </w:rPr>
              <w:t>10000</w:t>
            </w:r>
          </w:p>
        </w:tc>
        <w:tc>
          <w:tcPr>
            <w:tcW w:w="712" w:type="dxa"/>
            <w:tcBorders>
              <w:top w:val="single" w:sz="4" w:space="0" w:color="auto"/>
              <w:left w:val="single" w:sz="4" w:space="0" w:color="auto"/>
              <w:bottom w:val="single" w:sz="4" w:space="0" w:color="auto"/>
              <w:right w:val="single" w:sz="4" w:space="0" w:color="auto"/>
            </w:tcBorders>
            <w:vAlign w:val="center"/>
            <w:hideMark/>
          </w:tcPr>
          <w:p w14:paraId="60634D61" w14:textId="77777777" w:rsidR="00BF5974" w:rsidRDefault="00BF5974">
            <w:pPr>
              <w:spacing w:line="256" w:lineRule="auto"/>
              <w:jc w:val="center"/>
              <w:rPr>
                <w:rFonts w:eastAsia="Times New Roman" w:cs="Arial"/>
                <w:b/>
                <w:bCs/>
                <w:color w:val="000000"/>
                <w:sz w:val="10"/>
                <w:szCs w:val="10"/>
                <w:lang w:val="es-ES" w:eastAsia="en-US"/>
              </w:rPr>
            </w:pPr>
            <w:r>
              <w:rPr>
                <w:rFonts w:eastAsia="Times New Roman" w:cs="Arial"/>
                <w:b/>
                <w:bCs/>
                <w:color w:val="000000"/>
                <w:sz w:val="10"/>
                <w:szCs w:val="10"/>
                <w:lang w:val="es-ES" w:eastAsia="en-US"/>
              </w:rPr>
              <w:t>20000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9C67C4" w14:textId="77777777" w:rsidR="00BF5974" w:rsidRDefault="00BF5974">
            <w:pPr>
              <w:spacing w:line="256" w:lineRule="auto"/>
              <w:jc w:val="center"/>
              <w:rPr>
                <w:rFonts w:eastAsia="Times New Roman" w:cs="Arial"/>
                <w:b/>
                <w:bCs/>
                <w:color w:val="000000"/>
                <w:sz w:val="10"/>
                <w:szCs w:val="10"/>
                <w:lang w:val="es-ES" w:eastAsia="en-US"/>
              </w:rPr>
            </w:pPr>
            <w:r>
              <w:rPr>
                <w:rFonts w:eastAsia="Times New Roman" w:cs="Arial"/>
                <w:b/>
                <w:bCs/>
                <w:color w:val="000000"/>
                <w:sz w:val="10"/>
                <w:szCs w:val="10"/>
                <w:lang w:val="es-ES" w:eastAsia="en-US"/>
              </w:rPr>
              <w:t>30000</w:t>
            </w:r>
          </w:p>
        </w:tc>
        <w:tc>
          <w:tcPr>
            <w:tcW w:w="848" w:type="dxa"/>
            <w:tcBorders>
              <w:top w:val="single" w:sz="4" w:space="0" w:color="auto"/>
              <w:left w:val="single" w:sz="4" w:space="0" w:color="auto"/>
              <w:bottom w:val="single" w:sz="4" w:space="0" w:color="auto"/>
              <w:right w:val="single" w:sz="4" w:space="0" w:color="auto"/>
            </w:tcBorders>
            <w:vAlign w:val="center"/>
            <w:hideMark/>
          </w:tcPr>
          <w:p w14:paraId="7745A8C2" w14:textId="77777777" w:rsidR="00BF5974" w:rsidRDefault="00BF5974">
            <w:pPr>
              <w:spacing w:line="256" w:lineRule="auto"/>
              <w:jc w:val="center"/>
              <w:rPr>
                <w:rFonts w:eastAsia="Times New Roman" w:cs="Arial"/>
                <w:b/>
                <w:bCs/>
                <w:color w:val="000000"/>
                <w:sz w:val="10"/>
                <w:szCs w:val="10"/>
                <w:lang w:val="es-ES" w:eastAsia="en-US"/>
              </w:rPr>
            </w:pPr>
            <w:r>
              <w:rPr>
                <w:rFonts w:eastAsia="Times New Roman" w:cs="Arial"/>
                <w:b/>
                <w:bCs/>
                <w:color w:val="000000"/>
                <w:sz w:val="10"/>
                <w:szCs w:val="10"/>
                <w:lang w:val="es-ES" w:eastAsia="en-US"/>
              </w:rPr>
              <w:t>40000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6682385" w14:textId="77777777" w:rsidR="00BF5974" w:rsidRDefault="00BF5974">
            <w:pPr>
              <w:spacing w:line="256" w:lineRule="auto"/>
              <w:jc w:val="center"/>
              <w:rPr>
                <w:rFonts w:eastAsia="Times New Roman" w:cs="Arial"/>
                <w:b/>
                <w:bCs/>
                <w:color w:val="000000"/>
                <w:sz w:val="10"/>
                <w:szCs w:val="10"/>
                <w:lang w:val="es-ES" w:eastAsia="en-US"/>
              </w:rPr>
            </w:pPr>
            <w:r>
              <w:rPr>
                <w:rFonts w:eastAsia="Times New Roman" w:cs="Arial"/>
                <w:b/>
                <w:bCs/>
                <w:color w:val="000000"/>
                <w:sz w:val="10"/>
                <w:szCs w:val="10"/>
                <w:lang w:val="es-ES" w:eastAsia="en-US"/>
              </w:rPr>
              <w:t>50000</w:t>
            </w:r>
          </w:p>
        </w:tc>
        <w:tc>
          <w:tcPr>
            <w:tcW w:w="697" w:type="dxa"/>
            <w:tcBorders>
              <w:top w:val="single" w:sz="4" w:space="0" w:color="auto"/>
              <w:left w:val="single" w:sz="4" w:space="0" w:color="auto"/>
              <w:bottom w:val="single" w:sz="4" w:space="0" w:color="auto"/>
              <w:right w:val="single" w:sz="4" w:space="0" w:color="auto"/>
            </w:tcBorders>
            <w:vAlign w:val="center"/>
            <w:hideMark/>
          </w:tcPr>
          <w:p w14:paraId="242787B3" w14:textId="77777777" w:rsidR="00BF5974" w:rsidRDefault="00BF5974">
            <w:pPr>
              <w:spacing w:line="256" w:lineRule="auto"/>
              <w:jc w:val="center"/>
              <w:rPr>
                <w:rFonts w:eastAsia="Times New Roman" w:cs="Arial"/>
                <w:b/>
                <w:bCs/>
                <w:color w:val="000000"/>
                <w:sz w:val="10"/>
                <w:szCs w:val="10"/>
                <w:lang w:val="es-ES" w:eastAsia="en-US"/>
              </w:rPr>
            </w:pPr>
            <w:r>
              <w:rPr>
                <w:rFonts w:eastAsia="Times New Roman" w:cs="Arial"/>
                <w:b/>
                <w:bCs/>
                <w:color w:val="000000"/>
                <w:sz w:val="10"/>
                <w:szCs w:val="10"/>
                <w:lang w:val="es-ES" w:eastAsia="en-US"/>
              </w:rPr>
              <w:t>60000</w:t>
            </w:r>
          </w:p>
        </w:tc>
        <w:tc>
          <w:tcPr>
            <w:tcW w:w="585" w:type="dxa"/>
            <w:tcBorders>
              <w:top w:val="single" w:sz="4" w:space="0" w:color="auto"/>
              <w:left w:val="single" w:sz="4" w:space="0" w:color="auto"/>
              <w:bottom w:val="single" w:sz="4" w:space="0" w:color="auto"/>
              <w:right w:val="single" w:sz="4" w:space="0" w:color="auto"/>
            </w:tcBorders>
            <w:vAlign w:val="center"/>
            <w:hideMark/>
          </w:tcPr>
          <w:p w14:paraId="1B8DA476" w14:textId="77777777" w:rsidR="00BF5974" w:rsidRDefault="00BF5974">
            <w:pPr>
              <w:spacing w:line="256" w:lineRule="auto"/>
              <w:jc w:val="center"/>
              <w:rPr>
                <w:rFonts w:eastAsia="Times New Roman" w:cs="Arial"/>
                <w:b/>
                <w:bCs/>
                <w:color w:val="000000"/>
                <w:sz w:val="10"/>
                <w:szCs w:val="10"/>
                <w:lang w:val="es-ES" w:eastAsia="en-US"/>
              </w:rPr>
            </w:pPr>
            <w:r>
              <w:rPr>
                <w:rFonts w:eastAsia="Times New Roman" w:cs="Arial"/>
                <w:b/>
                <w:bCs/>
                <w:color w:val="000000"/>
                <w:sz w:val="10"/>
                <w:szCs w:val="10"/>
                <w:lang w:val="es-ES" w:eastAsia="en-US"/>
              </w:rPr>
              <w:t>70000</w:t>
            </w:r>
          </w:p>
        </w:tc>
        <w:tc>
          <w:tcPr>
            <w:tcW w:w="814" w:type="dxa"/>
            <w:tcBorders>
              <w:top w:val="single" w:sz="4" w:space="0" w:color="auto"/>
              <w:left w:val="single" w:sz="4" w:space="0" w:color="auto"/>
              <w:bottom w:val="single" w:sz="4" w:space="0" w:color="auto"/>
              <w:right w:val="single" w:sz="4" w:space="0" w:color="auto"/>
            </w:tcBorders>
            <w:vAlign w:val="center"/>
            <w:hideMark/>
          </w:tcPr>
          <w:p w14:paraId="23EB12D1" w14:textId="77777777" w:rsidR="00BF5974" w:rsidRDefault="00BF5974">
            <w:pPr>
              <w:spacing w:line="256" w:lineRule="auto"/>
              <w:jc w:val="center"/>
              <w:rPr>
                <w:rFonts w:eastAsia="Times New Roman" w:cs="Arial"/>
                <w:b/>
                <w:bCs/>
                <w:color w:val="000000"/>
                <w:sz w:val="10"/>
                <w:szCs w:val="10"/>
                <w:lang w:val="es-ES" w:eastAsia="en-US"/>
              </w:rPr>
            </w:pPr>
            <w:r>
              <w:rPr>
                <w:rFonts w:eastAsia="Times New Roman" w:cs="Arial"/>
                <w:b/>
                <w:bCs/>
                <w:color w:val="000000"/>
                <w:sz w:val="10"/>
                <w:szCs w:val="10"/>
                <w:lang w:val="es-ES" w:eastAsia="en-US"/>
              </w:rPr>
              <w:t>80000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C3DAE80" w14:textId="77777777" w:rsidR="00BF5974" w:rsidRDefault="00BF5974">
            <w:pPr>
              <w:spacing w:line="256" w:lineRule="auto"/>
              <w:jc w:val="center"/>
              <w:rPr>
                <w:rFonts w:eastAsia="Times New Roman" w:cs="Arial"/>
                <w:b/>
                <w:bCs/>
                <w:color w:val="000000"/>
                <w:sz w:val="10"/>
                <w:szCs w:val="10"/>
                <w:lang w:val="es-ES" w:eastAsia="en-US"/>
              </w:rPr>
            </w:pPr>
            <w:r>
              <w:rPr>
                <w:rFonts w:eastAsia="Times New Roman" w:cs="Arial"/>
                <w:b/>
                <w:bCs/>
                <w:color w:val="000000"/>
                <w:sz w:val="10"/>
                <w:szCs w:val="10"/>
                <w:lang w:val="es-ES" w:eastAsia="en-US"/>
              </w:rPr>
              <w:t>90000</w:t>
            </w:r>
          </w:p>
        </w:tc>
      </w:tr>
      <w:tr w:rsidR="00A41077" w14:paraId="65FADC1A"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2A07D85F"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2</w:t>
            </w:r>
          </w:p>
        </w:tc>
        <w:tc>
          <w:tcPr>
            <w:tcW w:w="1973" w:type="dxa"/>
            <w:tcBorders>
              <w:top w:val="single" w:sz="4" w:space="0" w:color="auto"/>
              <w:left w:val="single" w:sz="4" w:space="0" w:color="auto"/>
              <w:bottom w:val="single" w:sz="4" w:space="0" w:color="auto"/>
              <w:right w:val="single" w:sz="4" w:space="0" w:color="auto"/>
            </w:tcBorders>
            <w:vAlign w:val="center"/>
            <w:hideMark/>
          </w:tcPr>
          <w:p w14:paraId="0A0484C3"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Salud.</w:t>
            </w:r>
          </w:p>
        </w:tc>
        <w:tc>
          <w:tcPr>
            <w:tcW w:w="836" w:type="dxa"/>
            <w:tcBorders>
              <w:top w:val="single" w:sz="4" w:space="0" w:color="auto"/>
              <w:left w:val="single" w:sz="4" w:space="0" w:color="auto"/>
              <w:bottom w:val="single" w:sz="4" w:space="0" w:color="auto"/>
              <w:right w:val="single" w:sz="4" w:space="0" w:color="auto"/>
            </w:tcBorders>
            <w:vAlign w:val="center"/>
            <w:hideMark/>
          </w:tcPr>
          <w:p w14:paraId="6A65F4EB" w14:textId="0C73BD9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2,505,979,102 </w:t>
            </w:r>
          </w:p>
        </w:tc>
        <w:tc>
          <w:tcPr>
            <w:tcW w:w="780" w:type="dxa"/>
            <w:tcBorders>
              <w:top w:val="single" w:sz="4" w:space="0" w:color="auto"/>
              <w:left w:val="single" w:sz="4" w:space="0" w:color="auto"/>
              <w:bottom w:val="single" w:sz="4" w:space="0" w:color="auto"/>
              <w:right w:val="single" w:sz="4" w:space="0" w:color="auto"/>
            </w:tcBorders>
            <w:vAlign w:val="center"/>
            <w:hideMark/>
          </w:tcPr>
          <w:p w14:paraId="6471D188" w14:textId="6C29989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107,645,628 </w:t>
            </w:r>
          </w:p>
        </w:tc>
        <w:tc>
          <w:tcPr>
            <w:tcW w:w="712" w:type="dxa"/>
            <w:tcBorders>
              <w:top w:val="single" w:sz="4" w:space="0" w:color="auto"/>
              <w:left w:val="single" w:sz="4" w:space="0" w:color="auto"/>
              <w:bottom w:val="single" w:sz="4" w:space="0" w:color="auto"/>
              <w:right w:val="single" w:sz="4" w:space="0" w:color="auto"/>
            </w:tcBorders>
            <w:vAlign w:val="center"/>
            <w:hideMark/>
          </w:tcPr>
          <w:p w14:paraId="7D803967" w14:textId="5666006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15,750,000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B270CF2" w14:textId="6342468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64286260" w14:textId="05131AC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2,382,583,474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C52DB22" w14:textId="660247D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11AD9486" w14:textId="7F13B23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4B27A52E" w14:textId="21BE8F3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4AF8C102" w14:textId="4869B00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1147C3" w14:textId="319BDAC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0EED26EB"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63DAD099"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3</w:t>
            </w:r>
          </w:p>
        </w:tc>
        <w:tc>
          <w:tcPr>
            <w:tcW w:w="1973" w:type="dxa"/>
            <w:tcBorders>
              <w:top w:val="single" w:sz="4" w:space="0" w:color="auto"/>
              <w:left w:val="single" w:sz="4" w:space="0" w:color="auto"/>
              <w:bottom w:val="single" w:sz="4" w:space="0" w:color="auto"/>
              <w:right w:val="single" w:sz="4" w:space="0" w:color="auto"/>
            </w:tcBorders>
            <w:vAlign w:val="center"/>
            <w:hideMark/>
          </w:tcPr>
          <w:p w14:paraId="5C8160C9"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Asistencia Privada.</w:t>
            </w:r>
          </w:p>
        </w:tc>
        <w:tc>
          <w:tcPr>
            <w:tcW w:w="836" w:type="dxa"/>
            <w:tcBorders>
              <w:top w:val="single" w:sz="4" w:space="0" w:color="auto"/>
              <w:left w:val="single" w:sz="4" w:space="0" w:color="auto"/>
              <w:bottom w:val="single" w:sz="4" w:space="0" w:color="auto"/>
              <w:right w:val="single" w:sz="4" w:space="0" w:color="auto"/>
            </w:tcBorders>
            <w:vAlign w:val="center"/>
            <w:hideMark/>
          </w:tcPr>
          <w:p w14:paraId="6A6AEBBD" w14:textId="4BBCF29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2,567,344 </w:t>
            </w:r>
          </w:p>
        </w:tc>
        <w:tc>
          <w:tcPr>
            <w:tcW w:w="780" w:type="dxa"/>
            <w:tcBorders>
              <w:top w:val="single" w:sz="4" w:space="0" w:color="auto"/>
              <w:left w:val="single" w:sz="4" w:space="0" w:color="auto"/>
              <w:bottom w:val="single" w:sz="4" w:space="0" w:color="auto"/>
              <w:right w:val="single" w:sz="4" w:space="0" w:color="auto"/>
            </w:tcBorders>
            <w:vAlign w:val="center"/>
            <w:hideMark/>
          </w:tcPr>
          <w:p w14:paraId="22E2A101" w14:textId="5E538B7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6B477A0E" w14:textId="6948A5C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224AFF" w14:textId="12DE272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2EA3DF4C" w14:textId="38A5D39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2,567,344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FBA2519" w14:textId="3A3E8AB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032E1CA8" w14:textId="5E68FEB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1B0E1414" w14:textId="02D8778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0624FBD8" w14:textId="322F777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DE36E7" w14:textId="42C3B2D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3EB39A84"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3AFAC789"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4</w:t>
            </w:r>
          </w:p>
        </w:tc>
        <w:tc>
          <w:tcPr>
            <w:tcW w:w="1973" w:type="dxa"/>
            <w:tcBorders>
              <w:top w:val="single" w:sz="4" w:space="0" w:color="auto"/>
              <w:left w:val="single" w:sz="4" w:space="0" w:color="auto"/>
              <w:bottom w:val="single" w:sz="4" w:space="0" w:color="auto"/>
              <w:right w:val="single" w:sz="4" w:space="0" w:color="auto"/>
            </w:tcBorders>
            <w:vAlign w:val="center"/>
            <w:hideMark/>
          </w:tcPr>
          <w:p w14:paraId="41C59528"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Participación Social para la Planeación.</w:t>
            </w:r>
          </w:p>
        </w:tc>
        <w:tc>
          <w:tcPr>
            <w:tcW w:w="836" w:type="dxa"/>
            <w:tcBorders>
              <w:top w:val="single" w:sz="4" w:space="0" w:color="auto"/>
              <w:left w:val="single" w:sz="4" w:space="0" w:color="auto"/>
              <w:bottom w:val="single" w:sz="4" w:space="0" w:color="auto"/>
              <w:right w:val="single" w:sz="4" w:space="0" w:color="auto"/>
            </w:tcBorders>
            <w:vAlign w:val="center"/>
            <w:hideMark/>
          </w:tcPr>
          <w:p w14:paraId="53F7F6D2" w14:textId="095C3E7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500,000 </w:t>
            </w:r>
          </w:p>
        </w:tc>
        <w:tc>
          <w:tcPr>
            <w:tcW w:w="780" w:type="dxa"/>
            <w:tcBorders>
              <w:top w:val="single" w:sz="4" w:space="0" w:color="auto"/>
              <w:left w:val="single" w:sz="4" w:space="0" w:color="auto"/>
              <w:bottom w:val="single" w:sz="4" w:space="0" w:color="auto"/>
              <w:right w:val="single" w:sz="4" w:space="0" w:color="auto"/>
            </w:tcBorders>
            <w:vAlign w:val="center"/>
            <w:hideMark/>
          </w:tcPr>
          <w:p w14:paraId="6AC4C794" w14:textId="2279A18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1A296B2F" w14:textId="590C195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201ABA3" w14:textId="609B683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55226395" w14:textId="2F5738E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500,000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531D07" w14:textId="66E69AF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468D5D79" w14:textId="2DD83AF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3847D32F" w14:textId="45F11BE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367D7EF4" w14:textId="118CB47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7C180F" w14:textId="2057755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0422B7F2"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0B3B9418"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5</w:t>
            </w:r>
          </w:p>
        </w:tc>
        <w:tc>
          <w:tcPr>
            <w:tcW w:w="1973" w:type="dxa"/>
            <w:tcBorders>
              <w:top w:val="single" w:sz="4" w:space="0" w:color="auto"/>
              <w:left w:val="single" w:sz="4" w:space="0" w:color="auto"/>
              <w:bottom w:val="single" w:sz="4" w:space="0" w:color="auto"/>
              <w:right w:val="single" w:sz="4" w:space="0" w:color="auto"/>
            </w:tcBorders>
            <w:vAlign w:val="center"/>
            <w:hideMark/>
          </w:tcPr>
          <w:p w14:paraId="07AD23E8"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Bienestar.</w:t>
            </w:r>
          </w:p>
        </w:tc>
        <w:tc>
          <w:tcPr>
            <w:tcW w:w="836" w:type="dxa"/>
            <w:tcBorders>
              <w:top w:val="single" w:sz="4" w:space="0" w:color="auto"/>
              <w:left w:val="single" w:sz="4" w:space="0" w:color="auto"/>
              <w:bottom w:val="single" w:sz="4" w:space="0" w:color="auto"/>
              <w:right w:val="single" w:sz="4" w:space="0" w:color="auto"/>
            </w:tcBorders>
            <w:vAlign w:val="center"/>
            <w:hideMark/>
          </w:tcPr>
          <w:p w14:paraId="18471DD3" w14:textId="38ABDB9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490,030,087 </w:t>
            </w:r>
          </w:p>
        </w:tc>
        <w:tc>
          <w:tcPr>
            <w:tcW w:w="780" w:type="dxa"/>
            <w:tcBorders>
              <w:top w:val="single" w:sz="4" w:space="0" w:color="auto"/>
              <w:left w:val="single" w:sz="4" w:space="0" w:color="auto"/>
              <w:bottom w:val="single" w:sz="4" w:space="0" w:color="auto"/>
              <w:right w:val="single" w:sz="4" w:space="0" w:color="auto"/>
            </w:tcBorders>
            <w:vAlign w:val="center"/>
            <w:hideMark/>
          </w:tcPr>
          <w:p w14:paraId="7B4FF75F" w14:textId="11CA53C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42,115,980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45D201E7" w14:textId="054D518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2,186,496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49FE7A4" w14:textId="7D251FA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5,472,612 </w:t>
            </w:r>
          </w:p>
        </w:tc>
        <w:tc>
          <w:tcPr>
            <w:tcW w:w="848" w:type="dxa"/>
            <w:tcBorders>
              <w:top w:val="single" w:sz="4" w:space="0" w:color="auto"/>
              <w:left w:val="single" w:sz="4" w:space="0" w:color="auto"/>
              <w:bottom w:val="single" w:sz="4" w:space="0" w:color="auto"/>
              <w:right w:val="single" w:sz="4" w:space="0" w:color="auto"/>
            </w:tcBorders>
            <w:vAlign w:val="center"/>
            <w:hideMark/>
          </w:tcPr>
          <w:p w14:paraId="2586478F" w14:textId="42DA23A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390,471,560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740FA5" w14:textId="518F1DF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330,000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1E88E67D" w14:textId="1EE47FF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49,453,439 </w:t>
            </w:r>
          </w:p>
        </w:tc>
        <w:tc>
          <w:tcPr>
            <w:tcW w:w="585" w:type="dxa"/>
            <w:tcBorders>
              <w:top w:val="single" w:sz="4" w:space="0" w:color="auto"/>
              <w:left w:val="single" w:sz="4" w:space="0" w:color="auto"/>
              <w:bottom w:val="single" w:sz="4" w:space="0" w:color="auto"/>
              <w:right w:val="single" w:sz="4" w:space="0" w:color="auto"/>
            </w:tcBorders>
            <w:vAlign w:val="center"/>
            <w:hideMark/>
          </w:tcPr>
          <w:p w14:paraId="04FF1012" w14:textId="780759F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48184107" w14:textId="081CFB3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583961D" w14:textId="438E13F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4BB51AE6"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42F7777C"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6</w:t>
            </w:r>
          </w:p>
        </w:tc>
        <w:tc>
          <w:tcPr>
            <w:tcW w:w="1973" w:type="dxa"/>
            <w:tcBorders>
              <w:top w:val="single" w:sz="4" w:space="0" w:color="auto"/>
              <w:left w:val="single" w:sz="4" w:space="0" w:color="auto"/>
              <w:bottom w:val="single" w:sz="4" w:space="0" w:color="auto"/>
              <w:right w:val="single" w:sz="4" w:space="0" w:color="auto"/>
            </w:tcBorders>
            <w:vAlign w:val="center"/>
            <w:hideMark/>
          </w:tcPr>
          <w:p w14:paraId="2AAFAF35"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Universidad Intercultural de Colima.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0E151F5" w14:textId="01C9A26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18,320,400 </w:t>
            </w:r>
          </w:p>
        </w:tc>
        <w:tc>
          <w:tcPr>
            <w:tcW w:w="780" w:type="dxa"/>
            <w:tcBorders>
              <w:top w:val="single" w:sz="4" w:space="0" w:color="auto"/>
              <w:left w:val="single" w:sz="4" w:space="0" w:color="auto"/>
              <w:bottom w:val="single" w:sz="4" w:space="0" w:color="auto"/>
              <w:right w:val="single" w:sz="4" w:space="0" w:color="auto"/>
            </w:tcBorders>
            <w:vAlign w:val="center"/>
            <w:hideMark/>
          </w:tcPr>
          <w:p w14:paraId="4F11E557" w14:textId="19FD2B6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7C98236D" w14:textId="377B112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3941138" w14:textId="7382590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12657EAB" w14:textId="4E00ADE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18,320,400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B91A32" w14:textId="5FD03DE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0A2ED339" w14:textId="6C8D56A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4169EA21" w14:textId="3A2D835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1747C537" w14:textId="61930AC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657E90" w14:textId="21AD431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52B04F25"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7DD5D96B"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7</w:t>
            </w:r>
          </w:p>
        </w:tc>
        <w:tc>
          <w:tcPr>
            <w:tcW w:w="1973" w:type="dxa"/>
            <w:tcBorders>
              <w:top w:val="single" w:sz="4" w:space="0" w:color="auto"/>
              <w:left w:val="single" w:sz="4" w:space="0" w:color="auto"/>
              <w:bottom w:val="single" w:sz="4" w:space="0" w:color="auto"/>
              <w:right w:val="single" w:sz="4" w:space="0" w:color="auto"/>
            </w:tcBorders>
            <w:vAlign w:val="center"/>
            <w:hideMark/>
          </w:tcPr>
          <w:p w14:paraId="1002E558"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Educación Media Superior y Superior de la Universidad de Colima.</w:t>
            </w:r>
          </w:p>
        </w:tc>
        <w:tc>
          <w:tcPr>
            <w:tcW w:w="836" w:type="dxa"/>
            <w:tcBorders>
              <w:top w:val="single" w:sz="4" w:space="0" w:color="auto"/>
              <w:left w:val="single" w:sz="4" w:space="0" w:color="auto"/>
              <w:bottom w:val="single" w:sz="4" w:space="0" w:color="auto"/>
              <w:right w:val="single" w:sz="4" w:space="0" w:color="auto"/>
            </w:tcBorders>
            <w:vAlign w:val="center"/>
            <w:hideMark/>
          </w:tcPr>
          <w:p w14:paraId="5A252407" w14:textId="5128348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2,580,108,525 </w:t>
            </w:r>
          </w:p>
        </w:tc>
        <w:tc>
          <w:tcPr>
            <w:tcW w:w="780" w:type="dxa"/>
            <w:tcBorders>
              <w:top w:val="single" w:sz="4" w:space="0" w:color="auto"/>
              <w:left w:val="single" w:sz="4" w:space="0" w:color="auto"/>
              <w:bottom w:val="single" w:sz="4" w:space="0" w:color="auto"/>
              <w:right w:val="single" w:sz="4" w:space="0" w:color="auto"/>
            </w:tcBorders>
            <w:vAlign w:val="center"/>
            <w:hideMark/>
          </w:tcPr>
          <w:p w14:paraId="5DE4102F" w14:textId="06780E0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114DCDA5" w14:textId="13BA758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0D6DC00" w14:textId="66780D5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7DC2DA84" w14:textId="1CB22FC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2,580,108,525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45F729" w14:textId="6083F58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1227A774" w14:textId="00E93AB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164FD287" w14:textId="7BBEF5B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0F4C402A" w14:textId="4EE711B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464ACB" w14:textId="2EBE6F7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6B9D538D"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50D932F4"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8</w:t>
            </w:r>
          </w:p>
        </w:tc>
        <w:tc>
          <w:tcPr>
            <w:tcW w:w="1973" w:type="dxa"/>
            <w:tcBorders>
              <w:top w:val="single" w:sz="4" w:space="0" w:color="auto"/>
              <w:left w:val="single" w:sz="4" w:space="0" w:color="auto"/>
              <w:bottom w:val="single" w:sz="4" w:space="0" w:color="auto"/>
              <w:right w:val="single" w:sz="4" w:space="0" w:color="auto"/>
            </w:tcBorders>
            <w:vAlign w:val="center"/>
            <w:hideMark/>
          </w:tcPr>
          <w:p w14:paraId="3784A5CA"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Educación Superior ITC.</w:t>
            </w:r>
          </w:p>
        </w:tc>
        <w:tc>
          <w:tcPr>
            <w:tcW w:w="836" w:type="dxa"/>
            <w:tcBorders>
              <w:top w:val="single" w:sz="4" w:space="0" w:color="auto"/>
              <w:left w:val="single" w:sz="4" w:space="0" w:color="auto"/>
              <w:bottom w:val="single" w:sz="4" w:space="0" w:color="auto"/>
              <w:right w:val="single" w:sz="4" w:space="0" w:color="auto"/>
            </w:tcBorders>
            <w:vAlign w:val="center"/>
            <w:hideMark/>
          </w:tcPr>
          <w:p w14:paraId="76D9067A" w14:textId="09CA9A0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13,445,900 </w:t>
            </w:r>
          </w:p>
        </w:tc>
        <w:tc>
          <w:tcPr>
            <w:tcW w:w="780" w:type="dxa"/>
            <w:tcBorders>
              <w:top w:val="single" w:sz="4" w:space="0" w:color="auto"/>
              <w:left w:val="single" w:sz="4" w:space="0" w:color="auto"/>
              <w:bottom w:val="single" w:sz="4" w:space="0" w:color="auto"/>
              <w:right w:val="single" w:sz="4" w:space="0" w:color="auto"/>
            </w:tcBorders>
            <w:vAlign w:val="center"/>
            <w:hideMark/>
          </w:tcPr>
          <w:p w14:paraId="7EDA7D30" w14:textId="0D1E5B2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1F0198D8" w14:textId="659B3CD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515A6E" w14:textId="40AEBD9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1B06FE23" w14:textId="181EE5D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13,445,900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5045D3" w14:textId="46A8213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0093A9F1" w14:textId="63FF40B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3BEB2073" w14:textId="1976F9D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4648A176" w14:textId="660496A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B670E52" w14:textId="5A160A8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1685F03C"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0D9B3A7E"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9</w:t>
            </w:r>
          </w:p>
        </w:tc>
        <w:tc>
          <w:tcPr>
            <w:tcW w:w="1973" w:type="dxa"/>
            <w:tcBorders>
              <w:top w:val="single" w:sz="4" w:space="0" w:color="auto"/>
              <w:left w:val="single" w:sz="4" w:space="0" w:color="auto"/>
              <w:bottom w:val="single" w:sz="4" w:space="0" w:color="auto"/>
              <w:right w:val="single" w:sz="4" w:space="0" w:color="auto"/>
            </w:tcBorders>
            <w:vAlign w:val="center"/>
            <w:hideMark/>
          </w:tcPr>
          <w:p w14:paraId="171FA767"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 xml:space="preserve">Educación Superior </w:t>
            </w:r>
            <w:proofErr w:type="spellStart"/>
            <w:r>
              <w:rPr>
                <w:rFonts w:eastAsia="Times New Roman" w:cs="Arial"/>
                <w:color w:val="000000"/>
                <w:sz w:val="10"/>
                <w:szCs w:val="10"/>
                <w:lang w:val="es-ES" w:eastAsia="en-US"/>
              </w:rPr>
              <w:t>UTeM</w:t>
            </w:r>
            <w:proofErr w:type="spellEnd"/>
            <w:r>
              <w:rPr>
                <w:rFonts w:eastAsia="Times New Roman" w:cs="Arial"/>
                <w:color w:val="000000"/>
                <w:sz w:val="10"/>
                <w:szCs w:val="10"/>
                <w:lang w:val="es-ES" w:eastAsia="en-US"/>
              </w:rPr>
              <w:t>.</w:t>
            </w:r>
          </w:p>
        </w:tc>
        <w:tc>
          <w:tcPr>
            <w:tcW w:w="836" w:type="dxa"/>
            <w:tcBorders>
              <w:top w:val="single" w:sz="4" w:space="0" w:color="auto"/>
              <w:left w:val="single" w:sz="4" w:space="0" w:color="auto"/>
              <w:bottom w:val="single" w:sz="4" w:space="0" w:color="auto"/>
              <w:right w:val="single" w:sz="4" w:space="0" w:color="auto"/>
            </w:tcBorders>
            <w:vAlign w:val="center"/>
            <w:hideMark/>
          </w:tcPr>
          <w:p w14:paraId="3465D3AA" w14:textId="5EF3250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61,891,538 </w:t>
            </w:r>
          </w:p>
        </w:tc>
        <w:tc>
          <w:tcPr>
            <w:tcW w:w="780" w:type="dxa"/>
            <w:tcBorders>
              <w:top w:val="single" w:sz="4" w:space="0" w:color="auto"/>
              <w:left w:val="single" w:sz="4" w:space="0" w:color="auto"/>
              <w:bottom w:val="single" w:sz="4" w:space="0" w:color="auto"/>
              <w:right w:val="single" w:sz="4" w:space="0" w:color="auto"/>
            </w:tcBorders>
            <w:vAlign w:val="center"/>
            <w:hideMark/>
          </w:tcPr>
          <w:p w14:paraId="4175F1E8" w14:textId="1DE3224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64CE2041" w14:textId="53C4EE7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B848AF" w14:textId="25FE0FA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02C95112" w14:textId="36DECA1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61,891,538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037DDCF" w14:textId="3EC1B30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7A44FF80" w14:textId="2E6985D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440AD644" w14:textId="27D9B02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6ECAD9A0" w14:textId="1FC4A80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0BB0AE" w14:textId="0896C0A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3FA8952B"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2B5DEC5D"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10</w:t>
            </w:r>
          </w:p>
        </w:tc>
        <w:tc>
          <w:tcPr>
            <w:tcW w:w="1973" w:type="dxa"/>
            <w:tcBorders>
              <w:top w:val="single" w:sz="4" w:space="0" w:color="auto"/>
              <w:left w:val="single" w:sz="4" w:space="0" w:color="auto"/>
              <w:bottom w:val="single" w:sz="4" w:space="0" w:color="auto"/>
              <w:right w:val="single" w:sz="4" w:space="0" w:color="auto"/>
            </w:tcBorders>
            <w:vAlign w:val="center"/>
            <w:hideMark/>
          </w:tcPr>
          <w:p w14:paraId="4D4178F6"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Saneamiento Financiero.</w:t>
            </w:r>
          </w:p>
        </w:tc>
        <w:tc>
          <w:tcPr>
            <w:tcW w:w="836" w:type="dxa"/>
            <w:tcBorders>
              <w:top w:val="single" w:sz="4" w:space="0" w:color="auto"/>
              <w:left w:val="single" w:sz="4" w:space="0" w:color="auto"/>
              <w:bottom w:val="single" w:sz="4" w:space="0" w:color="auto"/>
              <w:right w:val="single" w:sz="4" w:space="0" w:color="auto"/>
            </w:tcBorders>
            <w:vAlign w:val="center"/>
            <w:hideMark/>
          </w:tcPr>
          <w:p w14:paraId="63CA52A7" w14:textId="7444D1D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366,858,099 </w:t>
            </w:r>
          </w:p>
        </w:tc>
        <w:tc>
          <w:tcPr>
            <w:tcW w:w="780" w:type="dxa"/>
            <w:tcBorders>
              <w:top w:val="single" w:sz="4" w:space="0" w:color="auto"/>
              <w:left w:val="single" w:sz="4" w:space="0" w:color="auto"/>
              <w:bottom w:val="single" w:sz="4" w:space="0" w:color="auto"/>
              <w:right w:val="single" w:sz="4" w:space="0" w:color="auto"/>
            </w:tcBorders>
            <w:vAlign w:val="center"/>
            <w:hideMark/>
          </w:tcPr>
          <w:p w14:paraId="63D1AFFA" w14:textId="15C3A5B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7E58E574" w14:textId="00562AC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36798F7" w14:textId="687D912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2863FF18" w14:textId="49C40EE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3DFA83" w14:textId="7F65AF9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27C02F4F" w14:textId="0392A4F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12E3BAA0" w14:textId="7B2951A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457B4632" w14:textId="6C074A1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540BD3D" w14:textId="4B42F99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366,858,099 </w:t>
            </w:r>
          </w:p>
        </w:tc>
      </w:tr>
      <w:tr w:rsidR="00A41077" w14:paraId="4ED8143D"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416F5B74"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11</w:t>
            </w:r>
          </w:p>
        </w:tc>
        <w:tc>
          <w:tcPr>
            <w:tcW w:w="1973" w:type="dxa"/>
            <w:tcBorders>
              <w:top w:val="single" w:sz="4" w:space="0" w:color="auto"/>
              <w:left w:val="single" w:sz="4" w:space="0" w:color="auto"/>
              <w:bottom w:val="single" w:sz="4" w:space="0" w:color="auto"/>
              <w:right w:val="single" w:sz="4" w:space="0" w:color="auto"/>
            </w:tcBorders>
            <w:vAlign w:val="center"/>
            <w:hideMark/>
          </w:tcPr>
          <w:p w14:paraId="681439E5"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Infraestructura Educativa.</w:t>
            </w:r>
          </w:p>
        </w:tc>
        <w:tc>
          <w:tcPr>
            <w:tcW w:w="836" w:type="dxa"/>
            <w:tcBorders>
              <w:top w:val="single" w:sz="4" w:space="0" w:color="auto"/>
              <w:left w:val="single" w:sz="4" w:space="0" w:color="auto"/>
              <w:bottom w:val="single" w:sz="4" w:space="0" w:color="auto"/>
              <w:right w:val="single" w:sz="4" w:space="0" w:color="auto"/>
            </w:tcBorders>
            <w:vAlign w:val="center"/>
            <w:hideMark/>
          </w:tcPr>
          <w:p w14:paraId="6AFDEE57" w14:textId="271F53F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16,622,031 </w:t>
            </w:r>
          </w:p>
        </w:tc>
        <w:tc>
          <w:tcPr>
            <w:tcW w:w="780" w:type="dxa"/>
            <w:tcBorders>
              <w:top w:val="single" w:sz="4" w:space="0" w:color="auto"/>
              <w:left w:val="single" w:sz="4" w:space="0" w:color="auto"/>
              <w:bottom w:val="single" w:sz="4" w:space="0" w:color="auto"/>
              <w:right w:val="single" w:sz="4" w:space="0" w:color="auto"/>
            </w:tcBorders>
            <w:vAlign w:val="center"/>
            <w:hideMark/>
          </w:tcPr>
          <w:p w14:paraId="2AAD6BE1" w14:textId="2FD4CBA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5A105C58" w14:textId="4770B0F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0B3925B" w14:textId="58C906B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44028699" w14:textId="030AAB1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16,622,031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FF277BF" w14:textId="07FFE88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03E89DE7" w14:textId="089FE31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0DFE4D49" w14:textId="5803143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6FE79CFE" w14:textId="764AD1A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7EB450" w14:textId="24C5F39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0E5AC469"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528D4452"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12</w:t>
            </w:r>
          </w:p>
        </w:tc>
        <w:tc>
          <w:tcPr>
            <w:tcW w:w="1973" w:type="dxa"/>
            <w:tcBorders>
              <w:top w:val="single" w:sz="4" w:space="0" w:color="auto"/>
              <w:left w:val="single" w:sz="4" w:space="0" w:color="auto"/>
              <w:bottom w:val="single" w:sz="4" w:space="0" w:color="auto"/>
              <w:right w:val="single" w:sz="4" w:space="0" w:color="auto"/>
            </w:tcBorders>
            <w:vAlign w:val="center"/>
            <w:hideMark/>
          </w:tcPr>
          <w:p w14:paraId="1082E7AA"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Arte y Cultura.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8FE317D" w14:textId="283CB5D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108,184,463 </w:t>
            </w:r>
          </w:p>
        </w:tc>
        <w:tc>
          <w:tcPr>
            <w:tcW w:w="780" w:type="dxa"/>
            <w:tcBorders>
              <w:top w:val="single" w:sz="4" w:space="0" w:color="auto"/>
              <w:left w:val="single" w:sz="4" w:space="0" w:color="auto"/>
              <w:bottom w:val="single" w:sz="4" w:space="0" w:color="auto"/>
              <w:right w:val="single" w:sz="4" w:space="0" w:color="auto"/>
            </w:tcBorders>
            <w:vAlign w:val="center"/>
            <w:hideMark/>
          </w:tcPr>
          <w:p w14:paraId="1ABD3BE3" w14:textId="0620A27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90,221,898 </w:t>
            </w:r>
          </w:p>
        </w:tc>
        <w:tc>
          <w:tcPr>
            <w:tcW w:w="712" w:type="dxa"/>
            <w:tcBorders>
              <w:top w:val="single" w:sz="4" w:space="0" w:color="auto"/>
              <w:left w:val="single" w:sz="4" w:space="0" w:color="auto"/>
              <w:bottom w:val="single" w:sz="4" w:space="0" w:color="auto"/>
              <w:right w:val="single" w:sz="4" w:space="0" w:color="auto"/>
            </w:tcBorders>
            <w:vAlign w:val="center"/>
            <w:hideMark/>
          </w:tcPr>
          <w:p w14:paraId="68AF4522" w14:textId="237FD24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1,002,945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FC291B" w14:textId="035B2E7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6,429,620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32C1BF09" w14:textId="3F5EE11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10,530,000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CA8806" w14:textId="68B7FBD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6DD11A28" w14:textId="03B2C6B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09E5516B" w14:textId="7691AC0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3D71241A" w14:textId="6457F9C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882D60F" w14:textId="62E244A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7DE05AAD"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4B2DA425"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14</w:t>
            </w:r>
          </w:p>
        </w:tc>
        <w:tc>
          <w:tcPr>
            <w:tcW w:w="1973" w:type="dxa"/>
            <w:tcBorders>
              <w:top w:val="single" w:sz="4" w:space="0" w:color="auto"/>
              <w:left w:val="single" w:sz="4" w:space="0" w:color="auto"/>
              <w:bottom w:val="single" w:sz="4" w:space="0" w:color="auto"/>
              <w:right w:val="single" w:sz="4" w:space="0" w:color="auto"/>
            </w:tcBorders>
            <w:vAlign w:val="center"/>
            <w:hideMark/>
          </w:tcPr>
          <w:p w14:paraId="30FEFB88"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Deporte y Recreación.</w:t>
            </w:r>
          </w:p>
        </w:tc>
        <w:tc>
          <w:tcPr>
            <w:tcW w:w="836" w:type="dxa"/>
            <w:tcBorders>
              <w:top w:val="single" w:sz="4" w:space="0" w:color="auto"/>
              <w:left w:val="single" w:sz="4" w:space="0" w:color="auto"/>
              <w:bottom w:val="single" w:sz="4" w:space="0" w:color="auto"/>
              <w:right w:val="single" w:sz="4" w:space="0" w:color="auto"/>
            </w:tcBorders>
            <w:vAlign w:val="center"/>
            <w:hideMark/>
          </w:tcPr>
          <w:p w14:paraId="41044CF3" w14:textId="7A8F520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78,037,815 </w:t>
            </w:r>
          </w:p>
        </w:tc>
        <w:tc>
          <w:tcPr>
            <w:tcW w:w="780" w:type="dxa"/>
            <w:tcBorders>
              <w:top w:val="single" w:sz="4" w:space="0" w:color="auto"/>
              <w:left w:val="single" w:sz="4" w:space="0" w:color="auto"/>
              <w:bottom w:val="single" w:sz="4" w:space="0" w:color="auto"/>
              <w:right w:val="single" w:sz="4" w:space="0" w:color="auto"/>
            </w:tcBorders>
            <w:vAlign w:val="center"/>
            <w:hideMark/>
          </w:tcPr>
          <w:p w14:paraId="5D08D720" w14:textId="2FAC6A0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3731C017" w14:textId="368F766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AA3078D" w14:textId="6F45DF8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2B6573DB" w14:textId="5FB6AF9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78,037,815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E1A64E8" w14:textId="402B224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059E1C02" w14:textId="5C48E1C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1DA538CB" w14:textId="1CDE9AC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668082D5" w14:textId="4B9B694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B282355" w14:textId="0A03CC0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7FF13AF9"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2303A725"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16</w:t>
            </w:r>
          </w:p>
        </w:tc>
        <w:tc>
          <w:tcPr>
            <w:tcW w:w="1973" w:type="dxa"/>
            <w:tcBorders>
              <w:top w:val="single" w:sz="4" w:space="0" w:color="auto"/>
              <w:left w:val="single" w:sz="4" w:space="0" w:color="auto"/>
              <w:bottom w:val="single" w:sz="4" w:space="0" w:color="auto"/>
              <w:right w:val="single" w:sz="4" w:space="0" w:color="auto"/>
            </w:tcBorders>
            <w:vAlign w:val="center"/>
            <w:hideMark/>
          </w:tcPr>
          <w:p w14:paraId="5E2FF980"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Equidad de Género.</w:t>
            </w:r>
          </w:p>
        </w:tc>
        <w:tc>
          <w:tcPr>
            <w:tcW w:w="836" w:type="dxa"/>
            <w:tcBorders>
              <w:top w:val="single" w:sz="4" w:space="0" w:color="auto"/>
              <w:left w:val="single" w:sz="4" w:space="0" w:color="auto"/>
              <w:bottom w:val="single" w:sz="4" w:space="0" w:color="auto"/>
              <w:right w:val="single" w:sz="4" w:space="0" w:color="auto"/>
            </w:tcBorders>
            <w:vAlign w:val="center"/>
            <w:hideMark/>
          </w:tcPr>
          <w:p w14:paraId="71839324" w14:textId="34E1939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45,449,170 </w:t>
            </w:r>
          </w:p>
        </w:tc>
        <w:tc>
          <w:tcPr>
            <w:tcW w:w="780" w:type="dxa"/>
            <w:tcBorders>
              <w:top w:val="single" w:sz="4" w:space="0" w:color="auto"/>
              <w:left w:val="single" w:sz="4" w:space="0" w:color="auto"/>
              <w:bottom w:val="single" w:sz="4" w:space="0" w:color="auto"/>
              <w:right w:val="single" w:sz="4" w:space="0" w:color="auto"/>
            </w:tcBorders>
            <w:vAlign w:val="center"/>
            <w:hideMark/>
          </w:tcPr>
          <w:p w14:paraId="5FB0BEA4" w14:textId="5BBAB30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1A8E8F71" w14:textId="5052AB6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A21B12C" w14:textId="6010C24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2996DDFF" w14:textId="7109B65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45,449,170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CF4087" w14:textId="705206A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78EB3A0E" w14:textId="656C8BE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731F2212" w14:textId="070E9B6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0C6AF777" w14:textId="2629FC4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EA44B7F" w14:textId="0E26D46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170FF86F"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64705BC4"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17</w:t>
            </w:r>
          </w:p>
        </w:tc>
        <w:tc>
          <w:tcPr>
            <w:tcW w:w="1973" w:type="dxa"/>
            <w:tcBorders>
              <w:top w:val="single" w:sz="4" w:space="0" w:color="auto"/>
              <w:left w:val="single" w:sz="4" w:space="0" w:color="auto"/>
              <w:bottom w:val="single" w:sz="4" w:space="0" w:color="auto"/>
              <w:right w:val="single" w:sz="4" w:space="0" w:color="auto"/>
            </w:tcBorders>
            <w:vAlign w:val="center"/>
            <w:hideMark/>
          </w:tcPr>
          <w:p w14:paraId="457D4B0A"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Conciliación Laboral.</w:t>
            </w:r>
          </w:p>
        </w:tc>
        <w:tc>
          <w:tcPr>
            <w:tcW w:w="836" w:type="dxa"/>
            <w:tcBorders>
              <w:top w:val="single" w:sz="4" w:space="0" w:color="auto"/>
              <w:left w:val="single" w:sz="4" w:space="0" w:color="auto"/>
              <w:bottom w:val="single" w:sz="4" w:space="0" w:color="auto"/>
              <w:right w:val="single" w:sz="4" w:space="0" w:color="auto"/>
            </w:tcBorders>
            <w:vAlign w:val="center"/>
            <w:hideMark/>
          </w:tcPr>
          <w:p w14:paraId="72B49A7E" w14:textId="41D3C64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10,400,000 </w:t>
            </w:r>
          </w:p>
        </w:tc>
        <w:tc>
          <w:tcPr>
            <w:tcW w:w="780" w:type="dxa"/>
            <w:tcBorders>
              <w:top w:val="single" w:sz="4" w:space="0" w:color="auto"/>
              <w:left w:val="single" w:sz="4" w:space="0" w:color="auto"/>
              <w:bottom w:val="single" w:sz="4" w:space="0" w:color="auto"/>
              <w:right w:val="single" w:sz="4" w:space="0" w:color="auto"/>
            </w:tcBorders>
            <w:vAlign w:val="center"/>
            <w:hideMark/>
          </w:tcPr>
          <w:p w14:paraId="1597C824" w14:textId="1459007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7AE5C3FF" w14:textId="2360405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B9D134F" w14:textId="0C21EDB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33FA9956" w14:textId="73C4670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10,400,000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FD957B4" w14:textId="565C908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4006579A" w14:textId="04112C8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4E5B8629" w14:textId="0552B35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2836BD38" w14:textId="0C00A8A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05DD84" w14:textId="5F9359F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0E6C78E0"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5ABA67E1"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18</w:t>
            </w:r>
          </w:p>
        </w:tc>
        <w:tc>
          <w:tcPr>
            <w:tcW w:w="1973" w:type="dxa"/>
            <w:tcBorders>
              <w:top w:val="single" w:sz="4" w:space="0" w:color="auto"/>
              <w:left w:val="single" w:sz="4" w:space="0" w:color="auto"/>
              <w:bottom w:val="single" w:sz="4" w:space="0" w:color="auto"/>
              <w:right w:val="single" w:sz="4" w:space="0" w:color="auto"/>
            </w:tcBorders>
            <w:vAlign w:val="center"/>
            <w:hideMark/>
          </w:tcPr>
          <w:p w14:paraId="3C300D5D"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Consolidación de la Familia, Apoyo a la Niñez y Grupos Vulnerables.</w:t>
            </w:r>
          </w:p>
        </w:tc>
        <w:tc>
          <w:tcPr>
            <w:tcW w:w="836" w:type="dxa"/>
            <w:tcBorders>
              <w:top w:val="single" w:sz="4" w:space="0" w:color="auto"/>
              <w:left w:val="single" w:sz="4" w:space="0" w:color="auto"/>
              <w:bottom w:val="single" w:sz="4" w:space="0" w:color="auto"/>
              <w:right w:val="single" w:sz="4" w:space="0" w:color="auto"/>
            </w:tcBorders>
            <w:vAlign w:val="center"/>
            <w:hideMark/>
          </w:tcPr>
          <w:p w14:paraId="1A7D6E79" w14:textId="372794A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425,523,218 </w:t>
            </w:r>
          </w:p>
        </w:tc>
        <w:tc>
          <w:tcPr>
            <w:tcW w:w="780" w:type="dxa"/>
            <w:tcBorders>
              <w:top w:val="single" w:sz="4" w:space="0" w:color="auto"/>
              <w:left w:val="single" w:sz="4" w:space="0" w:color="auto"/>
              <w:bottom w:val="single" w:sz="4" w:space="0" w:color="auto"/>
              <w:right w:val="single" w:sz="4" w:space="0" w:color="auto"/>
            </w:tcBorders>
            <w:vAlign w:val="center"/>
            <w:hideMark/>
          </w:tcPr>
          <w:p w14:paraId="5903C896" w14:textId="380A689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0132F7EA" w14:textId="79893B0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5D822F" w14:textId="2A53A57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6D580510" w14:textId="7BBD688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425,523,218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C720CC" w14:textId="51CC4D7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46421C95" w14:textId="1AD72A3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714F5E3C" w14:textId="48DD987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0CDF2966" w14:textId="43002C0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843DC6F" w14:textId="011AFA5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0B99772F"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7265E816"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19</w:t>
            </w:r>
          </w:p>
        </w:tc>
        <w:tc>
          <w:tcPr>
            <w:tcW w:w="1973" w:type="dxa"/>
            <w:tcBorders>
              <w:top w:val="single" w:sz="4" w:space="0" w:color="auto"/>
              <w:left w:val="single" w:sz="4" w:space="0" w:color="auto"/>
              <w:bottom w:val="single" w:sz="4" w:space="0" w:color="auto"/>
              <w:right w:val="single" w:sz="4" w:space="0" w:color="auto"/>
            </w:tcBorders>
            <w:vAlign w:val="center"/>
            <w:hideMark/>
          </w:tcPr>
          <w:p w14:paraId="4A859578"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Apoyo a Grupos Vulnerables con Discapacidad.</w:t>
            </w:r>
          </w:p>
        </w:tc>
        <w:tc>
          <w:tcPr>
            <w:tcW w:w="836" w:type="dxa"/>
            <w:tcBorders>
              <w:top w:val="single" w:sz="4" w:space="0" w:color="auto"/>
              <w:left w:val="single" w:sz="4" w:space="0" w:color="auto"/>
              <w:bottom w:val="single" w:sz="4" w:space="0" w:color="auto"/>
              <w:right w:val="single" w:sz="4" w:space="0" w:color="auto"/>
            </w:tcBorders>
            <w:vAlign w:val="center"/>
            <w:hideMark/>
          </w:tcPr>
          <w:p w14:paraId="01C3F1A4" w14:textId="2063DE1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4,767,228 </w:t>
            </w:r>
          </w:p>
        </w:tc>
        <w:tc>
          <w:tcPr>
            <w:tcW w:w="780" w:type="dxa"/>
            <w:tcBorders>
              <w:top w:val="single" w:sz="4" w:space="0" w:color="auto"/>
              <w:left w:val="single" w:sz="4" w:space="0" w:color="auto"/>
              <w:bottom w:val="single" w:sz="4" w:space="0" w:color="auto"/>
              <w:right w:val="single" w:sz="4" w:space="0" w:color="auto"/>
            </w:tcBorders>
            <w:vAlign w:val="center"/>
            <w:hideMark/>
          </w:tcPr>
          <w:p w14:paraId="5519DA46" w14:textId="482E2FF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5BD78406" w14:textId="29E840A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F0CDCB" w14:textId="607940A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3213C900" w14:textId="4962D1D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4,767,228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C12E057" w14:textId="56AD3B4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3B352D31" w14:textId="5B70D76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02138480" w14:textId="28CC5D9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41CED1DB" w14:textId="621481A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655909C" w14:textId="0B64FE8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783E3110"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197DF6A1"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20</w:t>
            </w:r>
          </w:p>
        </w:tc>
        <w:tc>
          <w:tcPr>
            <w:tcW w:w="1973" w:type="dxa"/>
            <w:tcBorders>
              <w:top w:val="single" w:sz="4" w:space="0" w:color="auto"/>
              <w:left w:val="single" w:sz="4" w:space="0" w:color="auto"/>
              <w:bottom w:val="single" w:sz="4" w:space="0" w:color="auto"/>
              <w:right w:val="single" w:sz="4" w:space="0" w:color="auto"/>
            </w:tcBorders>
            <w:vAlign w:val="center"/>
            <w:hideMark/>
          </w:tcPr>
          <w:p w14:paraId="106B4CF1"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Gestión y Control del Patrimonio Inmobiliario.</w:t>
            </w:r>
          </w:p>
        </w:tc>
        <w:tc>
          <w:tcPr>
            <w:tcW w:w="836" w:type="dxa"/>
            <w:tcBorders>
              <w:top w:val="single" w:sz="4" w:space="0" w:color="auto"/>
              <w:left w:val="single" w:sz="4" w:space="0" w:color="auto"/>
              <w:bottom w:val="single" w:sz="4" w:space="0" w:color="auto"/>
              <w:right w:val="single" w:sz="4" w:space="0" w:color="auto"/>
            </w:tcBorders>
            <w:vAlign w:val="center"/>
            <w:hideMark/>
          </w:tcPr>
          <w:p w14:paraId="7F7373D7" w14:textId="4FCEBEA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1,000,000 </w:t>
            </w:r>
          </w:p>
        </w:tc>
        <w:tc>
          <w:tcPr>
            <w:tcW w:w="780" w:type="dxa"/>
            <w:tcBorders>
              <w:top w:val="single" w:sz="4" w:space="0" w:color="auto"/>
              <w:left w:val="single" w:sz="4" w:space="0" w:color="auto"/>
              <w:bottom w:val="single" w:sz="4" w:space="0" w:color="auto"/>
              <w:right w:val="single" w:sz="4" w:space="0" w:color="auto"/>
            </w:tcBorders>
            <w:vAlign w:val="center"/>
            <w:hideMark/>
          </w:tcPr>
          <w:p w14:paraId="0B300B73" w14:textId="32E777B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4D33F67F" w14:textId="70E4AC0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84370F" w14:textId="4E5C671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34411AE2" w14:textId="02CEB35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1,000,000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0B1212D" w14:textId="0D1D6F4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6652835A" w14:textId="6F609AD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068602E5" w14:textId="473652B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5E29AD95" w14:textId="25E184D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FF51547" w14:textId="0907978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561709BA"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04ED1ECA"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21</w:t>
            </w:r>
          </w:p>
        </w:tc>
        <w:tc>
          <w:tcPr>
            <w:tcW w:w="1973" w:type="dxa"/>
            <w:tcBorders>
              <w:top w:val="single" w:sz="4" w:space="0" w:color="auto"/>
              <w:left w:val="single" w:sz="4" w:space="0" w:color="auto"/>
              <w:bottom w:val="single" w:sz="4" w:space="0" w:color="auto"/>
              <w:right w:val="single" w:sz="4" w:space="0" w:color="auto"/>
            </w:tcBorders>
            <w:vAlign w:val="center"/>
            <w:hideMark/>
          </w:tcPr>
          <w:p w14:paraId="17C2D51F"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Atención a la Juventud.</w:t>
            </w:r>
          </w:p>
        </w:tc>
        <w:tc>
          <w:tcPr>
            <w:tcW w:w="836" w:type="dxa"/>
            <w:tcBorders>
              <w:top w:val="single" w:sz="4" w:space="0" w:color="auto"/>
              <w:left w:val="single" w:sz="4" w:space="0" w:color="auto"/>
              <w:bottom w:val="single" w:sz="4" w:space="0" w:color="auto"/>
              <w:right w:val="single" w:sz="4" w:space="0" w:color="auto"/>
            </w:tcBorders>
            <w:vAlign w:val="center"/>
            <w:hideMark/>
          </w:tcPr>
          <w:p w14:paraId="2876C068" w14:textId="50529D2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12,334,575 </w:t>
            </w:r>
          </w:p>
        </w:tc>
        <w:tc>
          <w:tcPr>
            <w:tcW w:w="780" w:type="dxa"/>
            <w:tcBorders>
              <w:top w:val="single" w:sz="4" w:space="0" w:color="auto"/>
              <w:left w:val="single" w:sz="4" w:space="0" w:color="auto"/>
              <w:bottom w:val="single" w:sz="4" w:space="0" w:color="auto"/>
              <w:right w:val="single" w:sz="4" w:space="0" w:color="auto"/>
            </w:tcBorders>
            <w:vAlign w:val="center"/>
            <w:hideMark/>
          </w:tcPr>
          <w:p w14:paraId="6EC02DD2" w14:textId="616A5C3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8,519,745 </w:t>
            </w:r>
          </w:p>
        </w:tc>
        <w:tc>
          <w:tcPr>
            <w:tcW w:w="712" w:type="dxa"/>
            <w:tcBorders>
              <w:top w:val="single" w:sz="4" w:space="0" w:color="auto"/>
              <w:left w:val="single" w:sz="4" w:space="0" w:color="auto"/>
              <w:bottom w:val="single" w:sz="4" w:space="0" w:color="auto"/>
              <w:right w:val="single" w:sz="4" w:space="0" w:color="auto"/>
            </w:tcBorders>
            <w:vAlign w:val="center"/>
            <w:hideMark/>
          </w:tcPr>
          <w:p w14:paraId="5DAABB89" w14:textId="37E7B56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436,336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9E9667C" w14:textId="1C085EA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1,178,494 </w:t>
            </w:r>
          </w:p>
        </w:tc>
        <w:tc>
          <w:tcPr>
            <w:tcW w:w="848" w:type="dxa"/>
            <w:tcBorders>
              <w:top w:val="single" w:sz="4" w:space="0" w:color="auto"/>
              <w:left w:val="single" w:sz="4" w:space="0" w:color="auto"/>
              <w:bottom w:val="single" w:sz="4" w:space="0" w:color="auto"/>
              <w:right w:val="single" w:sz="4" w:space="0" w:color="auto"/>
            </w:tcBorders>
            <w:vAlign w:val="center"/>
            <w:hideMark/>
          </w:tcPr>
          <w:p w14:paraId="0A0D9C96" w14:textId="7B22EB3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2,200,000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73CCB95" w14:textId="49DC11D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025AE99A" w14:textId="69A798F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74C05D95" w14:textId="20DE7DF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12D31685" w14:textId="16A235D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7139A66" w14:textId="1981D37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4DB0DC38"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4CDD1A22"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22</w:t>
            </w:r>
          </w:p>
        </w:tc>
        <w:tc>
          <w:tcPr>
            <w:tcW w:w="1973" w:type="dxa"/>
            <w:tcBorders>
              <w:top w:val="single" w:sz="4" w:space="0" w:color="auto"/>
              <w:left w:val="single" w:sz="4" w:space="0" w:color="auto"/>
              <w:bottom w:val="single" w:sz="4" w:space="0" w:color="auto"/>
              <w:right w:val="single" w:sz="4" w:space="0" w:color="auto"/>
            </w:tcBorders>
            <w:vAlign w:val="center"/>
            <w:hideMark/>
          </w:tcPr>
          <w:p w14:paraId="594063F7"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Adultos Mayores.</w:t>
            </w:r>
          </w:p>
        </w:tc>
        <w:tc>
          <w:tcPr>
            <w:tcW w:w="836" w:type="dxa"/>
            <w:tcBorders>
              <w:top w:val="single" w:sz="4" w:space="0" w:color="auto"/>
              <w:left w:val="single" w:sz="4" w:space="0" w:color="auto"/>
              <w:bottom w:val="single" w:sz="4" w:space="0" w:color="auto"/>
              <w:right w:val="single" w:sz="4" w:space="0" w:color="auto"/>
            </w:tcBorders>
            <w:vAlign w:val="center"/>
            <w:hideMark/>
          </w:tcPr>
          <w:p w14:paraId="1647DDDD" w14:textId="5853811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7,261,237 </w:t>
            </w:r>
          </w:p>
        </w:tc>
        <w:tc>
          <w:tcPr>
            <w:tcW w:w="780" w:type="dxa"/>
            <w:tcBorders>
              <w:top w:val="single" w:sz="4" w:space="0" w:color="auto"/>
              <w:left w:val="single" w:sz="4" w:space="0" w:color="auto"/>
              <w:bottom w:val="single" w:sz="4" w:space="0" w:color="auto"/>
              <w:right w:val="single" w:sz="4" w:space="0" w:color="auto"/>
            </w:tcBorders>
            <w:vAlign w:val="center"/>
            <w:hideMark/>
          </w:tcPr>
          <w:p w14:paraId="5E1726AC" w14:textId="1624423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393387F3" w14:textId="0DAD226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8F34B99" w14:textId="1925142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78A7E9A5" w14:textId="24A7E48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7,261,237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BB6091" w14:textId="0B4CC73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1B747DCF" w14:textId="23321F3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5F0B2D96" w14:textId="594047A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4AE0C6F5" w14:textId="1E7A418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C3D7B53" w14:textId="1AE949B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758841EA"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14FD2B9C"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23</w:t>
            </w:r>
          </w:p>
        </w:tc>
        <w:tc>
          <w:tcPr>
            <w:tcW w:w="1973" w:type="dxa"/>
            <w:tcBorders>
              <w:top w:val="single" w:sz="4" w:space="0" w:color="auto"/>
              <w:left w:val="single" w:sz="4" w:space="0" w:color="auto"/>
              <w:bottom w:val="single" w:sz="4" w:space="0" w:color="auto"/>
              <w:right w:val="single" w:sz="4" w:space="0" w:color="auto"/>
            </w:tcBorders>
            <w:vAlign w:val="center"/>
            <w:hideMark/>
          </w:tcPr>
          <w:p w14:paraId="4F7EBC4A"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Promoción de la Competitividad y el Empleo.</w:t>
            </w:r>
          </w:p>
        </w:tc>
        <w:tc>
          <w:tcPr>
            <w:tcW w:w="836" w:type="dxa"/>
            <w:tcBorders>
              <w:top w:val="single" w:sz="4" w:space="0" w:color="auto"/>
              <w:left w:val="single" w:sz="4" w:space="0" w:color="auto"/>
              <w:bottom w:val="single" w:sz="4" w:space="0" w:color="auto"/>
              <w:right w:val="single" w:sz="4" w:space="0" w:color="auto"/>
            </w:tcBorders>
            <w:vAlign w:val="center"/>
            <w:hideMark/>
          </w:tcPr>
          <w:p w14:paraId="4C0A3AB3" w14:textId="5C4F7B8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47,675,123 </w:t>
            </w:r>
          </w:p>
        </w:tc>
        <w:tc>
          <w:tcPr>
            <w:tcW w:w="780" w:type="dxa"/>
            <w:tcBorders>
              <w:top w:val="single" w:sz="4" w:space="0" w:color="auto"/>
              <w:left w:val="single" w:sz="4" w:space="0" w:color="auto"/>
              <w:bottom w:val="single" w:sz="4" w:space="0" w:color="auto"/>
              <w:right w:val="single" w:sz="4" w:space="0" w:color="auto"/>
            </w:tcBorders>
            <w:vAlign w:val="center"/>
            <w:hideMark/>
          </w:tcPr>
          <w:p w14:paraId="3F7ABA5F" w14:textId="7BDDDAD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36,354,135 </w:t>
            </w:r>
          </w:p>
        </w:tc>
        <w:tc>
          <w:tcPr>
            <w:tcW w:w="712" w:type="dxa"/>
            <w:tcBorders>
              <w:top w:val="single" w:sz="4" w:space="0" w:color="auto"/>
              <w:left w:val="single" w:sz="4" w:space="0" w:color="auto"/>
              <w:bottom w:val="single" w:sz="4" w:space="0" w:color="auto"/>
              <w:right w:val="single" w:sz="4" w:space="0" w:color="auto"/>
            </w:tcBorders>
            <w:vAlign w:val="center"/>
            <w:hideMark/>
          </w:tcPr>
          <w:p w14:paraId="624CA414" w14:textId="75E944C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2,046,759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3F7DBD" w14:textId="41B1D94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2,219,229 </w:t>
            </w:r>
          </w:p>
        </w:tc>
        <w:tc>
          <w:tcPr>
            <w:tcW w:w="848" w:type="dxa"/>
            <w:tcBorders>
              <w:top w:val="single" w:sz="4" w:space="0" w:color="auto"/>
              <w:left w:val="single" w:sz="4" w:space="0" w:color="auto"/>
              <w:bottom w:val="single" w:sz="4" w:space="0" w:color="auto"/>
              <w:right w:val="single" w:sz="4" w:space="0" w:color="auto"/>
            </w:tcBorders>
            <w:vAlign w:val="center"/>
            <w:hideMark/>
          </w:tcPr>
          <w:p w14:paraId="6BC799C5" w14:textId="54AD392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6,980,000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362F9CC" w14:textId="7D125D3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75,000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67160237" w14:textId="319417D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525FE287" w14:textId="101639A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43823A1F" w14:textId="78A6EB6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FC925F" w14:textId="5A65F64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5A0F5BEE"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0755B482"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24</w:t>
            </w:r>
          </w:p>
        </w:tc>
        <w:tc>
          <w:tcPr>
            <w:tcW w:w="1973" w:type="dxa"/>
            <w:tcBorders>
              <w:top w:val="single" w:sz="4" w:space="0" w:color="auto"/>
              <w:left w:val="single" w:sz="4" w:space="0" w:color="auto"/>
              <w:bottom w:val="single" w:sz="4" w:space="0" w:color="auto"/>
              <w:right w:val="single" w:sz="4" w:space="0" w:color="auto"/>
            </w:tcBorders>
            <w:vAlign w:val="center"/>
            <w:hideMark/>
          </w:tcPr>
          <w:p w14:paraId="7DFA947F"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Desarrollo Económico.</w:t>
            </w:r>
          </w:p>
        </w:tc>
        <w:tc>
          <w:tcPr>
            <w:tcW w:w="836" w:type="dxa"/>
            <w:tcBorders>
              <w:top w:val="single" w:sz="4" w:space="0" w:color="auto"/>
              <w:left w:val="single" w:sz="4" w:space="0" w:color="auto"/>
              <w:bottom w:val="single" w:sz="4" w:space="0" w:color="auto"/>
              <w:right w:val="single" w:sz="4" w:space="0" w:color="auto"/>
            </w:tcBorders>
            <w:vAlign w:val="center"/>
            <w:hideMark/>
          </w:tcPr>
          <w:p w14:paraId="111FD1F6" w14:textId="642860D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56,007,820 </w:t>
            </w:r>
          </w:p>
        </w:tc>
        <w:tc>
          <w:tcPr>
            <w:tcW w:w="780" w:type="dxa"/>
            <w:tcBorders>
              <w:top w:val="single" w:sz="4" w:space="0" w:color="auto"/>
              <w:left w:val="single" w:sz="4" w:space="0" w:color="auto"/>
              <w:bottom w:val="single" w:sz="4" w:space="0" w:color="auto"/>
              <w:right w:val="single" w:sz="4" w:space="0" w:color="auto"/>
            </w:tcBorders>
            <w:vAlign w:val="center"/>
            <w:hideMark/>
          </w:tcPr>
          <w:p w14:paraId="0CC68DBB" w14:textId="6A4600C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21,964,024 </w:t>
            </w:r>
          </w:p>
        </w:tc>
        <w:tc>
          <w:tcPr>
            <w:tcW w:w="712" w:type="dxa"/>
            <w:tcBorders>
              <w:top w:val="single" w:sz="4" w:space="0" w:color="auto"/>
              <w:left w:val="single" w:sz="4" w:space="0" w:color="auto"/>
              <w:bottom w:val="single" w:sz="4" w:space="0" w:color="auto"/>
              <w:right w:val="single" w:sz="4" w:space="0" w:color="auto"/>
            </w:tcBorders>
            <w:vAlign w:val="center"/>
            <w:hideMark/>
          </w:tcPr>
          <w:p w14:paraId="3837FDB9" w14:textId="697B9AC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537,977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0D8449" w14:textId="5809558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2,910,819 </w:t>
            </w:r>
          </w:p>
        </w:tc>
        <w:tc>
          <w:tcPr>
            <w:tcW w:w="848" w:type="dxa"/>
            <w:tcBorders>
              <w:top w:val="single" w:sz="4" w:space="0" w:color="auto"/>
              <w:left w:val="single" w:sz="4" w:space="0" w:color="auto"/>
              <w:bottom w:val="single" w:sz="4" w:space="0" w:color="auto"/>
              <w:right w:val="single" w:sz="4" w:space="0" w:color="auto"/>
            </w:tcBorders>
            <w:vAlign w:val="center"/>
            <w:hideMark/>
          </w:tcPr>
          <w:p w14:paraId="3C98DBCE" w14:textId="593DA6A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30,500,000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354E45" w14:textId="079EF15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95,000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4B087E23" w14:textId="421F4FB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1FDBF316" w14:textId="6CE106A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54095BD2" w14:textId="117CF9B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6147669" w14:textId="0FE644B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3CF7034E"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1A46A5BC"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25</w:t>
            </w:r>
          </w:p>
        </w:tc>
        <w:tc>
          <w:tcPr>
            <w:tcW w:w="1973" w:type="dxa"/>
            <w:tcBorders>
              <w:top w:val="single" w:sz="4" w:space="0" w:color="auto"/>
              <w:left w:val="single" w:sz="4" w:space="0" w:color="auto"/>
              <w:bottom w:val="single" w:sz="4" w:space="0" w:color="auto"/>
              <w:right w:val="single" w:sz="4" w:space="0" w:color="auto"/>
            </w:tcBorders>
            <w:vAlign w:val="center"/>
            <w:hideMark/>
          </w:tcPr>
          <w:p w14:paraId="2350E2D5"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Modernización del Sector Agropecuario, Acuícola, Pesquero y Forestal.</w:t>
            </w:r>
          </w:p>
        </w:tc>
        <w:tc>
          <w:tcPr>
            <w:tcW w:w="836" w:type="dxa"/>
            <w:tcBorders>
              <w:top w:val="single" w:sz="4" w:space="0" w:color="auto"/>
              <w:left w:val="single" w:sz="4" w:space="0" w:color="auto"/>
              <w:bottom w:val="single" w:sz="4" w:space="0" w:color="auto"/>
              <w:right w:val="single" w:sz="4" w:space="0" w:color="auto"/>
            </w:tcBorders>
            <w:vAlign w:val="center"/>
            <w:hideMark/>
          </w:tcPr>
          <w:p w14:paraId="711ACE6E" w14:textId="139233A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106,711,551 </w:t>
            </w:r>
          </w:p>
        </w:tc>
        <w:tc>
          <w:tcPr>
            <w:tcW w:w="780" w:type="dxa"/>
            <w:tcBorders>
              <w:top w:val="single" w:sz="4" w:space="0" w:color="auto"/>
              <w:left w:val="single" w:sz="4" w:space="0" w:color="auto"/>
              <w:bottom w:val="single" w:sz="4" w:space="0" w:color="auto"/>
              <w:right w:val="single" w:sz="4" w:space="0" w:color="auto"/>
            </w:tcBorders>
            <w:vAlign w:val="center"/>
            <w:hideMark/>
          </w:tcPr>
          <w:p w14:paraId="2C6E55FC" w14:textId="7D2A326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48,490,852 </w:t>
            </w:r>
          </w:p>
        </w:tc>
        <w:tc>
          <w:tcPr>
            <w:tcW w:w="712" w:type="dxa"/>
            <w:tcBorders>
              <w:top w:val="single" w:sz="4" w:space="0" w:color="auto"/>
              <w:left w:val="single" w:sz="4" w:space="0" w:color="auto"/>
              <w:bottom w:val="single" w:sz="4" w:space="0" w:color="auto"/>
              <w:right w:val="single" w:sz="4" w:space="0" w:color="auto"/>
            </w:tcBorders>
            <w:vAlign w:val="center"/>
            <w:hideMark/>
          </w:tcPr>
          <w:p w14:paraId="1FE5807C" w14:textId="10FFE23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2,993,255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27EEA04" w14:textId="6D7C021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1,739,444 </w:t>
            </w:r>
          </w:p>
        </w:tc>
        <w:tc>
          <w:tcPr>
            <w:tcW w:w="848" w:type="dxa"/>
            <w:tcBorders>
              <w:top w:val="single" w:sz="4" w:space="0" w:color="auto"/>
              <w:left w:val="single" w:sz="4" w:space="0" w:color="auto"/>
              <w:bottom w:val="single" w:sz="4" w:space="0" w:color="auto"/>
              <w:right w:val="single" w:sz="4" w:space="0" w:color="auto"/>
            </w:tcBorders>
            <w:vAlign w:val="center"/>
            <w:hideMark/>
          </w:tcPr>
          <w:p w14:paraId="19E4748C" w14:textId="6AEC3EE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53,288,000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C57D135" w14:textId="1AA473E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200,000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0001E0DC" w14:textId="4B9B711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631BFC1C" w14:textId="4AF9F6B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43A3B41C" w14:textId="0A182FA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A417A1F" w14:textId="15EE9CF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2218A854"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6B468D8B"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26</w:t>
            </w:r>
          </w:p>
        </w:tc>
        <w:tc>
          <w:tcPr>
            <w:tcW w:w="1973" w:type="dxa"/>
            <w:tcBorders>
              <w:top w:val="single" w:sz="4" w:space="0" w:color="auto"/>
              <w:left w:val="single" w:sz="4" w:space="0" w:color="auto"/>
              <w:bottom w:val="single" w:sz="4" w:space="0" w:color="auto"/>
              <w:right w:val="single" w:sz="4" w:space="0" w:color="auto"/>
            </w:tcBorders>
            <w:vAlign w:val="center"/>
            <w:hideMark/>
          </w:tcPr>
          <w:p w14:paraId="0CB0EEE8"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Impulso del Sector Turístico Competitivo y Sustentable.</w:t>
            </w:r>
          </w:p>
        </w:tc>
        <w:tc>
          <w:tcPr>
            <w:tcW w:w="836" w:type="dxa"/>
            <w:tcBorders>
              <w:top w:val="single" w:sz="4" w:space="0" w:color="auto"/>
              <w:left w:val="single" w:sz="4" w:space="0" w:color="auto"/>
              <w:bottom w:val="single" w:sz="4" w:space="0" w:color="auto"/>
              <w:right w:val="single" w:sz="4" w:space="0" w:color="auto"/>
            </w:tcBorders>
            <w:vAlign w:val="center"/>
            <w:hideMark/>
          </w:tcPr>
          <w:p w14:paraId="7AC9F2D9" w14:textId="2ADCDD5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52,661,166 </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76745B" w14:textId="53FDA48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23,970,435 </w:t>
            </w:r>
          </w:p>
        </w:tc>
        <w:tc>
          <w:tcPr>
            <w:tcW w:w="712" w:type="dxa"/>
            <w:tcBorders>
              <w:top w:val="single" w:sz="4" w:space="0" w:color="auto"/>
              <w:left w:val="single" w:sz="4" w:space="0" w:color="auto"/>
              <w:bottom w:val="single" w:sz="4" w:space="0" w:color="auto"/>
              <w:right w:val="single" w:sz="4" w:space="0" w:color="auto"/>
            </w:tcBorders>
            <w:vAlign w:val="center"/>
            <w:hideMark/>
          </w:tcPr>
          <w:p w14:paraId="4B5A94E9" w14:textId="1BA23A3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574,118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D0F7DEB" w14:textId="65FA76E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8,116,613 </w:t>
            </w:r>
          </w:p>
        </w:tc>
        <w:tc>
          <w:tcPr>
            <w:tcW w:w="848" w:type="dxa"/>
            <w:tcBorders>
              <w:top w:val="single" w:sz="4" w:space="0" w:color="auto"/>
              <w:left w:val="single" w:sz="4" w:space="0" w:color="auto"/>
              <w:bottom w:val="single" w:sz="4" w:space="0" w:color="auto"/>
              <w:right w:val="single" w:sz="4" w:space="0" w:color="auto"/>
            </w:tcBorders>
            <w:vAlign w:val="center"/>
            <w:hideMark/>
          </w:tcPr>
          <w:p w14:paraId="065E80F5" w14:textId="1CD1019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20,000,000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85EFB9" w14:textId="023E2AF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174A794E" w14:textId="6B6CFC2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1F1C6ACC" w14:textId="01E5E05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2039D633" w14:textId="2CAD417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5DB1DF2" w14:textId="0D937AA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4CFFB4C6"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26FE6912"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27</w:t>
            </w:r>
          </w:p>
        </w:tc>
        <w:tc>
          <w:tcPr>
            <w:tcW w:w="1973" w:type="dxa"/>
            <w:tcBorders>
              <w:top w:val="single" w:sz="4" w:space="0" w:color="auto"/>
              <w:left w:val="single" w:sz="4" w:space="0" w:color="auto"/>
              <w:bottom w:val="single" w:sz="4" w:space="0" w:color="auto"/>
              <w:right w:val="single" w:sz="4" w:space="0" w:color="auto"/>
            </w:tcBorders>
            <w:vAlign w:val="center"/>
            <w:hideMark/>
          </w:tcPr>
          <w:p w14:paraId="0911A71E"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Coordinación Control, Comando, Comunicación, Computo e Inteligencia C5i.</w:t>
            </w:r>
          </w:p>
        </w:tc>
        <w:tc>
          <w:tcPr>
            <w:tcW w:w="836" w:type="dxa"/>
            <w:tcBorders>
              <w:top w:val="single" w:sz="4" w:space="0" w:color="auto"/>
              <w:left w:val="single" w:sz="4" w:space="0" w:color="auto"/>
              <w:bottom w:val="single" w:sz="4" w:space="0" w:color="auto"/>
              <w:right w:val="single" w:sz="4" w:space="0" w:color="auto"/>
            </w:tcBorders>
            <w:vAlign w:val="center"/>
            <w:hideMark/>
          </w:tcPr>
          <w:p w14:paraId="0544D9A2" w14:textId="468CCB7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12,752,625 </w:t>
            </w:r>
          </w:p>
        </w:tc>
        <w:tc>
          <w:tcPr>
            <w:tcW w:w="780" w:type="dxa"/>
            <w:tcBorders>
              <w:top w:val="single" w:sz="4" w:space="0" w:color="auto"/>
              <w:left w:val="single" w:sz="4" w:space="0" w:color="auto"/>
              <w:bottom w:val="single" w:sz="4" w:space="0" w:color="auto"/>
              <w:right w:val="single" w:sz="4" w:space="0" w:color="auto"/>
            </w:tcBorders>
            <w:vAlign w:val="center"/>
            <w:hideMark/>
          </w:tcPr>
          <w:p w14:paraId="3D5DC403" w14:textId="779B21E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9,050,315 </w:t>
            </w:r>
          </w:p>
        </w:tc>
        <w:tc>
          <w:tcPr>
            <w:tcW w:w="712" w:type="dxa"/>
            <w:tcBorders>
              <w:top w:val="single" w:sz="4" w:space="0" w:color="auto"/>
              <w:left w:val="single" w:sz="4" w:space="0" w:color="auto"/>
              <w:bottom w:val="single" w:sz="4" w:space="0" w:color="auto"/>
              <w:right w:val="single" w:sz="4" w:space="0" w:color="auto"/>
            </w:tcBorders>
            <w:vAlign w:val="center"/>
            <w:hideMark/>
          </w:tcPr>
          <w:p w14:paraId="51358EB7" w14:textId="25A9968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1,030,818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B0E457" w14:textId="1259F3E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2,671,492 </w:t>
            </w:r>
          </w:p>
        </w:tc>
        <w:tc>
          <w:tcPr>
            <w:tcW w:w="848" w:type="dxa"/>
            <w:tcBorders>
              <w:top w:val="single" w:sz="4" w:space="0" w:color="auto"/>
              <w:left w:val="single" w:sz="4" w:space="0" w:color="auto"/>
              <w:bottom w:val="single" w:sz="4" w:space="0" w:color="auto"/>
              <w:right w:val="single" w:sz="4" w:space="0" w:color="auto"/>
            </w:tcBorders>
            <w:vAlign w:val="center"/>
            <w:hideMark/>
          </w:tcPr>
          <w:p w14:paraId="333499A0" w14:textId="0591554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3F65590" w14:textId="1FB4CC0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1C3D1EE6" w14:textId="09A7255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6FD73020" w14:textId="4478B0F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2D5E1BE9" w14:textId="307E329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617CDC" w14:textId="512FDEB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668F3330"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08C6FA42" w14:textId="7777777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30</w:t>
            </w:r>
          </w:p>
        </w:tc>
        <w:tc>
          <w:tcPr>
            <w:tcW w:w="1973" w:type="dxa"/>
            <w:tcBorders>
              <w:top w:val="single" w:sz="4" w:space="0" w:color="auto"/>
              <w:left w:val="single" w:sz="4" w:space="0" w:color="auto"/>
              <w:bottom w:val="single" w:sz="4" w:space="0" w:color="auto"/>
              <w:right w:val="single" w:sz="4" w:space="0" w:color="auto"/>
            </w:tcBorders>
            <w:vAlign w:val="center"/>
            <w:hideMark/>
          </w:tcPr>
          <w:p w14:paraId="547B5FC9" w14:textId="777777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Arbitraje y Escalafón.</w:t>
            </w:r>
          </w:p>
        </w:tc>
        <w:tc>
          <w:tcPr>
            <w:tcW w:w="836" w:type="dxa"/>
            <w:tcBorders>
              <w:top w:val="single" w:sz="4" w:space="0" w:color="auto"/>
              <w:left w:val="single" w:sz="4" w:space="0" w:color="auto"/>
              <w:bottom w:val="single" w:sz="4" w:space="0" w:color="auto"/>
              <w:right w:val="single" w:sz="4" w:space="0" w:color="auto"/>
            </w:tcBorders>
            <w:vAlign w:val="center"/>
            <w:hideMark/>
          </w:tcPr>
          <w:p w14:paraId="1C16897F" w14:textId="3014985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8,652,800 </w:t>
            </w:r>
          </w:p>
        </w:tc>
        <w:tc>
          <w:tcPr>
            <w:tcW w:w="780" w:type="dxa"/>
            <w:tcBorders>
              <w:top w:val="single" w:sz="4" w:space="0" w:color="auto"/>
              <w:left w:val="single" w:sz="4" w:space="0" w:color="auto"/>
              <w:bottom w:val="single" w:sz="4" w:space="0" w:color="auto"/>
              <w:right w:val="single" w:sz="4" w:space="0" w:color="auto"/>
            </w:tcBorders>
            <w:vAlign w:val="center"/>
            <w:hideMark/>
          </w:tcPr>
          <w:p w14:paraId="27A5A10F" w14:textId="365BCC2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182080B6" w14:textId="5E017F4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F68BCD" w14:textId="0343405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5A5E0E77" w14:textId="4D8790D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8,652,800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55DC0A6" w14:textId="33F5928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58B47CD7" w14:textId="7F22119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1F262A76" w14:textId="180E000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1637A8FE" w14:textId="1D7CA3F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05ACD9F" w14:textId="3916576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166D9F71"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tcPr>
          <w:p w14:paraId="1EAB9DF8" w14:textId="4DC08FF2" w:rsidR="00A41077" w:rsidRPr="007E70DD" w:rsidRDefault="00A41077" w:rsidP="00A41077">
            <w:pPr>
              <w:spacing w:line="256" w:lineRule="auto"/>
              <w:jc w:val="center"/>
              <w:rPr>
                <w:rFonts w:eastAsia="Times New Roman" w:cs="Arial"/>
                <w:color w:val="000000"/>
                <w:sz w:val="10"/>
                <w:szCs w:val="10"/>
                <w:highlight w:val="red"/>
                <w:lang w:val="es-ES" w:eastAsia="en-US"/>
              </w:rPr>
            </w:pPr>
            <w:r>
              <w:rPr>
                <w:rFonts w:eastAsia="Times New Roman" w:cs="Arial"/>
                <w:color w:val="000000"/>
                <w:sz w:val="10"/>
                <w:szCs w:val="10"/>
                <w:lang w:val="es-ES" w:eastAsia="en-US"/>
              </w:rPr>
              <w:t>32</w:t>
            </w:r>
          </w:p>
        </w:tc>
        <w:tc>
          <w:tcPr>
            <w:tcW w:w="1973" w:type="dxa"/>
            <w:tcBorders>
              <w:top w:val="single" w:sz="4" w:space="0" w:color="auto"/>
              <w:left w:val="single" w:sz="4" w:space="0" w:color="auto"/>
              <w:bottom w:val="single" w:sz="4" w:space="0" w:color="auto"/>
              <w:right w:val="single" w:sz="4" w:space="0" w:color="auto"/>
            </w:tcBorders>
            <w:vAlign w:val="center"/>
          </w:tcPr>
          <w:p w14:paraId="38D7EB4A" w14:textId="6F5F0416" w:rsidR="00A41077" w:rsidRPr="007E70DD" w:rsidRDefault="00A41077" w:rsidP="00A41077">
            <w:pPr>
              <w:spacing w:line="256" w:lineRule="auto"/>
              <w:jc w:val="left"/>
              <w:rPr>
                <w:rFonts w:eastAsia="Times New Roman" w:cs="Arial"/>
                <w:color w:val="000000"/>
                <w:sz w:val="10"/>
                <w:szCs w:val="10"/>
                <w:highlight w:val="red"/>
                <w:lang w:val="es-ES" w:eastAsia="en-US"/>
              </w:rPr>
            </w:pPr>
            <w:r>
              <w:rPr>
                <w:rFonts w:eastAsia="Times New Roman" w:cs="Arial"/>
                <w:color w:val="000000"/>
                <w:sz w:val="10"/>
                <w:szCs w:val="10"/>
                <w:lang w:val="es-ES" w:eastAsia="en-US"/>
              </w:rPr>
              <w:t>Asistencia al Sistema Estatal de Seguridad Pública.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E6A5890" w14:textId="422EAC4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437,687,801 </w:t>
            </w:r>
          </w:p>
        </w:tc>
        <w:tc>
          <w:tcPr>
            <w:tcW w:w="780" w:type="dxa"/>
            <w:tcBorders>
              <w:top w:val="single" w:sz="4" w:space="0" w:color="auto"/>
              <w:left w:val="single" w:sz="4" w:space="0" w:color="auto"/>
              <w:bottom w:val="single" w:sz="4" w:space="0" w:color="auto"/>
              <w:right w:val="single" w:sz="4" w:space="0" w:color="auto"/>
            </w:tcBorders>
            <w:vAlign w:val="center"/>
            <w:hideMark/>
          </w:tcPr>
          <w:p w14:paraId="60D46E9E" w14:textId="153734E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26,217,163 </w:t>
            </w:r>
          </w:p>
        </w:tc>
        <w:tc>
          <w:tcPr>
            <w:tcW w:w="712" w:type="dxa"/>
            <w:tcBorders>
              <w:top w:val="single" w:sz="4" w:space="0" w:color="auto"/>
              <w:left w:val="single" w:sz="4" w:space="0" w:color="auto"/>
              <w:bottom w:val="single" w:sz="4" w:space="0" w:color="auto"/>
              <w:right w:val="single" w:sz="4" w:space="0" w:color="auto"/>
            </w:tcBorders>
            <w:vAlign w:val="center"/>
            <w:hideMark/>
          </w:tcPr>
          <w:p w14:paraId="50A4893A" w14:textId="3EC21CA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93,188,883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314A24" w14:textId="066C30A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158,094,303 </w:t>
            </w:r>
          </w:p>
        </w:tc>
        <w:tc>
          <w:tcPr>
            <w:tcW w:w="848" w:type="dxa"/>
            <w:tcBorders>
              <w:top w:val="single" w:sz="4" w:space="0" w:color="auto"/>
              <w:left w:val="single" w:sz="4" w:space="0" w:color="auto"/>
              <w:bottom w:val="single" w:sz="4" w:space="0" w:color="auto"/>
              <w:right w:val="single" w:sz="4" w:space="0" w:color="auto"/>
            </w:tcBorders>
            <w:vAlign w:val="center"/>
            <w:hideMark/>
          </w:tcPr>
          <w:p w14:paraId="24F61947" w14:textId="70B2D5C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034763D" w14:textId="24EE412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151,187,452 </w:t>
            </w:r>
          </w:p>
        </w:tc>
        <w:tc>
          <w:tcPr>
            <w:tcW w:w="697" w:type="dxa"/>
            <w:tcBorders>
              <w:top w:val="single" w:sz="4" w:space="0" w:color="auto"/>
              <w:left w:val="single" w:sz="4" w:space="0" w:color="auto"/>
              <w:bottom w:val="single" w:sz="4" w:space="0" w:color="auto"/>
              <w:right w:val="single" w:sz="4" w:space="0" w:color="auto"/>
            </w:tcBorders>
            <w:vAlign w:val="center"/>
            <w:hideMark/>
          </w:tcPr>
          <w:p w14:paraId="47A8B38A" w14:textId="311776A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9,000,000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2DFC8382" w14:textId="65EFCFC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4B4DEBEA" w14:textId="7B64355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605A1C" w14:textId="0F1D58C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0E6B4BFD"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068A7F88" w14:textId="6F5A49F6"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33</w:t>
            </w:r>
          </w:p>
        </w:tc>
        <w:tc>
          <w:tcPr>
            <w:tcW w:w="1973" w:type="dxa"/>
            <w:tcBorders>
              <w:top w:val="single" w:sz="4" w:space="0" w:color="auto"/>
              <w:left w:val="single" w:sz="4" w:space="0" w:color="auto"/>
              <w:bottom w:val="single" w:sz="4" w:space="0" w:color="auto"/>
              <w:right w:val="single" w:sz="4" w:space="0" w:color="auto"/>
            </w:tcBorders>
            <w:vAlign w:val="center"/>
            <w:hideMark/>
          </w:tcPr>
          <w:p w14:paraId="0A4B30D8" w14:textId="6B66DFCB"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Seguridad Pública y Prevención del Delito.</w:t>
            </w:r>
          </w:p>
        </w:tc>
        <w:tc>
          <w:tcPr>
            <w:tcW w:w="836" w:type="dxa"/>
            <w:tcBorders>
              <w:top w:val="single" w:sz="4" w:space="0" w:color="auto"/>
              <w:left w:val="single" w:sz="4" w:space="0" w:color="auto"/>
              <w:bottom w:val="single" w:sz="4" w:space="0" w:color="auto"/>
              <w:right w:val="single" w:sz="4" w:space="0" w:color="auto"/>
            </w:tcBorders>
            <w:vAlign w:val="center"/>
            <w:hideMark/>
          </w:tcPr>
          <w:p w14:paraId="019D76EF" w14:textId="4F6C834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746,880,260 </w:t>
            </w:r>
          </w:p>
        </w:tc>
        <w:tc>
          <w:tcPr>
            <w:tcW w:w="780" w:type="dxa"/>
            <w:tcBorders>
              <w:top w:val="single" w:sz="4" w:space="0" w:color="auto"/>
              <w:left w:val="single" w:sz="4" w:space="0" w:color="auto"/>
              <w:bottom w:val="single" w:sz="4" w:space="0" w:color="auto"/>
              <w:right w:val="single" w:sz="4" w:space="0" w:color="auto"/>
            </w:tcBorders>
            <w:vAlign w:val="center"/>
            <w:hideMark/>
          </w:tcPr>
          <w:p w14:paraId="10E8659A" w14:textId="1ADC52F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575,914,051 </w:t>
            </w:r>
          </w:p>
        </w:tc>
        <w:tc>
          <w:tcPr>
            <w:tcW w:w="712" w:type="dxa"/>
            <w:tcBorders>
              <w:top w:val="single" w:sz="4" w:space="0" w:color="auto"/>
              <w:left w:val="single" w:sz="4" w:space="0" w:color="auto"/>
              <w:bottom w:val="single" w:sz="4" w:space="0" w:color="auto"/>
              <w:right w:val="single" w:sz="4" w:space="0" w:color="auto"/>
            </w:tcBorders>
            <w:vAlign w:val="center"/>
            <w:hideMark/>
          </w:tcPr>
          <w:p w14:paraId="3E8E6FF5" w14:textId="6F8C390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123,869,793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969D305" w14:textId="259BA0C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35,096,416 </w:t>
            </w:r>
          </w:p>
        </w:tc>
        <w:tc>
          <w:tcPr>
            <w:tcW w:w="848" w:type="dxa"/>
            <w:tcBorders>
              <w:top w:val="single" w:sz="4" w:space="0" w:color="auto"/>
              <w:left w:val="single" w:sz="4" w:space="0" w:color="auto"/>
              <w:bottom w:val="single" w:sz="4" w:space="0" w:color="auto"/>
              <w:right w:val="single" w:sz="4" w:space="0" w:color="auto"/>
            </w:tcBorders>
            <w:vAlign w:val="center"/>
            <w:hideMark/>
          </w:tcPr>
          <w:p w14:paraId="6BD15436" w14:textId="7C9B68E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12,000,000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987CF3" w14:textId="23F51BF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6CFE4E51" w14:textId="1FC10AF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730F63AC" w14:textId="52560CC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306FAD34" w14:textId="66567BC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7547723" w14:textId="79BEAE6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31B5EC80"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454EED52" w14:textId="0FEE584F"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34</w:t>
            </w:r>
          </w:p>
        </w:tc>
        <w:tc>
          <w:tcPr>
            <w:tcW w:w="1973" w:type="dxa"/>
            <w:tcBorders>
              <w:top w:val="single" w:sz="4" w:space="0" w:color="auto"/>
              <w:left w:val="single" w:sz="4" w:space="0" w:color="auto"/>
              <w:bottom w:val="single" w:sz="4" w:space="0" w:color="auto"/>
              <w:right w:val="single" w:sz="4" w:space="0" w:color="auto"/>
            </w:tcBorders>
            <w:vAlign w:val="center"/>
            <w:hideMark/>
          </w:tcPr>
          <w:p w14:paraId="7FF33668" w14:textId="3863EC38"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Acceso a la Justicia Conforme a Derecho.</w:t>
            </w:r>
          </w:p>
        </w:tc>
        <w:tc>
          <w:tcPr>
            <w:tcW w:w="836" w:type="dxa"/>
            <w:tcBorders>
              <w:top w:val="single" w:sz="4" w:space="0" w:color="auto"/>
              <w:left w:val="single" w:sz="4" w:space="0" w:color="auto"/>
              <w:bottom w:val="single" w:sz="4" w:space="0" w:color="auto"/>
              <w:right w:val="single" w:sz="4" w:space="0" w:color="auto"/>
            </w:tcBorders>
            <w:vAlign w:val="center"/>
            <w:hideMark/>
          </w:tcPr>
          <w:p w14:paraId="307B28E5" w14:textId="54C7AB1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500,422,055 </w:t>
            </w:r>
          </w:p>
        </w:tc>
        <w:tc>
          <w:tcPr>
            <w:tcW w:w="780" w:type="dxa"/>
            <w:tcBorders>
              <w:top w:val="single" w:sz="4" w:space="0" w:color="auto"/>
              <w:left w:val="single" w:sz="4" w:space="0" w:color="auto"/>
              <w:bottom w:val="single" w:sz="4" w:space="0" w:color="auto"/>
              <w:right w:val="single" w:sz="4" w:space="0" w:color="auto"/>
            </w:tcBorders>
            <w:vAlign w:val="center"/>
            <w:hideMark/>
          </w:tcPr>
          <w:p w14:paraId="7FDCAF6E" w14:textId="66FC34F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504311C9" w14:textId="5E1AF7C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80E2B8E" w14:textId="4AFEB0C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12A9B0C5" w14:textId="75E0726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500,422,055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2EF224D" w14:textId="6B4AFED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7B03A84E" w14:textId="32DA89C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565CAB5A" w14:textId="67854C9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3C266EA4" w14:textId="28B0775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96F6657" w14:textId="43AA4B4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478C2EF8"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2B3EBC9F" w14:textId="379E9B08"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35</w:t>
            </w:r>
          </w:p>
        </w:tc>
        <w:tc>
          <w:tcPr>
            <w:tcW w:w="1973" w:type="dxa"/>
            <w:tcBorders>
              <w:top w:val="single" w:sz="4" w:space="0" w:color="auto"/>
              <w:left w:val="single" w:sz="4" w:space="0" w:color="auto"/>
              <w:bottom w:val="single" w:sz="4" w:space="0" w:color="auto"/>
              <w:right w:val="single" w:sz="4" w:space="0" w:color="auto"/>
            </w:tcBorders>
            <w:vAlign w:val="center"/>
            <w:hideMark/>
          </w:tcPr>
          <w:p w14:paraId="20D6FC9A" w14:textId="6F21F320"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Derechos Humanos.</w:t>
            </w:r>
          </w:p>
        </w:tc>
        <w:tc>
          <w:tcPr>
            <w:tcW w:w="836" w:type="dxa"/>
            <w:tcBorders>
              <w:top w:val="single" w:sz="4" w:space="0" w:color="auto"/>
              <w:left w:val="single" w:sz="4" w:space="0" w:color="auto"/>
              <w:bottom w:val="single" w:sz="4" w:space="0" w:color="auto"/>
              <w:right w:val="single" w:sz="4" w:space="0" w:color="auto"/>
            </w:tcBorders>
            <w:vAlign w:val="center"/>
            <w:hideMark/>
          </w:tcPr>
          <w:p w14:paraId="72A55571" w14:textId="6B561DE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15,023,007 </w:t>
            </w:r>
          </w:p>
        </w:tc>
        <w:tc>
          <w:tcPr>
            <w:tcW w:w="780" w:type="dxa"/>
            <w:tcBorders>
              <w:top w:val="single" w:sz="4" w:space="0" w:color="auto"/>
              <w:left w:val="single" w:sz="4" w:space="0" w:color="auto"/>
              <w:bottom w:val="single" w:sz="4" w:space="0" w:color="auto"/>
              <w:right w:val="single" w:sz="4" w:space="0" w:color="auto"/>
            </w:tcBorders>
            <w:vAlign w:val="center"/>
            <w:hideMark/>
          </w:tcPr>
          <w:p w14:paraId="4BCBC46A" w14:textId="27E3C7E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633AF3CB" w14:textId="2825FFB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7A7920E" w14:textId="302F29B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229AFEBA" w14:textId="26B44A5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15,023,007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F2ADEAB" w14:textId="6DA124C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1AAD0956" w14:textId="646B15C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7B4BD918" w14:textId="77CD78B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27D4580B" w14:textId="642E3EB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8426E3F" w14:textId="73F62FE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204D9D98"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67F2AFE4" w14:textId="2F7E92AF"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36</w:t>
            </w:r>
          </w:p>
        </w:tc>
        <w:tc>
          <w:tcPr>
            <w:tcW w:w="1973" w:type="dxa"/>
            <w:tcBorders>
              <w:top w:val="single" w:sz="4" w:space="0" w:color="auto"/>
              <w:left w:val="single" w:sz="4" w:space="0" w:color="auto"/>
              <w:bottom w:val="single" w:sz="4" w:space="0" w:color="auto"/>
              <w:right w:val="single" w:sz="4" w:space="0" w:color="auto"/>
            </w:tcBorders>
            <w:vAlign w:val="center"/>
            <w:hideMark/>
          </w:tcPr>
          <w:p w14:paraId="6452A8D3" w14:textId="6D31B55C"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Evaluación y Control de Confianza C3.</w:t>
            </w:r>
          </w:p>
        </w:tc>
        <w:tc>
          <w:tcPr>
            <w:tcW w:w="836" w:type="dxa"/>
            <w:tcBorders>
              <w:top w:val="single" w:sz="4" w:space="0" w:color="auto"/>
              <w:left w:val="single" w:sz="4" w:space="0" w:color="auto"/>
              <w:bottom w:val="single" w:sz="4" w:space="0" w:color="auto"/>
              <w:right w:val="single" w:sz="4" w:space="0" w:color="auto"/>
            </w:tcBorders>
            <w:vAlign w:val="center"/>
            <w:hideMark/>
          </w:tcPr>
          <w:p w14:paraId="52238F2D" w14:textId="16B9EA4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15,011,396 </w:t>
            </w:r>
          </w:p>
        </w:tc>
        <w:tc>
          <w:tcPr>
            <w:tcW w:w="780" w:type="dxa"/>
            <w:tcBorders>
              <w:top w:val="single" w:sz="4" w:space="0" w:color="auto"/>
              <w:left w:val="single" w:sz="4" w:space="0" w:color="auto"/>
              <w:bottom w:val="single" w:sz="4" w:space="0" w:color="auto"/>
              <w:right w:val="single" w:sz="4" w:space="0" w:color="auto"/>
            </w:tcBorders>
            <w:vAlign w:val="center"/>
            <w:hideMark/>
          </w:tcPr>
          <w:p w14:paraId="39389A19" w14:textId="3180060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10,927,468 </w:t>
            </w:r>
          </w:p>
        </w:tc>
        <w:tc>
          <w:tcPr>
            <w:tcW w:w="712" w:type="dxa"/>
            <w:tcBorders>
              <w:top w:val="single" w:sz="4" w:space="0" w:color="auto"/>
              <w:left w:val="single" w:sz="4" w:space="0" w:color="auto"/>
              <w:bottom w:val="single" w:sz="4" w:space="0" w:color="auto"/>
              <w:right w:val="single" w:sz="4" w:space="0" w:color="auto"/>
            </w:tcBorders>
            <w:vAlign w:val="center"/>
            <w:hideMark/>
          </w:tcPr>
          <w:p w14:paraId="4B7C8860" w14:textId="3C69686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1,402,818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38895CF" w14:textId="7F8FE4B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2,481,110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29E7CBE4" w14:textId="767D1EB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C85AB51" w14:textId="43E1A27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200,000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6F0A12D2" w14:textId="6C8DFE6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7080FEAB" w14:textId="520EEA7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1FB6D40B" w14:textId="742BE89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F16F74" w14:textId="13726D1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4DC28909"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5CA38BA3" w14:textId="67CE08E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37</w:t>
            </w:r>
          </w:p>
        </w:tc>
        <w:tc>
          <w:tcPr>
            <w:tcW w:w="1973" w:type="dxa"/>
            <w:tcBorders>
              <w:top w:val="single" w:sz="4" w:space="0" w:color="auto"/>
              <w:left w:val="single" w:sz="4" w:space="0" w:color="auto"/>
              <w:bottom w:val="single" w:sz="4" w:space="0" w:color="auto"/>
              <w:right w:val="single" w:sz="4" w:space="0" w:color="auto"/>
            </w:tcBorders>
            <w:vAlign w:val="center"/>
            <w:hideMark/>
          </w:tcPr>
          <w:p w14:paraId="0930C7A2" w14:textId="1CACFC6B"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Registro del Territorio.</w:t>
            </w:r>
          </w:p>
        </w:tc>
        <w:tc>
          <w:tcPr>
            <w:tcW w:w="836" w:type="dxa"/>
            <w:tcBorders>
              <w:top w:val="single" w:sz="4" w:space="0" w:color="auto"/>
              <w:left w:val="single" w:sz="4" w:space="0" w:color="auto"/>
              <w:bottom w:val="single" w:sz="4" w:space="0" w:color="auto"/>
              <w:right w:val="single" w:sz="4" w:space="0" w:color="auto"/>
            </w:tcBorders>
            <w:vAlign w:val="center"/>
            <w:hideMark/>
          </w:tcPr>
          <w:p w14:paraId="2F67360B" w14:textId="40FC22A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43,635,950 </w:t>
            </w:r>
          </w:p>
        </w:tc>
        <w:tc>
          <w:tcPr>
            <w:tcW w:w="780" w:type="dxa"/>
            <w:tcBorders>
              <w:top w:val="single" w:sz="4" w:space="0" w:color="auto"/>
              <w:left w:val="single" w:sz="4" w:space="0" w:color="auto"/>
              <w:bottom w:val="single" w:sz="4" w:space="0" w:color="auto"/>
              <w:right w:val="single" w:sz="4" w:space="0" w:color="auto"/>
            </w:tcBorders>
            <w:vAlign w:val="center"/>
            <w:hideMark/>
          </w:tcPr>
          <w:p w14:paraId="25911392" w14:textId="19290FF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49A89E22" w14:textId="4413810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C74CE0" w14:textId="7671B90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4CDD1500" w14:textId="6D30916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43,635,950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7B82DB" w14:textId="1AE71C0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1557EDF1" w14:textId="7BEF469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694FFCFB" w14:textId="7D45308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3CA91F7F" w14:textId="7F46705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F2A1DB5" w14:textId="4EDE389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5664BC61"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3B1007C5" w14:textId="76BAAB3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38</w:t>
            </w:r>
          </w:p>
        </w:tc>
        <w:tc>
          <w:tcPr>
            <w:tcW w:w="1973" w:type="dxa"/>
            <w:tcBorders>
              <w:top w:val="single" w:sz="4" w:space="0" w:color="auto"/>
              <w:left w:val="single" w:sz="4" w:space="0" w:color="auto"/>
              <w:bottom w:val="single" w:sz="4" w:space="0" w:color="auto"/>
              <w:right w:val="single" w:sz="4" w:space="0" w:color="auto"/>
            </w:tcBorders>
            <w:vAlign w:val="center"/>
            <w:hideMark/>
          </w:tcPr>
          <w:p w14:paraId="7106E0D0" w14:textId="36E2C4FE"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Agua Potable, Alcantarillado y Saneamiento.</w:t>
            </w:r>
          </w:p>
        </w:tc>
        <w:tc>
          <w:tcPr>
            <w:tcW w:w="836" w:type="dxa"/>
            <w:tcBorders>
              <w:top w:val="single" w:sz="4" w:space="0" w:color="auto"/>
              <w:left w:val="single" w:sz="4" w:space="0" w:color="auto"/>
              <w:bottom w:val="single" w:sz="4" w:space="0" w:color="auto"/>
              <w:right w:val="single" w:sz="4" w:space="0" w:color="auto"/>
            </w:tcBorders>
            <w:vAlign w:val="center"/>
            <w:hideMark/>
          </w:tcPr>
          <w:p w14:paraId="2FEB7A02" w14:textId="5B2A04C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24,042,814 </w:t>
            </w:r>
          </w:p>
        </w:tc>
        <w:tc>
          <w:tcPr>
            <w:tcW w:w="780" w:type="dxa"/>
            <w:tcBorders>
              <w:top w:val="single" w:sz="4" w:space="0" w:color="auto"/>
              <w:left w:val="single" w:sz="4" w:space="0" w:color="auto"/>
              <w:bottom w:val="single" w:sz="4" w:space="0" w:color="auto"/>
              <w:right w:val="single" w:sz="4" w:space="0" w:color="auto"/>
            </w:tcBorders>
            <w:vAlign w:val="center"/>
            <w:hideMark/>
          </w:tcPr>
          <w:p w14:paraId="77B46EAC" w14:textId="44C0527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6006B56B" w14:textId="19A2270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C6AAA4D" w14:textId="6BBE986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23144369" w14:textId="0C1A007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24,042,814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B6ADB4D" w14:textId="56993B1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2D6BEFBE" w14:textId="2EB97AE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20D90C8A" w14:textId="0E1D5EB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41C2CCAB" w14:textId="3FCB54E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932A159" w14:textId="4A60F9B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747B4D5B"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719BC866" w14:textId="47C1AA9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40</w:t>
            </w:r>
          </w:p>
        </w:tc>
        <w:tc>
          <w:tcPr>
            <w:tcW w:w="1973" w:type="dxa"/>
            <w:tcBorders>
              <w:top w:val="single" w:sz="4" w:space="0" w:color="auto"/>
              <w:left w:val="single" w:sz="4" w:space="0" w:color="auto"/>
              <w:bottom w:val="single" w:sz="4" w:space="0" w:color="auto"/>
              <w:right w:val="single" w:sz="4" w:space="0" w:color="auto"/>
            </w:tcBorders>
            <w:vAlign w:val="center"/>
            <w:hideMark/>
          </w:tcPr>
          <w:p w14:paraId="0063F83B" w14:textId="622790CD"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Educación y Cultura Ambiental.</w:t>
            </w:r>
          </w:p>
        </w:tc>
        <w:tc>
          <w:tcPr>
            <w:tcW w:w="836" w:type="dxa"/>
            <w:tcBorders>
              <w:top w:val="single" w:sz="4" w:space="0" w:color="auto"/>
              <w:left w:val="single" w:sz="4" w:space="0" w:color="auto"/>
              <w:bottom w:val="single" w:sz="4" w:space="0" w:color="auto"/>
              <w:right w:val="single" w:sz="4" w:space="0" w:color="auto"/>
            </w:tcBorders>
            <w:vAlign w:val="center"/>
            <w:hideMark/>
          </w:tcPr>
          <w:p w14:paraId="163696A0" w14:textId="1CAB864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58,456,372 </w:t>
            </w:r>
          </w:p>
        </w:tc>
        <w:tc>
          <w:tcPr>
            <w:tcW w:w="780" w:type="dxa"/>
            <w:tcBorders>
              <w:top w:val="single" w:sz="4" w:space="0" w:color="auto"/>
              <w:left w:val="single" w:sz="4" w:space="0" w:color="auto"/>
              <w:bottom w:val="single" w:sz="4" w:space="0" w:color="auto"/>
              <w:right w:val="single" w:sz="4" w:space="0" w:color="auto"/>
            </w:tcBorders>
            <w:vAlign w:val="center"/>
            <w:hideMark/>
          </w:tcPr>
          <w:p w14:paraId="473D2B87" w14:textId="09E1E50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10BBB31E" w14:textId="7E591E2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BD3401F" w14:textId="7A16F36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39,841,006 </w:t>
            </w:r>
          </w:p>
        </w:tc>
        <w:tc>
          <w:tcPr>
            <w:tcW w:w="848" w:type="dxa"/>
            <w:tcBorders>
              <w:top w:val="single" w:sz="4" w:space="0" w:color="auto"/>
              <w:left w:val="single" w:sz="4" w:space="0" w:color="auto"/>
              <w:bottom w:val="single" w:sz="4" w:space="0" w:color="auto"/>
              <w:right w:val="single" w:sz="4" w:space="0" w:color="auto"/>
            </w:tcBorders>
            <w:vAlign w:val="center"/>
            <w:hideMark/>
          </w:tcPr>
          <w:p w14:paraId="424F9DE8" w14:textId="3616EA7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18,615,366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369B36A" w14:textId="7DB7DCA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09148CBA" w14:textId="27A3913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74677D48" w14:textId="0171A8C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413E1876" w14:textId="4910A8A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63D3087" w14:textId="2013A21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38484D5D"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3953A39B" w14:textId="2A09D0F1"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41</w:t>
            </w:r>
          </w:p>
        </w:tc>
        <w:tc>
          <w:tcPr>
            <w:tcW w:w="1973" w:type="dxa"/>
            <w:tcBorders>
              <w:top w:val="single" w:sz="4" w:space="0" w:color="auto"/>
              <w:left w:val="single" w:sz="4" w:space="0" w:color="auto"/>
              <w:bottom w:val="single" w:sz="4" w:space="0" w:color="auto"/>
              <w:right w:val="single" w:sz="4" w:space="0" w:color="auto"/>
            </w:tcBorders>
            <w:vAlign w:val="center"/>
            <w:hideMark/>
          </w:tcPr>
          <w:p w14:paraId="58B83B69" w14:textId="2C5BCC79"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Finanzas Transparentes y Eficientes.</w:t>
            </w:r>
          </w:p>
        </w:tc>
        <w:tc>
          <w:tcPr>
            <w:tcW w:w="836" w:type="dxa"/>
            <w:tcBorders>
              <w:top w:val="single" w:sz="4" w:space="0" w:color="auto"/>
              <w:left w:val="single" w:sz="4" w:space="0" w:color="auto"/>
              <w:bottom w:val="single" w:sz="4" w:space="0" w:color="auto"/>
              <w:right w:val="single" w:sz="4" w:space="0" w:color="auto"/>
            </w:tcBorders>
            <w:vAlign w:val="center"/>
            <w:hideMark/>
          </w:tcPr>
          <w:p w14:paraId="2ECC1DA3" w14:textId="60B1E9E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215,155,586 </w:t>
            </w:r>
          </w:p>
        </w:tc>
        <w:tc>
          <w:tcPr>
            <w:tcW w:w="780" w:type="dxa"/>
            <w:tcBorders>
              <w:top w:val="single" w:sz="4" w:space="0" w:color="auto"/>
              <w:left w:val="single" w:sz="4" w:space="0" w:color="auto"/>
              <w:bottom w:val="single" w:sz="4" w:space="0" w:color="auto"/>
              <w:right w:val="single" w:sz="4" w:space="0" w:color="auto"/>
            </w:tcBorders>
            <w:vAlign w:val="center"/>
            <w:hideMark/>
          </w:tcPr>
          <w:p w14:paraId="6799BEAB" w14:textId="0128D35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167,198,301 </w:t>
            </w:r>
          </w:p>
        </w:tc>
        <w:tc>
          <w:tcPr>
            <w:tcW w:w="712" w:type="dxa"/>
            <w:tcBorders>
              <w:top w:val="single" w:sz="4" w:space="0" w:color="auto"/>
              <w:left w:val="single" w:sz="4" w:space="0" w:color="auto"/>
              <w:bottom w:val="single" w:sz="4" w:space="0" w:color="auto"/>
              <w:right w:val="single" w:sz="4" w:space="0" w:color="auto"/>
            </w:tcBorders>
            <w:vAlign w:val="center"/>
            <w:hideMark/>
          </w:tcPr>
          <w:p w14:paraId="103498C4" w14:textId="540C5C4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9,062,504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D5473B" w14:textId="5D8ACAE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35,883,449 </w:t>
            </w:r>
          </w:p>
        </w:tc>
        <w:tc>
          <w:tcPr>
            <w:tcW w:w="848" w:type="dxa"/>
            <w:tcBorders>
              <w:top w:val="single" w:sz="4" w:space="0" w:color="auto"/>
              <w:left w:val="single" w:sz="4" w:space="0" w:color="auto"/>
              <w:bottom w:val="single" w:sz="4" w:space="0" w:color="auto"/>
              <w:right w:val="single" w:sz="4" w:space="0" w:color="auto"/>
            </w:tcBorders>
            <w:vAlign w:val="center"/>
            <w:hideMark/>
          </w:tcPr>
          <w:p w14:paraId="2D1A8CD5" w14:textId="2F564F9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1,943,432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E999E85" w14:textId="3964B1D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1,067,900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166337AD" w14:textId="2ABF494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775B95ED" w14:textId="187A199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0F939A24" w14:textId="24839C5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C8D0011" w14:textId="00F8C54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774CE0BC"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48CCC3AC" w14:textId="5AE24FDA"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42</w:t>
            </w:r>
          </w:p>
        </w:tc>
        <w:tc>
          <w:tcPr>
            <w:tcW w:w="1973" w:type="dxa"/>
            <w:tcBorders>
              <w:top w:val="single" w:sz="4" w:space="0" w:color="auto"/>
              <w:left w:val="single" w:sz="4" w:space="0" w:color="auto"/>
              <w:bottom w:val="single" w:sz="4" w:space="0" w:color="auto"/>
              <w:right w:val="single" w:sz="4" w:space="0" w:color="auto"/>
            </w:tcBorders>
            <w:vAlign w:val="center"/>
            <w:hideMark/>
          </w:tcPr>
          <w:p w14:paraId="727B83FC" w14:textId="1E4FB7D2"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Administración Pública.</w:t>
            </w:r>
          </w:p>
        </w:tc>
        <w:tc>
          <w:tcPr>
            <w:tcW w:w="836" w:type="dxa"/>
            <w:tcBorders>
              <w:top w:val="single" w:sz="4" w:space="0" w:color="auto"/>
              <w:left w:val="single" w:sz="4" w:space="0" w:color="auto"/>
              <w:bottom w:val="single" w:sz="4" w:space="0" w:color="auto"/>
              <w:right w:val="single" w:sz="4" w:space="0" w:color="auto"/>
            </w:tcBorders>
            <w:vAlign w:val="center"/>
            <w:hideMark/>
          </w:tcPr>
          <w:p w14:paraId="078346F9" w14:textId="5BFB751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210,794,961 </w:t>
            </w:r>
          </w:p>
        </w:tc>
        <w:tc>
          <w:tcPr>
            <w:tcW w:w="780" w:type="dxa"/>
            <w:tcBorders>
              <w:top w:val="single" w:sz="4" w:space="0" w:color="auto"/>
              <w:left w:val="single" w:sz="4" w:space="0" w:color="auto"/>
              <w:bottom w:val="single" w:sz="4" w:space="0" w:color="auto"/>
              <w:right w:val="single" w:sz="4" w:space="0" w:color="auto"/>
            </w:tcBorders>
            <w:vAlign w:val="center"/>
            <w:hideMark/>
          </w:tcPr>
          <w:p w14:paraId="52466BA3" w14:textId="18BDFB0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95,911,693 </w:t>
            </w:r>
          </w:p>
        </w:tc>
        <w:tc>
          <w:tcPr>
            <w:tcW w:w="712" w:type="dxa"/>
            <w:tcBorders>
              <w:top w:val="single" w:sz="4" w:space="0" w:color="auto"/>
              <w:left w:val="single" w:sz="4" w:space="0" w:color="auto"/>
              <w:bottom w:val="single" w:sz="4" w:space="0" w:color="auto"/>
              <w:right w:val="single" w:sz="4" w:space="0" w:color="auto"/>
            </w:tcBorders>
            <w:vAlign w:val="center"/>
            <w:hideMark/>
          </w:tcPr>
          <w:p w14:paraId="729C3A5B" w14:textId="53CD727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4,968,631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E77B5B5" w14:textId="099C453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109,304,637 </w:t>
            </w:r>
          </w:p>
        </w:tc>
        <w:tc>
          <w:tcPr>
            <w:tcW w:w="848" w:type="dxa"/>
            <w:tcBorders>
              <w:top w:val="single" w:sz="4" w:space="0" w:color="auto"/>
              <w:left w:val="single" w:sz="4" w:space="0" w:color="auto"/>
              <w:bottom w:val="single" w:sz="4" w:space="0" w:color="auto"/>
              <w:right w:val="single" w:sz="4" w:space="0" w:color="auto"/>
            </w:tcBorders>
            <w:vAlign w:val="center"/>
            <w:hideMark/>
          </w:tcPr>
          <w:p w14:paraId="0182DC51" w14:textId="1B41A61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44AB0C6" w14:textId="1A1B145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610,000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106C48E4" w14:textId="602DF80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25351135" w14:textId="04F2FA4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7FE1ED30" w14:textId="14D0DE7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9554536" w14:textId="15C49FB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0F0A968E"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5B568E5F" w14:textId="3C994D3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45</w:t>
            </w:r>
          </w:p>
        </w:tc>
        <w:tc>
          <w:tcPr>
            <w:tcW w:w="1973" w:type="dxa"/>
            <w:tcBorders>
              <w:top w:val="single" w:sz="4" w:space="0" w:color="auto"/>
              <w:left w:val="single" w:sz="4" w:space="0" w:color="auto"/>
              <w:bottom w:val="single" w:sz="4" w:space="0" w:color="auto"/>
              <w:right w:val="single" w:sz="4" w:space="0" w:color="auto"/>
            </w:tcBorders>
            <w:vAlign w:val="center"/>
            <w:hideMark/>
          </w:tcPr>
          <w:p w14:paraId="22A0B8F1" w14:textId="46FAAB08"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Agenda Digital.</w:t>
            </w:r>
          </w:p>
        </w:tc>
        <w:tc>
          <w:tcPr>
            <w:tcW w:w="836" w:type="dxa"/>
            <w:tcBorders>
              <w:top w:val="single" w:sz="4" w:space="0" w:color="auto"/>
              <w:left w:val="single" w:sz="4" w:space="0" w:color="auto"/>
              <w:bottom w:val="single" w:sz="4" w:space="0" w:color="auto"/>
              <w:right w:val="single" w:sz="4" w:space="0" w:color="auto"/>
            </w:tcBorders>
            <w:vAlign w:val="center"/>
            <w:hideMark/>
          </w:tcPr>
          <w:p w14:paraId="0AE3B4A5" w14:textId="6D4007D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7,280,218 </w:t>
            </w:r>
          </w:p>
        </w:tc>
        <w:tc>
          <w:tcPr>
            <w:tcW w:w="780" w:type="dxa"/>
            <w:tcBorders>
              <w:top w:val="single" w:sz="4" w:space="0" w:color="auto"/>
              <w:left w:val="single" w:sz="4" w:space="0" w:color="auto"/>
              <w:bottom w:val="single" w:sz="4" w:space="0" w:color="auto"/>
              <w:right w:val="single" w:sz="4" w:space="0" w:color="auto"/>
            </w:tcBorders>
            <w:vAlign w:val="center"/>
            <w:hideMark/>
          </w:tcPr>
          <w:p w14:paraId="5C95CF2B" w14:textId="58DB524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7A398B6B" w14:textId="50825AC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CA6902B" w14:textId="7444C18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6CF584AE" w14:textId="4BA5E1C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7,280,218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1EFF6DB" w14:textId="19B77F4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0DDDFBEA" w14:textId="4E949CD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1815F702" w14:textId="61426F5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1DB1C7A5" w14:textId="7CF045B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844B618" w14:textId="488D548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7931CFA0"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243E8547" w14:textId="661244EF"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46</w:t>
            </w:r>
          </w:p>
        </w:tc>
        <w:tc>
          <w:tcPr>
            <w:tcW w:w="1973" w:type="dxa"/>
            <w:tcBorders>
              <w:top w:val="single" w:sz="4" w:space="0" w:color="auto"/>
              <w:left w:val="single" w:sz="4" w:space="0" w:color="auto"/>
              <w:bottom w:val="single" w:sz="4" w:space="0" w:color="auto"/>
              <w:right w:val="single" w:sz="4" w:space="0" w:color="auto"/>
            </w:tcBorders>
            <w:vAlign w:val="center"/>
            <w:hideMark/>
          </w:tcPr>
          <w:p w14:paraId="0D8BB768" w14:textId="15EB3FC5"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Acceso a la Información Pública.</w:t>
            </w:r>
          </w:p>
        </w:tc>
        <w:tc>
          <w:tcPr>
            <w:tcW w:w="836" w:type="dxa"/>
            <w:tcBorders>
              <w:top w:val="single" w:sz="4" w:space="0" w:color="auto"/>
              <w:left w:val="single" w:sz="4" w:space="0" w:color="auto"/>
              <w:bottom w:val="single" w:sz="4" w:space="0" w:color="auto"/>
              <w:right w:val="single" w:sz="4" w:space="0" w:color="auto"/>
            </w:tcBorders>
            <w:vAlign w:val="center"/>
            <w:hideMark/>
          </w:tcPr>
          <w:p w14:paraId="4407D69D" w14:textId="3FABAD3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22,760,557 </w:t>
            </w:r>
          </w:p>
        </w:tc>
        <w:tc>
          <w:tcPr>
            <w:tcW w:w="780" w:type="dxa"/>
            <w:tcBorders>
              <w:top w:val="single" w:sz="4" w:space="0" w:color="auto"/>
              <w:left w:val="single" w:sz="4" w:space="0" w:color="auto"/>
              <w:bottom w:val="single" w:sz="4" w:space="0" w:color="auto"/>
              <w:right w:val="single" w:sz="4" w:space="0" w:color="auto"/>
            </w:tcBorders>
            <w:vAlign w:val="center"/>
            <w:hideMark/>
          </w:tcPr>
          <w:p w14:paraId="7BC129F6" w14:textId="6136CBC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3C73B5E8" w14:textId="38E8C3B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E1662B8" w14:textId="7E510E5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7BD5F3B9" w14:textId="3381855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22,760,557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9F3F9F7" w14:textId="7780CB7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7FC95902" w14:textId="1444994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6A68B196" w14:textId="35070A7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4D71BE1A" w14:textId="7710F94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96D9E4" w14:textId="5CEB14F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2444E02F"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06F71820" w14:textId="265132C9"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47</w:t>
            </w:r>
          </w:p>
        </w:tc>
        <w:tc>
          <w:tcPr>
            <w:tcW w:w="1973" w:type="dxa"/>
            <w:tcBorders>
              <w:top w:val="single" w:sz="4" w:space="0" w:color="auto"/>
              <w:left w:val="single" w:sz="4" w:space="0" w:color="auto"/>
              <w:bottom w:val="single" w:sz="4" w:space="0" w:color="auto"/>
              <w:right w:val="single" w:sz="4" w:space="0" w:color="auto"/>
            </w:tcBorders>
            <w:vAlign w:val="center"/>
            <w:hideMark/>
          </w:tcPr>
          <w:p w14:paraId="506545C9" w14:textId="2CB7CC76"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Sistema Estatal Anticorrupción.</w:t>
            </w:r>
          </w:p>
        </w:tc>
        <w:tc>
          <w:tcPr>
            <w:tcW w:w="836" w:type="dxa"/>
            <w:tcBorders>
              <w:top w:val="single" w:sz="4" w:space="0" w:color="auto"/>
              <w:left w:val="single" w:sz="4" w:space="0" w:color="auto"/>
              <w:bottom w:val="single" w:sz="4" w:space="0" w:color="auto"/>
              <w:right w:val="single" w:sz="4" w:space="0" w:color="auto"/>
            </w:tcBorders>
            <w:vAlign w:val="center"/>
            <w:hideMark/>
          </w:tcPr>
          <w:p w14:paraId="583318C5" w14:textId="7F8DBC0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5,171,500 </w:t>
            </w:r>
          </w:p>
        </w:tc>
        <w:tc>
          <w:tcPr>
            <w:tcW w:w="780" w:type="dxa"/>
            <w:tcBorders>
              <w:top w:val="single" w:sz="4" w:space="0" w:color="auto"/>
              <w:left w:val="single" w:sz="4" w:space="0" w:color="auto"/>
              <w:bottom w:val="single" w:sz="4" w:space="0" w:color="auto"/>
              <w:right w:val="single" w:sz="4" w:space="0" w:color="auto"/>
            </w:tcBorders>
            <w:vAlign w:val="center"/>
            <w:hideMark/>
          </w:tcPr>
          <w:p w14:paraId="3B4A14DC" w14:textId="3209E50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240F06DA" w14:textId="6DDD8D6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F86A53F" w14:textId="4425338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1B7E49BD" w14:textId="7388AC2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5,171,500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6DFA835" w14:textId="48F97F2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5D44DD35" w14:textId="2633FEC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35E71FEF" w14:textId="5E573A7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7EC0D9F4" w14:textId="646C2EE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7766671" w14:textId="6C51B7C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520BD8A9"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01592A78" w14:textId="7EF8C9D2"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48</w:t>
            </w:r>
          </w:p>
        </w:tc>
        <w:tc>
          <w:tcPr>
            <w:tcW w:w="1973" w:type="dxa"/>
            <w:tcBorders>
              <w:top w:val="single" w:sz="4" w:space="0" w:color="auto"/>
              <w:left w:val="single" w:sz="4" w:space="0" w:color="auto"/>
              <w:bottom w:val="single" w:sz="4" w:space="0" w:color="auto"/>
              <w:right w:val="single" w:sz="4" w:space="0" w:color="auto"/>
            </w:tcBorders>
            <w:vAlign w:val="center"/>
            <w:hideMark/>
          </w:tcPr>
          <w:p w14:paraId="54BEE455" w14:textId="66C13450"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Administración y Operación del Despacho de la Gobernadora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A4A6733" w14:textId="1BECFCC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95,842,291 </w:t>
            </w:r>
          </w:p>
        </w:tc>
        <w:tc>
          <w:tcPr>
            <w:tcW w:w="780" w:type="dxa"/>
            <w:tcBorders>
              <w:top w:val="single" w:sz="4" w:space="0" w:color="auto"/>
              <w:left w:val="single" w:sz="4" w:space="0" w:color="auto"/>
              <w:bottom w:val="single" w:sz="4" w:space="0" w:color="auto"/>
              <w:right w:val="single" w:sz="4" w:space="0" w:color="auto"/>
            </w:tcBorders>
            <w:vAlign w:val="center"/>
            <w:hideMark/>
          </w:tcPr>
          <w:p w14:paraId="5365D80F" w14:textId="1651D17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63,173,535 </w:t>
            </w:r>
          </w:p>
        </w:tc>
        <w:tc>
          <w:tcPr>
            <w:tcW w:w="712" w:type="dxa"/>
            <w:tcBorders>
              <w:top w:val="single" w:sz="4" w:space="0" w:color="auto"/>
              <w:left w:val="single" w:sz="4" w:space="0" w:color="auto"/>
              <w:bottom w:val="single" w:sz="4" w:space="0" w:color="auto"/>
              <w:right w:val="single" w:sz="4" w:space="0" w:color="auto"/>
            </w:tcBorders>
            <w:vAlign w:val="center"/>
            <w:hideMark/>
          </w:tcPr>
          <w:p w14:paraId="051E8AB3" w14:textId="387DB41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4,480,361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FBBA0EF" w14:textId="3AB6B37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26,988,395 </w:t>
            </w:r>
          </w:p>
        </w:tc>
        <w:tc>
          <w:tcPr>
            <w:tcW w:w="848" w:type="dxa"/>
            <w:tcBorders>
              <w:top w:val="single" w:sz="4" w:space="0" w:color="auto"/>
              <w:left w:val="single" w:sz="4" w:space="0" w:color="auto"/>
              <w:bottom w:val="single" w:sz="4" w:space="0" w:color="auto"/>
              <w:right w:val="single" w:sz="4" w:space="0" w:color="auto"/>
            </w:tcBorders>
            <w:vAlign w:val="center"/>
            <w:hideMark/>
          </w:tcPr>
          <w:p w14:paraId="5C19DB98" w14:textId="2AA97E9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1,200,000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70A5046" w14:textId="3955678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11B68984" w14:textId="785B746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22C638A3" w14:textId="17CD3D7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29779B16" w14:textId="638FD8B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C85549C" w14:textId="162637D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193C9AEE"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2B83AC21" w14:textId="456FE3A5"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49</w:t>
            </w:r>
          </w:p>
        </w:tc>
        <w:tc>
          <w:tcPr>
            <w:tcW w:w="1973" w:type="dxa"/>
            <w:tcBorders>
              <w:top w:val="single" w:sz="4" w:space="0" w:color="auto"/>
              <w:left w:val="single" w:sz="4" w:space="0" w:color="auto"/>
              <w:bottom w:val="single" w:sz="4" w:space="0" w:color="auto"/>
              <w:right w:val="single" w:sz="4" w:space="0" w:color="auto"/>
            </w:tcBorders>
            <w:vAlign w:val="center"/>
            <w:hideMark/>
          </w:tcPr>
          <w:p w14:paraId="756F3491" w14:textId="05646B3E"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Fiscalización Superior de los Recursos Públicos.</w:t>
            </w:r>
          </w:p>
        </w:tc>
        <w:tc>
          <w:tcPr>
            <w:tcW w:w="836" w:type="dxa"/>
            <w:tcBorders>
              <w:top w:val="single" w:sz="4" w:space="0" w:color="auto"/>
              <w:left w:val="single" w:sz="4" w:space="0" w:color="auto"/>
              <w:bottom w:val="single" w:sz="4" w:space="0" w:color="auto"/>
              <w:right w:val="single" w:sz="4" w:space="0" w:color="auto"/>
            </w:tcBorders>
            <w:vAlign w:val="center"/>
            <w:hideMark/>
          </w:tcPr>
          <w:p w14:paraId="4640A2ED" w14:textId="21AE980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44,000,000 </w:t>
            </w:r>
          </w:p>
        </w:tc>
        <w:tc>
          <w:tcPr>
            <w:tcW w:w="780" w:type="dxa"/>
            <w:tcBorders>
              <w:top w:val="single" w:sz="4" w:space="0" w:color="auto"/>
              <w:left w:val="single" w:sz="4" w:space="0" w:color="auto"/>
              <w:bottom w:val="single" w:sz="4" w:space="0" w:color="auto"/>
              <w:right w:val="single" w:sz="4" w:space="0" w:color="auto"/>
            </w:tcBorders>
            <w:vAlign w:val="center"/>
            <w:hideMark/>
          </w:tcPr>
          <w:p w14:paraId="38B72881" w14:textId="65C98F6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65999E80" w14:textId="43BCE51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6272D5" w14:textId="0B21F60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48DC4984" w14:textId="318F823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44,000,000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FD3B9F" w14:textId="4A7C8ED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1EE52778" w14:textId="238BC52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5827DEDD" w14:textId="6EDC9D8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0C9DADF0" w14:textId="4BD53A3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8268803" w14:textId="73A12EA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7AB8D823"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45106D02" w14:textId="67A6B0EA"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50</w:t>
            </w:r>
          </w:p>
        </w:tc>
        <w:tc>
          <w:tcPr>
            <w:tcW w:w="1973" w:type="dxa"/>
            <w:tcBorders>
              <w:top w:val="single" w:sz="4" w:space="0" w:color="auto"/>
              <w:left w:val="single" w:sz="4" w:space="0" w:color="auto"/>
              <w:bottom w:val="single" w:sz="4" w:space="0" w:color="auto"/>
              <w:right w:val="single" w:sz="4" w:space="0" w:color="auto"/>
            </w:tcBorders>
            <w:vAlign w:val="center"/>
            <w:hideMark/>
          </w:tcPr>
          <w:p w14:paraId="2232C9AF" w14:textId="5CD369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H. Congreso del Estado de Colima</w:t>
            </w:r>
          </w:p>
        </w:tc>
        <w:tc>
          <w:tcPr>
            <w:tcW w:w="836" w:type="dxa"/>
            <w:tcBorders>
              <w:top w:val="single" w:sz="4" w:space="0" w:color="auto"/>
              <w:left w:val="single" w:sz="4" w:space="0" w:color="auto"/>
              <w:bottom w:val="single" w:sz="4" w:space="0" w:color="auto"/>
              <w:right w:val="single" w:sz="4" w:space="0" w:color="auto"/>
            </w:tcBorders>
            <w:vAlign w:val="center"/>
            <w:hideMark/>
          </w:tcPr>
          <w:p w14:paraId="116FFDE4" w14:textId="3E47996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125,000,000 </w:t>
            </w:r>
          </w:p>
        </w:tc>
        <w:tc>
          <w:tcPr>
            <w:tcW w:w="780" w:type="dxa"/>
            <w:tcBorders>
              <w:top w:val="single" w:sz="4" w:space="0" w:color="auto"/>
              <w:left w:val="single" w:sz="4" w:space="0" w:color="auto"/>
              <w:bottom w:val="single" w:sz="4" w:space="0" w:color="auto"/>
              <w:right w:val="single" w:sz="4" w:space="0" w:color="auto"/>
            </w:tcBorders>
            <w:vAlign w:val="center"/>
            <w:hideMark/>
          </w:tcPr>
          <w:p w14:paraId="106BD9F7" w14:textId="16EB304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14958CCF" w14:textId="3A29C91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8479DE4" w14:textId="68648E8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7E81129C" w14:textId="36B274D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125,000,000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8B3E242" w14:textId="0637044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67FBD3EB" w14:textId="5EBFAB8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42FDC553" w14:textId="3900F1B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1C87CAA9" w14:textId="1D42DCE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0767024" w14:textId="0A31F11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6A274DEC"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2048A65C" w14:textId="51E245F7"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lastRenderedPageBreak/>
              <w:t>51</w:t>
            </w:r>
          </w:p>
        </w:tc>
        <w:tc>
          <w:tcPr>
            <w:tcW w:w="1973" w:type="dxa"/>
            <w:tcBorders>
              <w:top w:val="single" w:sz="4" w:space="0" w:color="auto"/>
              <w:left w:val="single" w:sz="4" w:space="0" w:color="auto"/>
              <w:bottom w:val="single" w:sz="4" w:space="0" w:color="auto"/>
              <w:right w:val="single" w:sz="4" w:space="0" w:color="auto"/>
            </w:tcBorders>
            <w:vAlign w:val="center"/>
            <w:hideMark/>
          </w:tcPr>
          <w:p w14:paraId="1E22E3C7" w14:textId="37E8EEB8"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Poder Judicial.</w:t>
            </w:r>
          </w:p>
        </w:tc>
        <w:tc>
          <w:tcPr>
            <w:tcW w:w="836" w:type="dxa"/>
            <w:tcBorders>
              <w:top w:val="single" w:sz="4" w:space="0" w:color="auto"/>
              <w:left w:val="single" w:sz="4" w:space="0" w:color="auto"/>
              <w:bottom w:val="single" w:sz="4" w:space="0" w:color="auto"/>
              <w:right w:val="single" w:sz="4" w:space="0" w:color="auto"/>
            </w:tcBorders>
            <w:vAlign w:val="center"/>
            <w:hideMark/>
          </w:tcPr>
          <w:p w14:paraId="3B89004A" w14:textId="1B1AA4A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271,481,600 </w:t>
            </w:r>
          </w:p>
        </w:tc>
        <w:tc>
          <w:tcPr>
            <w:tcW w:w="780" w:type="dxa"/>
            <w:tcBorders>
              <w:top w:val="single" w:sz="4" w:space="0" w:color="auto"/>
              <w:left w:val="single" w:sz="4" w:space="0" w:color="auto"/>
              <w:bottom w:val="single" w:sz="4" w:space="0" w:color="auto"/>
              <w:right w:val="single" w:sz="4" w:space="0" w:color="auto"/>
            </w:tcBorders>
            <w:vAlign w:val="center"/>
            <w:hideMark/>
          </w:tcPr>
          <w:p w14:paraId="11DCFD2A" w14:textId="6DF216E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65E8E569" w14:textId="68AC1F5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2B5CCFB" w14:textId="2DD17A0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038578E0" w14:textId="7E00241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271,481,600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27AEBFD" w14:textId="6EA8562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30BC0EBF" w14:textId="2A9A419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398E73F4" w14:textId="723A47A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290324D2" w14:textId="38F2C5D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A84335" w14:textId="4624BDB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3FBB57E5"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00E558BD" w14:textId="6501CD14"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54</w:t>
            </w:r>
          </w:p>
        </w:tc>
        <w:tc>
          <w:tcPr>
            <w:tcW w:w="1973" w:type="dxa"/>
            <w:tcBorders>
              <w:top w:val="single" w:sz="4" w:space="0" w:color="auto"/>
              <w:left w:val="single" w:sz="4" w:space="0" w:color="auto"/>
              <w:bottom w:val="single" w:sz="4" w:space="0" w:color="auto"/>
              <w:right w:val="single" w:sz="4" w:space="0" w:color="auto"/>
            </w:tcBorders>
            <w:vAlign w:val="center"/>
            <w:hideMark/>
          </w:tcPr>
          <w:p w14:paraId="798A03C1" w14:textId="603EA24E"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Sistema Estatal de Planeación Democrática.</w:t>
            </w:r>
          </w:p>
        </w:tc>
        <w:tc>
          <w:tcPr>
            <w:tcW w:w="836" w:type="dxa"/>
            <w:tcBorders>
              <w:top w:val="single" w:sz="4" w:space="0" w:color="auto"/>
              <w:left w:val="single" w:sz="4" w:space="0" w:color="auto"/>
              <w:bottom w:val="single" w:sz="4" w:space="0" w:color="auto"/>
              <w:right w:val="single" w:sz="4" w:space="0" w:color="auto"/>
            </w:tcBorders>
            <w:vAlign w:val="center"/>
            <w:hideMark/>
          </w:tcPr>
          <w:p w14:paraId="3EBEECB0" w14:textId="4A4F090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24,589,879 </w:t>
            </w:r>
          </w:p>
        </w:tc>
        <w:tc>
          <w:tcPr>
            <w:tcW w:w="780" w:type="dxa"/>
            <w:tcBorders>
              <w:top w:val="single" w:sz="4" w:space="0" w:color="auto"/>
              <w:left w:val="single" w:sz="4" w:space="0" w:color="auto"/>
              <w:bottom w:val="single" w:sz="4" w:space="0" w:color="auto"/>
              <w:right w:val="single" w:sz="4" w:space="0" w:color="auto"/>
            </w:tcBorders>
            <w:vAlign w:val="center"/>
            <w:hideMark/>
          </w:tcPr>
          <w:p w14:paraId="3D8AFEC5" w14:textId="19194AB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23,638,809 </w:t>
            </w:r>
          </w:p>
        </w:tc>
        <w:tc>
          <w:tcPr>
            <w:tcW w:w="712" w:type="dxa"/>
            <w:tcBorders>
              <w:top w:val="single" w:sz="4" w:space="0" w:color="auto"/>
              <w:left w:val="single" w:sz="4" w:space="0" w:color="auto"/>
              <w:bottom w:val="single" w:sz="4" w:space="0" w:color="auto"/>
              <w:right w:val="single" w:sz="4" w:space="0" w:color="auto"/>
            </w:tcBorders>
            <w:vAlign w:val="center"/>
            <w:hideMark/>
          </w:tcPr>
          <w:p w14:paraId="185C9573" w14:textId="21F0AB3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292,370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2DE1400" w14:textId="77E5DC7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498,510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0CB218D3" w14:textId="018A2B7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76EFB72" w14:textId="3EA63B4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160,190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67B0FF02" w14:textId="79264F5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0C33CB38" w14:textId="18BA229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3A07CE81" w14:textId="0783C10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89F651" w14:textId="33EC48A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3CB8ADA0"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1127B733" w14:textId="483A763D"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56</w:t>
            </w:r>
          </w:p>
        </w:tc>
        <w:tc>
          <w:tcPr>
            <w:tcW w:w="1973" w:type="dxa"/>
            <w:tcBorders>
              <w:top w:val="single" w:sz="4" w:space="0" w:color="auto"/>
              <w:left w:val="single" w:sz="4" w:space="0" w:color="auto"/>
              <w:bottom w:val="single" w:sz="4" w:space="0" w:color="auto"/>
              <w:right w:val="single" w:sz="4" w:space="0" w:color="auto"/>
            </w:tcBorders>
            <w:vAlign w:val="center"/>
            <w:hideMark/>
          </w:tcPr>
          <w:p w14:paraId="3BABCC2F" w14:textId="1E894043"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Transparencia y Control Gubernamental.</w:t>
            </w:r>
          </w:p>
        </w:tc>
        <w:tc>
          <w:tcPr>
            <w:tcW w:w="836" w:type="dxa"/>
            <w:tcBorders>
              <w:top w:val="single" w:sz="4" w:space="0" w:color="auto"/>
              <w:left w:val="single" w:sz="4" w:space="0" w:color="auto"/>
              <w:bottom w:val="single" w:sz="4" w:space="0" w:color="auto"/>
              <w:right w:val="single" w:sz="4" w:space="0" w:color="auto"/>
            </w:tcBorders>
            <w:vAlign w:val="center"/>
            <w:hideMark/>
          </w:tcPr>
          <w:p w14:paraId="48C50ACE" w14:textId="17AF3B8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28,614,931 </w:t>
            </w:r>
          </w:p>
        </w:tc>
        <w:tc>
          <w:tcPr>
            <w:tcW w:w="780" w:type="dxa"/>
            <w:tcBorders>
              <w:top w:val="single" w:sz="4" w:space="0" w:color="auto"/>
              <w:left w:val="single" w:sz="4" w:space="0" w:color="auto"/>
              <w:bottom w:val="single" w:sz="4" w:space="0" w:color="auto"/>
              <w:right w:val="single" w:sz="4" w:space="0" w:color="auto"/>
            </w:tcBorders>
            <w:vAlign w:val="center"/>
            <w:hideMark/>
          </w:tcPr>
          <w:p w14:paraId="4A3C519C" w14:textId="356F9AF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22,281,029 </w:t>
            </w:r>
          </w:p>
        </w:tc>
        <w:tc>
          <w:tcPr>
            <w:tcW w:w="712" w:type="dxa"/>
            <w:tcBorders>
              <w:top w:val="single" w:sz="4" w:space="0" w:color="auto"/>
              <w:left w:val="single" w:sz="4" w:space="0" w:color="auto"/>
              <w:bottom w:val="single" w:sz="4" w:space="0" w:color="auto"/>
              <w:right w:val="single" w:sz="4" w:space="0" w:color="auto"/>
            </w:tcBorders>
            <w:vAlign w:val="center"/>
            <w:hideMark/>
          </w:tcPr>
          <w:p w14:paraId="0713A02C" w14:textId="46B8A31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720,898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6F46AF0" w14:textId="459B79C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1,544,575 </w:t>
            </w:r>
          </w:p>
        </w:tc>
        <w:tc>
          <w:tcPr>
            <w:tcW w:w="848" w:type="dxa"/>
            <w:tcBorders>
              <w:top w:val="single" w:sz="4" w:space="0" w:color="auto"/>
              <w:left w:val="single" w:sz="4" w:space="0" w:color="auto"/>
              <w:bottom w:val="single" w:sz="4" w:space="0" w:color="auto"/>
              <w:right w:val="single" w:sz="4" w:space="0" w:color="auto"/>
            </w:tcBorders>
            <w:vAlign w:val="center"/>
            <w:hideMark/>
          </w:tcPr>
          <w:p w14:paraId="39B74072" w14:textId="308B575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4,068,429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630254A" w14:textId="0FBFAA5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4013537C" w14:textId="7D52EDC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4076A073" w14:textId="7520E4D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21F644E7" w14:textId="01DC391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FBE25AF" w14:textId="7A24042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341101CF"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13E9A121" w14:textId="6149438B"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61</w:t>
            </w:r>
          </w:p>
        </w:tc>
        <w:tc>
          <w:tcPr>
            <w:tcW w:w="1973" w:type="dxa"/>
            <w:tcBorders>
              <w:top w:val="single" w:sz="4" w:space="0" w:color="auto"/>
              <w:left w:val="single" w:sz="4" w:space="0" w:color="auto"/>
              <w:bottom w:val="single" w:sz="4" w:space="0" w:color="auto"/>
              <w:right w:val="single" w:sz="4" w:space="0" w:color="auto"/>
            </w:tcBorders>
            <w:vAlign w:val="center"/>
            <w:hideMark/>
          </w:tcPr>
          <w:p w14:paraId="04D725D7" w14:textId="6ED866E0"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Gasto No Programable.</w:t>
            </w:r>
          </w:p>
        </w:tc>
        <w:tc>
          <w:tcPr>
            <w:tcW w:w="836" w:type="dxa"/>
            <w:tcBorders>
              <w:top w:val="single" w:sz="4" w:space="0" w:color="auto"/>
              <w:left w:val="single" w:sz="4" w:space="0" w:color="auto"/>
              <w:bottom w:val="single" w:sz="4" w:space="0" w:color="auto"/>
              <w:right w:val="single" w:sz="4" w:space="0" w:color="auto"/>
            </w:tcBorders>
            <w:vAlign w:val="center"/>
            <w:hideMark/>
          </w:tcPr>
          <w:p w14:paraId="4CD35B15" w14:textId="1F7EF04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6,135,274,094 </w:t>
            </w:r>
          </w:p>
        </w:tc>
        <w:tc>
          <w:tcPr>
            <w:tcW w:w="780" w:type="dxa"/>
            <w:tcBorders>
              <w:top w:val="single" w:sz="4" w:space="0" w:color="auto"/>
              <w:left w:val="single" w:sz="4" w:space="0" w:color="auto"/>
              <w:bottom w:val="single" w:sz="4" w:space="0" w:color="auto"/>
              <w:right w:val="single" w:sz="4" w:space="0" w:color="auto"/>
            </w:tcBorders>
            <w:vAlign w:val="center"/>
            <w:hideMark/>
          </w:tcPr>
          <w:p w14:paraId="635A1463" w14:textId="6A39A08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11CCF90D" w14:textId="465DC3E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F7B2E74" w14:textId="52CDFC2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33B203F7" w14:textId="488DB1A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2,242,524,237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4EDCE4" w14:textId="5FEC464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1F7CFF95" w14:textId="0D15DCC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1965A80F" w14:textId="672169C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1,800,000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6BED1260" w14:textId="221B20D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3,334,416,398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0E6DF4B" w14:textId="54C3D37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556,533,459 </w:t>
            </w:r>
          </w:p>
        </w:tc>
      </w:tr>
      <w:tr w:rsidR="00A41077" w14:paraId="75899773"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0B7F3992" w14:textId="453AB705"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63</w:t>
            </w:r>
          </w:p>
        </w:tc>
        <w:tc>
          <w:tcPr>
            <w:tcW w:w="1973" w:type="dxa"/>
            <w:tcBorders>
              <w:top w:val="single" w:sz="4" w:space="0" w:color="auto"/>
              <w:left w:val="single" w:sz="4" w:space="0" w:color="auto"/>
              <w:bottom w:val="single" w:sz="4" w:space="0" w:color="auto"/>
              <w:right w:val="single" w:sz="4" w:space="0" w:color="auto"/>
            </w:tcBorders>
            <w:vAlign w:val="center"/>
            <w:hideMark/>
          </w:tcPr>
          <w:p w14:paraId="2AD04D13" w14:textId="2FC510EE"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Inclusión Social y Equidad Educativa.</w:t>
            </w:r>
          </w:p>
        </w:tc>
        <w:tc>
          <w:tcPr>
            <w:tcW w:w="836" w:type="dxa"/>
            <w:tcBorders>
              <w:top w:val="single" w:sz="4" w:space="0" w:color="auto"/>
              <w:left w:val="single" w:sz="4" w:space="0" w:color="auto"/>
              <w:bottom w:val="single" w:sz="4" w:space="0" w:color="auto"/>
              <w:right w:val="single" w:sz="4" w:space="0" w:color="auto"/>
            </w:tcBorders>
            <w:vAlign w:val="center"/>
            <w:hideMark/>
          </w:tcPr>
          <w:p w14:paraId="1429A87C" w14:textId="19E058A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219,626,016 </w:t>
            </w:r>
          </w:p>
        </w:tc>
        <w:tc>
          <w:tcPr>
            <w:tcW w:w="780" w:type="dxa"/>
            <w:tcBorders>
              <w:top w:val="single" w:sz="4" w:space="0" w:color="auto"/>
              <w:left w:val="single" w:sz="4" w:space="0" w:color="auto"/>
              <w:bottom w:val="single" w:sz="4" w:space="0" w:color="auto"/>
              <w:right w:val="single" w:sz="4" w:space="0" w:color="auto"/>
            </w:tcBorders>
            <w:vAlign w:val="center"/>
            <w:hideMark/>
          </w:tcPr>
          <w:p w14:paraId="1D315F53" w14:textId="5B6C5F2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35,769,390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0A22ACD0" w14:textId="5FAEBFB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F4C657D" w14:textId="2D6E81F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60DE5E43" w14:textId="49A8293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183,856,626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D31D83" w14:textId="536845C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371FF704" w14:textId="5A80B7C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605438C8" w14:textId="0F3C995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1A1332D1" w14:textId="0C71629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D912D73" w14:textId="4E737CC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14E035ED"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3A840E97" w14:textId="1CBA6C94"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64</w:t>
            </w:r>
          </w:p>
        </w:tc>
        <w:tc>
          <w:tcPr>
            <w:tcW w:w="1973" w:type="dxa"/>
            <w:tcBorders>
              <w:top w:val="single" w:sz="4" w:space="0" w:color="auto"/>
              <w:left w:val="single" w:sz="4" w:space="0" w:color="auto"/>
              <w:bottom w:val="single" w:sz="4" w:space="0" w:color="auto"/>
              <w:right w:val="single" w:sz="4" w:space="0" w:color="auto"/>
            </w:tcBorders>
            <w:vAlign w:val="center"/>
            <w:hideMark/>
          </w:tcPr>
          <w:p w14:paraId="77307B69" w14:textId="6C75B4D3"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Educación Básica.</w:t>
            </w:r>
          </w:p>
        </w:tc>
        <w:tc>
          <w:tcPr>
            <w:tcW w:w="836" w:type="dxa"/>
            <w:tcBorders>
              <w:top w:val="single" w:sz="4" w:space="0" w:color="auto"/>
              <w:left w:val="single" w:sz="4" w:space="0" w:color="auto"/>
              <w:bottom w:val="single" w:sz="4" w:space="0" w:color="auto"/>
              <w:right w:val="single" w:sz="4" w:space="0" w:color="auto"/>
            </w:tcBorders>
            <w:vAlign w:val="center"/>
            <w:hideMark/>
          </w:tcPr>
          <w:p w14:paraId="19FB7311" w14:textId="42B6D72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5,450,068,762 </w:t>
            </w:r>
          </w:p>
        </w:tc>
        <w:tc>
          <w:tcPr>
            <w:tcW w:w="780" w:type="dxa"/>
            <w:tcBorders>
              <w:top w:val="single" w:sz="4" w:space="0" w:color="auto"/>
              <w:left w:val="single" w:sz="4" w:space="0" w:color="auto"/>
              <w:bottom w:val="single" w:sz="4" w:space="0" w:color="auto"/>
              <w:right w:val="single" w:sz="4" w:space="0" w:color="auto"/>
            </w:tcBorders>
            <w:vAlign w:val="center"/>
            <w:hideMark/>
          </w:tcPr>
          <w:p w14:paraId="5E7A19D5" w14:textId="1508547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682,099,591 </w:t>
            </w:r>
          </w:p>
        </w:tc>
        <w:tc>
          <w:tcPr>
            <w:tcW w:w="712" w:type="dxa"/>
            <w:tcBorders>
              <w:top w:val="single" w:sz="4" w:space="0" w:color="auto"/>
              <w:left w:val="single" w:sz="4" w:space="0" w:color="auto"/>
              <w:bottom w:val="single" w:sz="4" w:space="0" w:color="auto"/>
              <w:right w:val="single" w:sz="4" w:space="0" w:color="auto"/>
            </w:tcBorders>
            <w:vAlign w:val="center"/>
            <w:hideMark/>
          </w:tcPr>
          <w:p w14:paraId="0D3DE53C" w14:textId="7AD4029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172,000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A8FF502" w14:textId="1D08325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12,214,011 </w:t>
            </w:r>
          </w:p>
        </w:tc>
        <w:tc>
          <w:tcPr>
            <w:tcW w:w="848" w:type="dxa"/>
            <w:tcBorders>
              <w:top w:val="single" w:sz="4" w:space="0" w:color="auto"/>
              <w:left w:val="single" w:sz="4" w:space="0" w:color="auto"/>
              <w:bottom w:val="single" w:sz="4" w:space="0" w:color="auto"/>
              <w:right w:val="single" w:sz="4" w:space="0" w:color="auto"/>
            </w:tcBorders>
            <w:vAlign w:val="center"/>
            <w:hideMark/>
          </w:tcPr>
          <w:p w14:paraId="1FB708C6" w14:textId="1941F6E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4,755,583,160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BD84C80" w14:textId="30EC0B9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43FBA9A9" w14:textId="355A01D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28A88619" w14:textId="170C48E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642D2E6B" w14:textId="0E2319E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5AA7B2" w14:textId="44F2BB5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781D3C37"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78818BE7" w14:textId="731169B8"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65</w:t>
            </w:r>
          </w:p>
        </w:tc>
        <w:tc>
          <w:tcPr>
            <w:tcW w:w="1973" w:type="dxa"/>
            <w:tcBorders>
              <w:top w:val="single" w:sz="4" w:space="0" w:color="auto"/>
              <w:left w:val="single" w:sz="4" w:space="0" w:color="auto"/>
              <w:bottom w:val="single" w:sz="4" w:space="0" w:color="auto"/>
              <w:right w:val="single" w:sz="4" w:space="0" w:color="auto"/>
            </w:tcBorders>
            <w:vAlign w:val="center"/>
            <w:hideMark/>
          </w:tcPr>
          <w:p w14:paraId="1CE10FB6" w14:textId="05D79841"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Educación Media Superior.</w:t>
            </w:r>
          </w:p>
        </w:tc>
        <w:tc>
          <w:tcPr>
            <w:tcW w:w="836" w:type="dxa"/>
            <w:tcBorders>
              <w:top w:val="single" w:sz="4" w:space="0" w:color="auto"/>
              <w:left w:val="single" w:sz="4" w:space="0" w:color="auto"/>
              <w:bottom w:val="single" w:sz="4" w:space="0" w:color="auto"/>
              <w:right w:val="single" w:sz="4" w:space="0" w:color="auto"/>
            </w:tcBorders>
            <w:vAlign w:val="center"/>
            <w:hideMark/>
          </w:tcPr>
          <w:p w14:paraId="01247716" w14:textId="549FA1F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251,722,194 </w:t>
            </w:r>
          </w:p>
        </w:tc>
        <w:tc>
          <w:tcPr>
            <w:tcW w:w="780" w:type="dxa"/>
            <w:tcBorders>
              <w:top w:val="single" w:sz="4" w:space="0" w:color="auto"/>
              <w:left w:val="single" w:sz="4" w:space="0" w:color="auto"/>
              <w:bottom w:val="single" w:sz="4" w:space="0" w:color="auto"/>
              <w:right w:val="single" w:sz="4" w:space="0" w:color="auto"/>
            </w:tcBorders>
            <w:vAlign w:val="center"/>
            <w:hideMark/>
          </w:tcPr>
          <w:p w14:paraId="6EF942C8" w14:textId="3CCA624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6B83F0E9" w14:textId="57ACC73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FBE0292" w14:textId="5644E15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7775727A" w14:textId="2CDF681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251,722,194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FB5B18C" w14:textId="40674D0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2869322F" w14:textId="3252755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66B70552" w14:textId="74DE2E8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1654093C" w14:textId="2815913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F31299" w14:textId="123F0FA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77A0D508"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149BF282" w14:textId="6DC9C810"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66</w:t>
            </w:r>
          </w:p>
        </w:tc>
        <w:tc>
          <w:tcPr>
            <w:tcW w:w="1973" w:type="dxa"/>
            <w:tcBorders>
              <w:top w:val="single" w:sz="4" w:space="0" w:color="auto"/>
              <w:left w:val="single" w:sz="4" w:space="0" w:color="auto"/>
              <w:bottom w:val="single" w:sz="4" w:space="0" w:color="auto"/>
              <w:right w:val="single" w:sz="4" w:space="0" w:color="auto"/>
            </w:tcBorders>
            <w:vAlign w:val="center"/>
            <w:hideMark/>
          </w:tcPr>
          <w:p w14:paraId="3DB327B0" w14:textId="1B8C507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Educación Superior.</w:t>
            </w:r>
          </w:p>
        </w:tc>
        <w:tc>
          <w:tcPr>
            <w:tcW w:w="836" w:type="dxa"/>
            <w:tcBorders>
              <w:top w:val="single" w:sz="4" w:space="0" w:color="auto"/>
              <w:left w:val="single" w:sz="4" w:space="0" w:color="auto"/>
              <w:bottom w:val="single" w:sz="4" w:space="0" w:color="auto"/>
              <w:right w:val="single" w:sz="4" w:space="0" w:color="auto"/>
            </w:tcBorders>
            <w:vAlign w:val="center"/>
            <w:hideMark/>
          </w:tcPr>
          <w:p w14:paraId="1D066933" w14:textId="451598B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229,386,473 </w:t>
            </w:r>
          </w:p>
        </w:tc>
        <w:tc>
          <w:tcPr>
            <w:tcW w:w="780" w:type="dxa"/>
            <w:tcBorders>
              <w:top w:val="single" w:sz="4" w:space="0" w:color="auto"/>
              <w:left w:val="single" w:sz="4" w:space="0" w:color="auto"/>
              <w:bottom w:val="single" w:sz="4" w:space="0" w:color="auto"/>
              <w:right w:val="single" w:sz="4" w:space="0" w:color="auto"/>
            </w:tcBorders>
            <w:vAlign w:val="center"/>
            <w:hideMark/>
          </w:tcPr>
          <w:p w14:paraId="19FE9056" w14:textId="2271EB4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183,124,656 </w:t>
            </w:r>
          </w:p>
        </w:tc>
        <w:tc>
          <w:tcPr>
            <w:tcW w:w="712" w:type="dxa"/>
            <w:tcBorders>
              <w:top w:val="single" w:sz="4" w:space="0" w:color="auto"/>
              <w:left w:val="single" w:sz="4" w:space="0" w:color="auto"/>
              <w:bottom w:val="single" w:sz="4" w:space="0" w:color="auto"/>
              <w:right w:val="single" w:sz="4" w:space="0" w:color="auto"/>
            </w:tcBorders>
            <w:vAlign w:val="center"/>
            <w:hideMark/>
          </w:tcPr>
          <w:p w14:paraId="55F3FFAB" w14:textId="6F7BA75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CA42774" w14:textId="48DD4AD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108A48F0" w14:textId="5D0B816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46,261,817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41CD0B8" w14:textId="5119840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007FD8CC" w14:textId="5DB4704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43ACB531" w14:textId="39F31A2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53B003A6" w14:textId="28FBE71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288DD5C" w14:textId="67CCFE6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60C946AD"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7019801A" w14:textId="64C9F383"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75</w:t>
            </w:r>
          </w:p>
        </w:tc>
        <w:tc>
          <w:tcPr>
            <w:tcW w:w="1973" w:type="dxa"/>
            <w:tcBorders>
              <w:top w:val="single" w:sz="4" w:space="0" w:color="auto"/>
              <w:left w:val="single" w:sz="4" w:space="0" w:color="auto"/>
              <w:bottom w:val="single" w:sz="4" w:space="0" w:color="auto"/>
              <w:right w:val="single" w:sz="4" w:space="0" w:color="auto"/>
            </w:tcBorders>
            <w:vAlign w:val="center"/>
            <w:hideMark/>
          </w:tcPr>
          <w:p w14:paraId="1D544A60" w14:textId="523F2F52"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Programa de Movilidad.</w:t>
            </w:r>
          </w:p>
        </w:tc>
        <w:tc>
          <w:tcPr>
            <w:tcW w:w="836" w:type="dxa"/>
            <w:tcBorders>
              <w:top w:val="single" w:sz="4" w:space="0" w:color="auto"/>
              <w:left w:val="single" w:sz="4" w:space="0" w:color="auto"/>
              <w:bottom w:val="single" w:sz="4" w:space="0" w:color="auto"/>
              <w:right w:val="single" w:sz="4" w:space="0" w:color="auto"/>
            </w:tcBorders>
            <w:vAlign w:val="center"/>
            <w:hideMark/>
          </w:tcPr>
          <w:p w14:paraId="45B61220" w14:textId="6B909BC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82,180,643 </w:t>
            </w:r>
          </w:p>
        </w:tc>
        <w:tc>
          <w:tcPr>
            <w:tcW w:w="780" w:type="dxa"/>
            <w:tcBorders>
              <w:top w:val="single" w:sz="4" w:space="0" w:color="auto"/>
              <w:left w:val="single" w:sz="4" w:space="0" w:color="auto"/>
              <w:bottom w:val="single" w:sz="4" w:space="0" w:color="auto"/>
              <w:right w:val="single" w:sz="4" w:space="0" w:color="auto"/>
            </w:tcBorders>
            <w:vAlign w:val="center"/>
            <w:hideMark/>
          </w:tcPr>
          <w:p w14:paraId="74E239E0" w14:textId="307C9AC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56,735,295 </w:t>
            </w:r>
          </w:p>
        </w:tc>
        <w:tc>
          <w:tcPr>
            <w:tcW w:w="712" w:type="dxa"/>
            <w:tcBorders>
              <w:top w:val="single" w:sz="4" w:space="0" w:color="auto"/>
              <w:left w:val="single" w:sz="4" w:space="0" w:color="auto"/>
              <w:bottom w:val="single" w:sz="4" w:space="0" w:color="auto"/>
              <w:right w:val="single" w:sz="4" w:space="0" w:color="auto"/>
            </w:tcBorders>
            <w:vAlign w:val="center"/>
            <w:hideMark/>
          </w:tcPr>
          <w:p w14:paraId="25D347EE" w14:textId="2FE41EE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21,704,822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57B2B2F" w14:textId="589C3BC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3,740,526 </w:t>
            </w:r>
          </w:p>
        </w:tc>
        <w:tc>
          <w:tcPr>
            <w:tcW w:w="848" w:type="dxa"/>
            <w:tcBorders>
              <w:top w:val="single" w:sz="4" w:space="0" w:color="auto"/>
              <w:left w:val="single" w:sz="4" w:space="0" w:color="auto"/>
              <w:bottom w:val="single" w:sz="4" w:space="0" w:color="auto"/>
              <w:right w:val="single" w:sz="4" w:space="0" w:color="auto"/>
            </w:tcBorders>
            <w:vAlign w:val="center"/>
            <w:hideMark/>
          </w:tcPr>
          <w:p w14:paraId="51348CFB" w14:textId="1CE09A4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8114A07" w14:textId="5EC5E71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7A51EE5E" w14:textId="3EE9892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343287B5" w14:textId="292D869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118CF277" w14:textId="1A538AC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73E6C2F" w14:textId="0C43477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3F95F78F"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24A94180" w14:textId="7796DDDE"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77</w:t>
            </w:r>
          </w:p>
        </w:tc>
        <w:tc>
          <w:tcPr>
            <w:tcW w:w="1973" w:type="dxa"/>
            <w:tcBorders>
              <w:top w:val="single" w:sz="4" w:space="0" w:color="auto"/>
              <w:left w:val="single" w:sz="4" w:space="0" w:color="auto"/>
              <w:bottom w:val="single" w:sz="4" w:space="0" w:color="auto"/>
              <w:right w:val="single" w:sz="4" w:space="0" w:color="auto"/>
            </w:tcBorders>
            <w:vAlign w:val="center"/>
            <w:hideMark/>
          </w:tcPr>
          <w:p w14:paraId="0C429F80" w14:textId="7F18DF53"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Consolidación de la Gobernabilidad Democrática del Estado de Colima.</w:t>
            </w:r>
          </w:p>
        </w:tc>
        <w:tc>
          <w:tcPr>
            <w:tcW w:w="836" w:type="dxa"/>
            <w:tcBorders>
              <w:top w:val="single" w:sz="4" w:space="0" w:color="auto"/>
              <w:left w:val="single" w:sz="4" w:space="0" w:color="auto"/>
              <w:bottom w:val="single" w:sz="4" w:space="0" w:color="auto"/>
              <w:right w:val="single" w:sz="4" w:space="0" w:color="auto"/>
            </w:tcBorders>
            <w:vAlign w:val="center"/>
            <w:hideMark/>
          </w:tcPr>
          <w:p w14:paraId="72ED965D" w14:textId="2991B99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115,598,554 </w:t>
            </w:r>
          </w:p>
        </w:tc>
        <w:tc>
          <w:tcPr>
            <w:tcW w:w="780" w:type="dxa"/>
            <w:tcBorders>
              <w:top w:val="single" w:sz="4" w:space="0" w:color="auto"/>
              <w:left w:val="single" w:sz="4" w:space="0" w:color="auto"/>
              <w:bottom w:val="single" w:sz="4" w:space="0" w:color="auto"/>
              <w:right w:val="single" w:sz="4" w:space="0" w:color="auto"/>
            </w:tcBorders>
            <w:vAlign w:val="center"/>
            <w:hideMark/>
          </w:tcPr>
          <w:p w14:paraId="1FAE55B7" w14:textId="07B3C0C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52,520,484 </w:t>
            </w:r>
          </w:p>
        </w:tc>
        <w:tc>
          <w:tcPr>
            <w:tcW w:w="712" w:type="dxa"/>
            <w:tcBorders>
              <w:top w:val="single" w:sz="4" w:space="0" w:color="auto"/>
              <w:left w:val="single" w:sz="4" w:space="0" w:color="auto"/>
              <w:bottom w:val="single" w:sz="4" w:space="0" w:color="auto"/>
              <w:right w:val="single" w:sz="4" w:space="0" w:color="auto"/>
            </w:tcBorders>
            <w:vAlign w:val="center"/>
            <w:hideMark/>
          </w:tcPr>
          <w:p w14:paraId="7E1AFE8E" w14:textId="271CFCC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3,258,516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CA48CD0" w14:textId="636E863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32,220,554 </w:t>
            </w:r>
          </w:p>
        </w:tc>
        <w:tc>
          <w:tcPr>
            <w:tcW w:w="848" w:type="dxa"/>
            <w:tcBorders>
              <w:top w:val="single" w:sz="4" w:space="0" w:color="auto"/>
              <w:left w:val="single" w:sz="4" w:space="0" w:color="auto"/>
              <w:bottom w:val="single" w:sz="4" w:space="0" w:color="auto"/>
              <w:right w:val="single" w:sz="4" w:space="0" w:color="auto"/>
            </w:tcBorders>
            <w:vAlign w:val="center"/>
            <w:hideMark/>
          </w:tcPr>
          <w:p w14:paraId="7FBAF1E2" w14:textId="19E8B50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23,900,000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1DE61B7" w14:textId="3DB7CA1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699,000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0B5771A4" w14:textId="43D4EEC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34AF50FC" w14:textId="5FBB9F6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3,000,000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44C2940F" w14:textId="7F07340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B6EC59" w14:textId="4954DBC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1624C27E"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77471212" w14:textId="3F8759CF"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79</w:t>
            </w:r>
          </w:p>
        </w:tc>
        <w:tc>
          <w:tcPr>
            <w:tcW w:w="1973" w:type="dxa"/>
            <w:tcBorders>
              <w:top w:val="single" w:sz="4" w:space="0" w:color="auto"/>
              <w:left w:val="single" w:sz="4" w:space="0" w:color="auto"/>
              <w:bottom w:val="single" w:sz="4" w:space="0" w:color="auto"/>
              <w:right w:val="single" w:sz="4" w:space="0" w:color="auto"/>
            </w:tcBorders>
            <w:vAlign w:val="center"/>
            <w:hideMark/>
          </w:tcPr>
          <w:p w14:paraId="7C8D36AB" w14:textId="329C2F19"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Compromiso con la Salvaguarda de la Población en materia de Protección Civil.</w:t>
            </w:r>
          </w:p>
        </w:tc>
        <w:tc>
          <w:tcPr>
            <w:tcW w:w="836" w:type="dxa"/>
            <w:tcBorders>
              <w:top w:val="single" w:sz="4" w:space="0" w:color="auto"/>
              <w:left w:val="single" w:sz="4" w:space="0" w:color="auto"/>
              <w:bottom w:val="single" w:sz="4" w:space="0" w:color="auto"/>
              <w:right w:val="single" w:sz="4" w:space="0" w:color="auto"/>
            </w:tcBorders>
            <w:vAlign w:val="center"/>
            <w:hideMark/>
          </w:tcPr>
          <w:p w14:paraId="50774152" w14:textId="5E32684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25,343,686 </w:t>
            </w:r>
          </w:p>
        </w:tc>
        <w:tc>
          <w:tcPr>
            <w:tcW w:w="780" w:type="dxa"/>
            <w:tcBorders>
              <w:top w:val="single" w:sz="4" w:space="0" w:color="auto"/>
              <w:left w:val="single" w:sz="4" w:space="0" w:color="auto"/>
              <w:bottom w:val="single" w:sz="4" w:space="0" w:color="auto"/>
              <w:right w:val="single" w:sz="4" w:space="0" w:color="auto"/>
            </w:tcBorders>
            <w:vAlign w:val="center"/>
            <w:hideMark/>
          </w:tcPr>
          <w:p w14:paraId="0A11C2BB" w14:textId="19FA708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66682E89" w14:textId="2857894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CE3D39" w14:textId="50BC3E6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140F8C6D" w14:textId="346A1C1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25,343,686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38AE779" w14:textId="46989C5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72DED76F" w14:textId="6ED8FD1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69FBAC4A" w14:textId="447322B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770D9388" w14:textId="73949E6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EE1C3E3" w14:textId="6BCF22E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4413118F"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1B462C40" w14:textId="02241988"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82</w:t>
            </w:r>
          </w:p>
        </w:tc>
        <w:tc>
          <w:tcPr>
            <w:tcW w:w="1973" w:type="dxa"/>
            <w:tcBorders>
              <w:top w:val="single" w:sz="4" w:space="0" w:color="auto"/>
              <w:left w:val="single" w:sz="4" w:space="0" w:color="auto"/>
              <w:bottom w:val="single" w:sz="4" w:space="0" w:color="auto"/>
              <w:right w:val="single" w:sz="4" w:space="0" w:color="auto"/>
            </w:tcBorders>
            <w:vAlign w:val="center"/>
            <w:hideMark/>
          </w:tcPr>
          <w:p w14:paraId="6E1C49DF" w14:textId="5C4505C6"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Educación para Adultos.</w:t>
            </w:r>
          </w:p>
        </w:tc>
        <w:tc>
          <w:tcPr>
            <w:tcW w:w="836" w:type="dxa"/>
            <w:tcBorders>
              <w:top w:val="single" w:sz="4" w:space="0" w:color="auto"/>
              <w:left w:val="single" w:sz="4" w:space="0" w:color="auto"/>
              <w:bottom w:val="single" w:sz="4" w:space="0" w:color="auto"/>
              <w:right w:val="single" w:sz="4" w:space="0" w:color="auto"/>
            </w:tcBorders>
            <w:vAlign w:val="center"/>
            <w:hideMark/>
          </w:tcPr>
          <w:p w14:paraId="4E4AD9CF" w14:textId="6A70FFA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7,938,289 </w:t>
            </w:r>
          </w:p>
        </w:tc>
        <w:tc>
          <w:tcPr>
            <w:tcW w:w="780" w:type="dxa"/>
            <w:tcBorders>
              <w:top w:val="single" w:sz="4" w:space="0" w:color="auto"/>
              <w:left w:val="single" w:sz="4" w:space="0" w:color="auto"/>
              <w:bottom w:val="single" w:sz="4" w:space="0" w:color="auto"/>
              <w:right w:val="single" w:sz="4" w:space="0" w:color="auto"/>
            </w:tcBorders>
            <w:vAlign w:val="center"/>
            <w:hideMark/>
          </w:tcPr>
          <w:p w14:paraId="2892C653" w14:textId="08B0C8E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21CF15C0" w14:textId="366A8C5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082380D" w14:textId="357D17C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3EAD0145" w14:textId="31F89DD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7,938,289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1696E6" w14:textId="1A31D98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13A7BF70" w14:textId="3FCC5A8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2567E2E9" w14:textId="63CBA9B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1D78D977" w14:textId="60CB89E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03B7562" w14:textId="6455861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065951B9"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2A957670" w14:textId="6BF76CD4"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83</w:t>
            </w:r>
          </w:p>
        </w:tc>
        <w:tc>
          <w:tcPr>
            <w:tcW w:w="1973" w:type="dxa"/>
            <w:tcBorders>
              <w:top w:val="single" w:sz="4" w:space="0" w:color="auto"/>
              <w:left w:val="single" w:sz="4" w:space="0" w:color="auto"/>
              <w:bottom w:val="single" w:sz="4" w:space="0" w:color="auto"/>
              <w:right w:val="single" w:sz="4" w:space="0" w:color="auto"/>
            </w:tcBorders>
            <w:vAlign w:val="center"/>
            <w:hideMark/>
          </w:tcPr>
          <w:p w14:paraId="42ED7836" w14:textId="239F32C8"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Consejería Jurídica.</w:t>
            </w:r>
          </w:p>
        </w:tc>
        <w:tc>
          <w:tcPr>
            <w:tcW w:w="836" w:type="dxa"/>
            <w:tcBorders>
              <w:top w:val="single" w:sz="4" w:space="0" w:color="auto"/>
              <w:left w:val="single" w:sz="4" w:space="0" w:color="auto"/>
              <w:bottom w:val="single" w:sz="4" w:space="0" w:color="auto"/>
              <w:right w:val="single" w:sz="4" w:space="0" w:color="auto"/>
            </w:tcBorders>
            <w:vAlign w:val="center"/>
            <w:hideMark/>
          </w:tcPr>
          <w:p w14:paraId="2B297B12" w14:textId="3AB3630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36,294,439 </w:t>
            </w:r>
          </w:p>
        </w:tc>
        <w:tc>
          <w:tcPr>
            <w:tcW w:w="780" w:type="dxa"/>
            <w:tcBorders>
              <w:top w:val="single" w:sz="4" w:space="0" w:color="auto"/>
              <w:left w:val="single" w:sz="4" w:space="0" w:color="auto"/>
              <w:bottom w:val="single" w:sz="4" w:space="0" w:color="auto"/>
              <w:right w:val="single" w:sz="4" w:space="0" w:color="auto"/>
            </w:tcBorders>
            <w:vAlign w:val="center"/>
            <w:hideMark/>
          </w:tcPr>
          <w:p w14:paraId="71633801" w14:textId="52BA486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32,352,761 </w:t>
            </w:r>
          </w:p>
        </w:tc>
        <w:tc>
          <w:tcPr>
            <w:tcW w:w="712" w:type="dxa"/>
            <w:tcBorders>
              <w:top w:val="single" w:sz="4" w:space="0" w:color="auto"/>
              <w:left w:val="single" w:sz="4" w:space="0" w:color="auto"/>
              <w:bottom w:val="single" w:sz="4" w:space="0" w:color="auto"/>
              <w:right w:val="single" w:sz="4" w:space="0" w:color="auto"/>
            </w:tcBorders>
            <w:vAlign w:val="center"/>
            <w:hideMark/>
          </w:tcPr>
          <w:p w14:paraId="06686FBC" w14:textId="3D49947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835,357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F932C07" w14:textId="46C6B04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3,076,321 </w:t>
            </w:r>
          </w:p>
        </w:tc>
        <w:tc>
          <w:tcPr>
            <w:tcW w:w="848" w:type="dxa"/>
            <w:tcBorders>
              <w:top w:val="single" w:sz="4" w:space="0" w:color="auto"/>
              <w:left w:val="single" w:sz="4" w:space="0" w:color="auto"/>
              <w:bottom w:val="single" w:sz="4" w:space="0" w:color="auto"/>
              <w:right w:val="single" w:sz="4" w:space="0" w:color="auto"/>
            </w:tcBorders>
            <w:vAlign w:val="center"/>
            <w:hideMark/>
          </w:tcPr>
          <w:p w14:paraId="7C0CF33D" w14:textId="6C829F7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7DC5E2E" w14:textId="60D47AB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30,000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7C15B74A" w14:textId="1026F20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68259501" w14:textId="730D1E8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04D242C6" w14:textId="6C7A222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1585FA1" w14:textId="0FE8FFF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18F4F97D"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2BA0DC75" w14:textId="1D2DC616"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84</w:t>
            </w:r>
          </w:p>
        </w:tc>
        <w:tc>
          <w:tcPr>
            <w:tcW w:w="1973" w:type="dxa"/>
            <w:tcBorders>
              <w:top w:val="single" w:sz="4" w:space="0" w:color="auto"/>
              <w:left w:val="single" w:sz="4" w:space="0" w:color="auto"/>
              <w:bottom w:val="single" w:sz="4" w:space="0" w:color="auto"/>
              <w:right w:val="single" w:sz="4" w:space="0" w:color="auto"/>
            </w:tcBorders>
            <w:vAlign w:val="center"/>
            <w:hideMark/>
          </w:tcPr>
          <w:p w14:paraId="55363B76" w14:textId="4011AD4E"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Educación Media Superior CONALEP.</w:t>
            </w:r>
          </w:p>
        </w:tc>
        <w:tc>
          <w:tcPr>
            <w:tcW w:w="836" w:type="dxa"/>
            <w:tcBorders>
              <w:top w:val="single" w:sz="4" w:space="0" w:color="auto"/>
              <w:left w:val="single" w:sz="4" w:space="0" w:color="auto"/>
              <w:bottom w:val="single" w:sz="4" w:space="0" w:color="auto"/>
              <w:right w:val="single" w:sz="4" w:space="0" w:color="auto"/>
            </w:tcBorders>
            <w:vAlign w:val="center"/>
            <w:hideMark/>
          </w:tcPr>
          <w:p w14:paraId="1C93F83C" w14:textId="7FA98F3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2,237,398 </w:t>
            </w:r>
          </w:p>
        </w:tc>
        <w:tc>
          <w:tcPr>
            <w:tcW w:w="780" w:type="dxa"/>
            <w:tcBorders>
              <w:top w:val="single" w:sz="4" w:space="0" w:color="auto"/>
              <w:left w:val="single" w:sz="4" w:space="0" w:color="auto"/>
              <w:bottom w:val="single" w:sz="4" w:space="0" w:color="auto"/>
              <w:right w:val="single" w:sz="4" w:space="0" w:color="auto"/>
            </w:tcBorders>
            <w:vAlign w:val="center"/>
            <w:hideMark/>
          </w:tcPr>
          <w:p w14:paraId="73A6CB85" w14:textId="1ED9E57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60DA9038" w14:textId="190CA8D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BDBAB8E" w14:textId="70AA40F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7551400C" w14:textId="3695FB0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2,237,398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91307EA" w14:textId="0583D14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7A238A13" w14:textId="7F3C31B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4074F496" w14:textId="05BA1A5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61D7F7BB" w14:textId="0B24DFB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547A796" w14:textId="48FD2B4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052ED562"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0913FBA4" w14:textId="068C23B8"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85</w:t>
            </w:r>
          </w:p>
        </w:tc>
        <w:tc>
          <w:tcPr>
            <w:tcW w:w="1973" w:type="dxa"/>
            <w:tcBorders>
              <w:top w:val="single" w:sz="4" w:space="0" w:color="auto"/>
              <w:left w:val="single" w:sz="4" w:space="0" w:color="auto"/>
              <w:bottom w:val="single" w:sz="4" w:space="0" w:color="auto"/>
              <w:right w:val="single" w:sz="4" w:space="0" w:color="auto"/>
            </w:tcBorders>
            <w:vAlign w:val="center"/>
            <w:hideMark/>
          </w:tcPr>
          <w:p w14:paraId="5EA98424" w14:textId="29D7B1A4"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Radio y Televisión.</w:t>
            </w:r>
          </w:p>
        </w:tc>
        <w:tc>
          <w:tcPr>
            <w:tcW w:w="836" w:type="dxa"/>
            <w:tcBorders>
              <w:top w:val="single" w:sz="4" w:space="0" w:color="auto"/>
              <w:left w:val="single" w:sz="4" w:space="0" w:color="auto"/>
              <w:bottom w:val="single" w:sz="4" w:space="0" w:color="auto"/>
              <w:right w:val="single" w:sz="4" w:space="0" w:color="auto"/>
            </w:tcBorders>
            <w:vAlign w:val="center"/>
            <w:hideMark/>
          </w:tcPr>
          <w:p w14:paraId="283F3072" w14:textId="2DA4071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31,534,282 </w:t>
            </w:r>
          </w:p>
        </w:tc>
        <w:tc>
          <w:tcPr>
            <w:tcW w:w="780" w:type="dxa"/>
            <w:tcBorders>
              <w:top w:val="single" w:sz="4" w:space="0" w:color="auto"/>
              <w:left w:val="single" w:sz="4" w:space="0" w:color="auto"/>
              <w:bottom w:val="single" w:sz="4" w:space="0" w:color="auto"/>
              <w:right w:val="single" w:sz="4" w:space="0" w:color="auto"/>
            </w:tcBorders>
            <w:vAlign w:val="center"/>
            <w:hideMark/>
          </w:tcPr>
          <w:p w14:paraId="1B325750" w14:textId="7D968BE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754C5FFE" w14:textId="6504E9B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0B7B81" w14:textId="58B7442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698DAA73" w14:textId="4F4F2CE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31,534,282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AD0EC85" w14:textId="342DD54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3C0E95FD" w14:textId="19B4C89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169CE580" w14:textId="156D2A2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1C1D2A22" w14:textId="51BA5B0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5E60A88" w14:textId="0DA82CD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5038CCC5"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70BCB923" w14:textId="61C2A415"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86</w:t>
            </w:r>
          </w:p>
        </w:tc>
        <w:tc>
          <w:tcPr>
            <w:tcW w:w="1973" w:type="dxa"/>
            <w:tcBorders>
              <w:top w:val="single" w:sz="4" w:space="0" w:color="auto"/>
              <w:left w:val="single" w:sz="4" w:space="0" w:color="auto"/>
              <w:bottom w:val="single" w:sz="4" w:space="0" w:color="auto"/>
              <w:right w:val="single" w:sz="4" w:space="0" w:color="auto"/>
            </w:tcBorders>
            <w:vAlign w:val="center"/>
            <w:hideMark/>
          </w:tcPr>
          <w:p w14:paraId="131757D2" w14:textId="59496802"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Educación Media Superior CONALEP (Tecomán).</w:t>
            </w:r>
          </w:p>
        </w:tc>
        <w:tc>
          <w:tcPr>
            <w:tcW w:w="836" w:type="dxa"/>
            <w:tcBorders>
              <w:top w:val="single" w:sz="4" w:space="0" w:color="auto"/>
              <w:left w:val="single" w:sz="4" w:space="0" w:color="auto"/>
              <w:bottom w:val="single" w:sz="4" w:space="0" w:color="auto"/>
              <w:right w:val="single" w:sz="4" w:space="0" w:color="auto"/>
            </w:tcBorders>
            <w:vAlign w:val="center"/>
            <w:hideMark/>
          </w:tcPr>
          <w:p w14:paraId="0190E08B" w14:textId="3A97C47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4,001,920 </w:t>
            </w:r>
          </w:p>
        </w:tc>
        <w:tc>
          <w:tcPr>
            <w:tcW w:w="780" w:type="dxa"/>
            <w:tcBorders>
              <w:top w:val="single" w:sz="4" w:space="0" w:color="auto"/>
              <w:left w:val="single" w:sz="4" w:space="0" w:color="auto"/>
              <w:bottom w:val="single" w:sz="4" w:space="0" w:color="auto"/>
              <w:right w:val="single" w:sz="4" w:space="0" w:color="auto"/>
            </w:tcBorders>
            <w:vAlign w:val="center"/>
            <w:hideMark/>
          </w:tcPr>
          <w:p w14:paraId="2E02F263" w14:textId="672CC2C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42199B27" w14:textId="0060649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B620EAE" w14:textId="3953730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2BDA13C3" w14:textId="7831631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4,001,920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834DEB4" w14:textId="708F302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4F508871" w14:textId="3EB3613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5F8F23DA" w14:textId="294151D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115F4301" w14:textId="5B902F7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9A4AEB" w14:textId="4C0823E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222DE27B"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2E1492A2" w14:textId="7344A0D0"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90</w:t>
            </w:r>
          </w:p>
        </w:tc>
        <w:tc>
          <w:tcPr>
            <w:tcW w:w="1973" w:type="dxa"/>
            <w:tcBorders>
              <w:top w:val="single" w:sz="4" w:space="0" w:color="auto"/>
              <w:left w:val="single" w:sz="4" w:space="0" w:color="auto"/>
              <w:bottom w:val="single" w:sz="4" w:space="0" w:color="auto"/>
              <w:right w:val="single" w:sz="4" w:space="0" w:color="auto"/>
            </w:tcBorders>
            <w:vAlign w:val="center"/>
            <w:hideMark/>
          </w:tcPr>
          <w:p w14:paraId="664A2E5C" w14:textId="104F35EC"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Prevención y Atención a la Violencia (CEPAVI).</w:t>
            </w:r>
          </w:p>
        </w:tc>
        <w:tc>
          <w:tcPr>
            <w:tcW w:w="836" w:type="dxa"/>
            <w:tcBorders>
              <w:top w:val="single" w:sz="4" w:space="0" w:color="auto"/>
              <w:left w:val="single" w:sz="4" w:space="0" w:color="auto"/>
              <w:bottom w:val="single" w:sz="4" w:space="0" w:color="auto"/>
              <w:right w:val="single" w:sz="4" w:space="0" w:color="auto"/>
            </w:tcBorders>
            <w:vAlign w:val="center"/>
            <w:hideMark/>
          </w:tcPr>
          <w:p w14:paraId="46E173A3" w14:textId="7B77851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5,435,868 </w:t>
            </w:r>
          </w:p>
        </w:tc>
        <w:tc>
          <w:tcPr>
            <w:tcW w:w="780" w:type="dxa"/>
            <w:tcBorders>
              <w:top w:val="single" w:sz="4" w:space="0" w:color="auto"/>
              <w:left w:val="single" w:sz="4" w:space="0" w:color="auto"/>
              <w:bottom w:val="single" w:sz="4" w:space="0" w:color="auto"/>
              <w:right w:val="single" w:sz="4" w:space="0" w:color="auto"/>
            </w:tcBorders>
            <w:vAlign w:val="center"/>
            <w:hideMark/>
          </w:tcPr>
          <w:p w14:paraId="521E037D" w14:textId="52F4B04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6478B2FE" w14:textId="7C514FD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779949" w14:textId="72A4D9A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58404548" w14:textId="431A148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5,435,868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AECB1A" w14:textId="4BBF0B9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30B26629" w14:textId="097B5F0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4705F1D6" w14:textId="78F35AF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4A1B6865" w14:textId="35C3595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880D9BD" w14:textId="1E7BBF8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3C3F938E"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555652B6" w14:textId="7062DECC"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93</w:t>
            </w:r>
          </w:p>
        </w:tc>
        <w:tc>
          <w:tcPr>
            <w:tcW w:w="1973" w:type="dxa"/>
            <w:tcBorders>
              <w:top w:val="single" w:sz="4" w:space="0" w:color="auto"/>
              <w:left w:val="single" w:sz="4" w:space="0" w:color="auto"/>
              <w:bottom w:val="single" w:sz="4" w:space="0" w:color="auto"/>
              <w:right w:val="single" w:sz="4" w:space="0" w:color="auto"/>
            </w:tcBorders>
            <w:vAlign w:val="center"/>
            <w:hideMark/>
          </w:tcPr>
          <w:p w14:paraId="6BAFFBA3" w14:textId="4C87249C"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Protección de Niñas, Niños y Adolescentes.</w:t>
            </w:r>
          </w:p>
        </w:tc>
        <w:tc>
          <w:tcPr>
            <w:tcW w:w="836" w:type="dxa"/>
            <w:tcBorders>
              <w:top w:val="single" w:sz="4" w:space="0" w:color="auto"/>
              <w:left w:val="single" w:sz="4" w:space="0" w:color="auto"/>
              <w:bottom w:val="single" w:sz="4" w:space="0" w:color="auto"/>
              <w:right w:val="single" w:sz="4" w:space="0" w:color="auto"/>
            </w:tcBorders>
            <w:vAlign w:val="center"/>
            <w:hideMark/>
          </w:tcPr>
          <w:p w14:paraId="59558F27" w14:textId="47CDC2E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13,676,265 </w:t>
            </w:r>
          </w:p>
        </w:tc>
        <w:tc>
          <w:tcPr>
            <w:tcW w:w="780" w:type="dxa"/>
            <w:tcBorders>
              <w:top w:val="single" w:sz="4" w:space="0" w:color="auto"/>
              <w:left w:val="single" w:sz="4" w:space="0" w:color="auto"/>
              <w:bottom w:val="single" w:sz="4" w:space="0" w:color="auto"/>
              <w:right w:val="single" w:sz="4" w:space="0" w:color="auto"/>
            </w:tcBorders>
            <w:vAlign w:val="center"/>
            <w:hideMark/>
          </w:tcPr>
          <w:p w14:paraId="4261BD95" w14:textId="39F7550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12" w:type="dxa"/>
            <w:tcBorders>
              <w:top w:val="single" w:sz="4" w:space="0" w:color="auto"/>
              <w:left w:val="single" w:sz="4" w:space="0" w:color="auto"/>
              <w:bottom w:val="single" w:sz="4" w:space="0" w:color="auto"/>
              <w:right w:val="single" w:sz="4" w:space="0" w:color="auto"/>
            </w:tcBorders>
            <w:vAlign w:val="center"/>
            <w:hideMark/>
          </w:tcPr>
          <w:p w14:paraId="3AB2E4FB" w14:textId="06D4711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C074194" w14:textId="304D190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3D6BC726" w14:textId="6775D73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13,676,265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AC3C45C" w14:textId="172CC84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7350E92A" w14:textId="7BC451E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020DF81B" w14:textId="4644C9C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6CF3E36C" w14:textId="383F710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368883E" w14:textId="409F488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3338F119"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6E0C910A" w14:textId="0E727654"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94</w:t>
            </w:r>
          </w:p>
        </w:tc>
        <w:tc>
          <w:tcPr>
            <w:tcW w:w="1973" w:type="dxa"/>
            <w:tcBorders>
              <w:top w:val="single" w:sz="4" w:space="0" w:color="auto"/>
              <w:left w:val="single" w:sz="4" w:space="0" w:color="auto"/>
              <w:bottom w:val="single" w:sz="4" w:space="0" w:color="auto"/>
              <w:right w:val="single" w:sz="4" w:space="0" w:color="auto"/>
            </w:tcBorders>
            <w:vAlign w:val="center"/>
            <w:hideMark/>
          </w:tcPr>
          <w:p w14:paraId="73252065" w14:textId="1649578E"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Infraestructura Complementaria para el Desarrollo Económico.</w:t>
            </w:r>
          </w:p>
        </w:tc>
        <w:tc>
          <w:tcPr>
            <w:tcW w:w="836" w:type="dxa"/>
            <w:tcBorders>
              <w:top w:val="single" w:sz="4" w:space="0" w:color="auto"/>
              <w:left w:val="single" w:sz="4" w:space="0" w:color="auto"/>
              <w:bottom w:val="single" w:sz="4" w:space="0" w:color="auto"/>
              <w:right w:val="single" w:sz="4" w:space="0" w:color="auto"/>
            </w:tcBorders>
            <w:vAlign w:val="center"/>
            <w:hideMark/>
          </w:tcPr>
          <w:p w14:paraId="7258B4F4" w14:textId="50224128"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16,369,626 </w:t>
            </w:r>
          </w:p>
        </w:tc>
        <w:tc>
          <w:tcPr>
            <w:tcW w:w="780" w:type="dxa"/>
            <w:tcBorders>
              <w:top w:val="single" w:sz="4" w:space="0" w:color="auto"/>
              <w:left w:val="single" w:sz="4" w:space="0" w:color="auto"/>
              <w:bottom w:val="single" w:sz="4" w:space="0" w:color="auto"/>
              <w:right w:val="single" w:sz="4" w:space="0" w:color="auto"/>
            </w:tcBorders>
            <w:vAlign w:val="center"/>
            <w:hideMark/>
          </w:tcPr>
          <w:p w14:paraId="5022F4FE" w14:textId="7266BDD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15,216,255 </w:t>
            </w:r>
          </w:p>
        </w:tc>
        <w:tc>
          <w:tcPr>
            <w:tcW w:w="712" w:type="dxa"/>
            <w:tcBorders>
              <w:top w:val="single" w:sz="4" w:space="0" w:color="auto"/>
              <w:left w:val="single" w:sz="4" w:space="0" w:color="auto"/>
              <w:bottom w:val="single" w:sz="4" w:space="0" w:color="auto"/>
              <w:right w:val="single" w:sz="4" w:space="0" w:color="auto"/>
            </w:tcBorders>
            <w:vAlign w:val="center"/>
            <w:hideMark/>
          </w:tcPr>
          <w:p w14:paraId="681D93F4" w14:textId="6EF2B9B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C1F61E" w14:textId="353BD17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1,153,371 </w:t>
            </w:r>
          </w:p>
        </w:tc>
        <w:tc>
          <w:tcPr>
            <w:tcW w:w="848" w:type="dxa"/>
            <w:tcBorders>
              <w:top w:val="single" w:sz="4" w:space="0" w:color="auto"/>
              <w:left w:val="single" w:sz="4" w:space="0" w:color="auto"/>
              <w:bottom w:val="single" w:sz="4" w:space="0" w:color="auto"/>
              <w:right w:val="single" w:sz="4" w:space="0" w:color="auto"/>
            </w:tcBorders>
            <w:vAlign w:val="center"/>
            <w:hideMark/>
          </w:tcPr>
          <w:p w14:paraId="190BCE1E" w14:textId="5C892DE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EF19FB" w14:textId="1B8ED2D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13C49E29" w14:textId="0EF2A09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78F434A0" w14:textId="12ECF7A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4B93E4FF" w14:textId="07B1DB5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3C4E2AE" w14:textId="2FE0D79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28D61A2A"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2A86154A" w14:textId="0E4EC2F0"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96</w:t>
            </w:r>
          </w:p>
        </w:tc>
        <w:tc>
          <w:tcPr>
            <w:tcW w:w="1973" w:type="dxa"/>
            <w:tcBorders>
              <w:top w:val="single" w:sz="4" w:space="0" w:color="auto"/>
              <w:left w:val="single" w:sz="4" w:space="0" w:color="auto"/>
              <w:bottom w:val="single" w:sz="4" w:space="0" w:color="auto"/>
              <w:right w:val="single" w:sz="4" w:space="0" w:color="auto"/>
            </w:tcBorders>
            <w:vAlign w:val="center"/>
            <w:hideMark/>
          </w:tcPr>
          <w:p w14:paraId="74EB7D1D" w14:textId="550C14D3"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Infraestructura Social.</w:t>
            </w:r>
          </w:p>
        </w:tc>
        <w:tc>
          <w:tcPr>
            <w:tcW w:w="836" w:type="dxa"/>
            <w:tcBorders>
              <w:top w:val="single" w:sz="4" w:space="0" w:color="auto"/>
              <w:left w:val="single" w:sz="4" w:space="0" w:color="auto"/>
              <w:bottom w:val="single" w:sz="4" w:space="0" w:color="auto"/>
              <w:right w:val="single" w:sz="4" w:space="0" w:color="auto"/>
            </w:tcBorders>
            <w:vAlign w:val="center"/>
            <w:hideMark/>
          </w:tcPr>
          <w:p w14:paraId="092BBB72" w14:textId="195C1C1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92,107,417 </w:t>
            </w:r>
          </w:p>
        </w:tc>
        <w:tc>
          <w:tcPr>
            <w:tcW w:w="780" w:type="dxa"/>
            <w:tcBorders>
              <w:top w:val="single" w:sz="4" w:space="0" w:color="auto"/>
              <w:left w:val="single" w:sz="4" w:space="0" w:color="auto"/>
              <w:bottom w:val="single" w:sz="4" w:space="0" w:color="auto"/>
              <w:right w:val="single" w:sz="4" w:space="0" w:color="auto"/>
            </w:tcBorders>
            <w:vAlign w:val="center"/>
            <w:hideMark/>
          </w:tcPr>
          <w:p w14:paraId="6DC2CC45" w14:textId="0DE5E32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66,093,137 </w:t>
            </w:r>
          </w:p>
        </w:tc>
        <w:tc>
          <w:tcPr>
            <w:tcW w:w="712" w:type="dxa"/>
            <w:tcBorders>
              <w:top w:val="single" w:sz="4" w:space="0" w:color="auto"/>
              <w:left w:val="single" w:sz="4" w:space="0" w:color="auto"/>
              <w:bottom w:val="single" w:sz="4" w:space="0" w:color="auto"/>
              <w:right w:val="single" w:sz="4" w:space="0" w:color="auto"/>
            </w:tcBorders>
            <w:vAlign w:val="center"/>
            <w:hideMark/>
          </w:tcPr>
          <w:p w14:paraId="65235452" w14:textId="18EED63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5,814,280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766C54D" w14:textId="3E40C56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5CABE9F2" w14:textId="440EA4F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200,000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3AD3FC" w14:textId="1615660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4DE35A0A" w14:textId="4DC8E89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20,000,000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26021643" w14:textId="286399A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391CE002" w14:textId="2224B9F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CA7423" w14:textId="323932A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4710F9FF"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38B6809E" w14:textId="325F738C"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98</w:t>
            </w:r>
          </w:p>
        </w:tc>
        <w:tc>
          <w:tcPr>
            <w:tcW w:w="1973" w:type="dxa"/>
            <w:tcBorders>
              <w:top w:val="single" w:sz="4" w:space="0" w:color="auto"/>
              <w:left w:val="single" w:sz="4" w:space="0" w:color="auto"/>
              <w:bottom w:val="single" w:sz="4" w:space="0" w:color="auto"/>
              <w:right w:val="single" w:sz="4" w:space="0" w:color="auto"/>
            </w:tcBorders>
            <w:vAlign w:val="center"/>
            <w:hideMark/>
          </w:tcPr>
          <w:p w14:paraId="4C71128D" w14:textId="4E5D2CB7"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Infraestructura  Carretera.</w:t>
            </w:r>
          </w:p>
        </w:tc>
        <w:tc>
          <w:tcPr>
            <w:tcW w:w="836" w:type="dxa"/>
            <w:tcBorders>
              <w:top w:val="single" w:sz="4" w:space="0" w:color="auto"/>
              <w:left w:val="single" w:sz="4" w:space="0" w:color="auto"/>
              <w:bottom w:val="single" w:sz="4" w:space="0" w:color="auto"/>
              <w:right w:val="single" w:sz="4" w:space="0" w:color="auto"/>
            </w:tcBorders>
            <w:vAlign w:val="center"/>
            <w:hideMark/>
          </w:tcPr>
          <w:p w14:paraId="28E18D4E" w14:textId="20481BD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342,498,846 </w:t>
            </w:r>
          </w:p>
        </w:tc>
        <w:tc>
          <w:tcPr>
            <w:tcW w:w="780" w:type="dxa"/>
            <w:tcBorders>
              <w:top w:val="single" w:sz="4" w:space="0" w:color="auto"/>
              <w:left w:val="single" w:sz="4" w:space="0" w:color="auto"/>
              <w:bottom w:val="single" w:sz="4" w:space="0" w:color="auto"/>
              <w:right w:val="single" w:sz="4" w:space="0" w:color="auto"/>
            </w:tcBorders>
            <w:vAlign w:val="center"/>
            <w:hideMark/>
          </w:tcPr>
          <w:p w14:paraId="6FF6BA42" w14:textId="62C54B0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15,659,659 </w:t>
            </w:r>
          </w:p>
        </w:tc>
        <w:tc>
          <w:tcPr>
            <w:tcW w:w="712" w:type="dxa"/>
            <w:tcBorders>
              <w:top w:val="single" w:sz="4" w:space="0" w:color="auto"/>
              <w:left w:val="single" w:sz="4" w:space="0" w:color="auto"/>
              <w:bottom w:val="single" w:sz="4" w:space="0" w:color="auto"/>
              <w:right w:val="single" w:sz="4" w:space="0" w:color="auto"/>
            </w:tcBorders>
            <w:vAlign w:val="center"/>
            <w:hideMark/>
          </w:tcPr>
          <w:p w14:paraId="67545668" w14:textId="50C8AEA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983CB4B" w14:textId="156A8A9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3,963,797 </w:t>
            </w:r>
          </w:p>
        </w:tc>
        <w:tc>
          <w:tcPr>
            <w:tcW w:w="848" w:type="dxa"/>
            <w:tcBorders>
              <w:top w:val="single" w:sz="4" w:space="0" w:color="auto"/>
              <w:left w:val="single" w:sz="4" w:space="0" w:color="auto"/>
              <w:bottom w:val="single" w:sz="4" w:space="0" w:color="auto"/>
              <w:right w:val="single" w:sz="4" w:space="0" w:color="auto"/>
            </w:tcBorders>
            <w:vAlign w:val="center"/>
            <w:hideMark/>
          </w:tcPr>
          <w:p w14:paraId="401ACB39" w14:textId="13232E0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EF30E6A" w14:textId="495B43E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2D7CE801" w14:textId="19B5F1A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322,875,390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2BDD2CA1" w14:textId="7532986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5F05F427" w14:textId="0215AD0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27469F1" w14:textId="498523E5"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05937DED"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hideMark/>
          </w:tcPr>
          <w:p w14:paraId="7153955C" w14:textId="18D6090C"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99</w:t>
            </w:r>
          </w:p>
        </w:tc>
        <w:tc>
          <w:tcPr>
            <w:tcW w:w="1973" w:type="dxa"/>
            <w:tcBorders>
              <w:top w:val="single" w:sz="4" w:space="0" w:color="auto"/>
              <w:left w:val="single" w:sz="4" w:space="0" w:color="auto"/>
              <w:bottom w:val="single" w:sz="4" w:space="0" w:color="auto"/>
              <w:right w:val="single" w:sz="4" w:space="0" w:color="auto"/>
            </w:tcBorders>
            <w:vAlign w:val="center"/>
            <w:hideMark/>
          </w:tcPr>
          <w:p w14:paraId="2E95E694" w14:textId="55DFAAAB" w:rsidR="00A41077" w:rsidRDefault="00A41077" w:rsidP="00A41077">
            <w:pPr>
              <w:spacing w:line="256" w:lineRule="auto"/>
              <w:jc w:val="left"/>
              <w:rPr>
                <w:rFonts w:eastAsia="Times New Roman" w:cs="Arial"/>
                <w:color w:val="000000"/>
                <w:sz w:val="10"/>
                <w:szCs w:val="10"/>
                <w:lang w:val="es-ES" w:eastAsia="en-US"/>
              </w:rPr>
            </w:pPr>
            <w:r>
              <w:rPr>
                <w:rFonts w:eastAsia="Times New Roman" w:cs="Arial"/>
                <w:color w:val="000000"/>
                <w:sz w:val="10"/>
                <w:szCs w:val="10"/>
                <w:lang w:val="es-ES" w:eastAsia="en-US"/>
              </w:rPr>
              <w:t>Ordenamiento Territorial y Desarrollo Urbano.</w:t>
            </w:r>
          </w:p>
        </w:tc>
        <w:tc>
          <w:tcPr>
            <w:tcW w:w="836" w:type="dxa"/>
            <w:tcBorders>
              <w:top w:val="single" w:sz="4" w:space="0" w:color="auto"/>
              <w:left w:val="single" w:sz="4" w:space="0" w:color="auto"/>
              <w:bottom w:val="single" w:sz="4" w:space="0" w:color="auto"/>
              <w:right w:val="single" w:sz="4" w:space="0" w:color="auto"/>
            </w:tcBorders>
            <w:vAlign w:val="center"/>
            <w:hideMark/>
          </w:tcPr>
          <w:p w14:paraId="47BB94DB" w14:textId="1E28909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17,242,512 </w:t>
            </w:r>
          </w:p>
        </w:tc>
        <w:tc>
          <w:tcPr>
            <w:tcW w:w="780" w:type="dxa"/>
            <w:tcBorders>
              <w:top w:val="single" w:sz="4" w:space="0" w:color="auto"/>
              <w:left w:val="single" w:sz="4" w:space="0" w:color="auto"/>
              <w:bottom w:val="single" w:sz="4" w:space="0" w:color="auto"/>
              <w:right w:val="single" w:sz="4" w:space="0" w:color="auto"/>
            </w:tcBorders>
            <w:vAlign w:val="center"/>
            <w:hideMark/>
          </w:tcPr>
          <w:p w14:paraId="024A6E47" w14:textId="6A47BBA7"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14,593,112 </w:t>
            </w:r>
          </w:p>
        </w:tc>
        <w:tc>
          <w:tcPr>
            <w:tcW w:w="712" w:type="dxa"/>
            <w:tcBorders>
              <w:top w:val="single" w:sz="4" w:space="0" w:color="auto"/>
              <w:left w:val="single" w:sz="4" w:space="0" w:color="auto"/>
              <w:bottom w:val="single" w:sz="4" w:space="0" w:color="auto"/>
              <w:right w:val="single" w:sz="4" w:space="0" w:color="auto"/>
            </w:tcBorders>
            <w:vAlign w:val="center"/>
            <w:hideMark/>
          </w:tcPr>
          <w:p w14:paraId="7C754FAA" w14:textId="07A5504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B7E1D9A" w14:textId="56F623C2"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2,649,400 </w:t>
            </w:r>
          </w:p>
        </w:tc>
        <w:tc>
          <w:tcPr>
            <w:tcW w:w="848" w:type="dxa"/>
            <w:tcBorders>
              <w:top w:val="single" w:sz="4" w:space="0" w:color="auto"/>
              <w:left w:val="single" w:sz="4" w:space="0" w:color="auto"/>
              <w:bottom w:val="single" w:sz="4" w:space="0" w:color="auto"/>
              <w:right w:val="single" w:sz="4" w:space="0" w:color="auto"/>
            </w:tcBorders>
            <w:vAlign w:val="center"/>
            <w:hideMark/>
          </w:tcPr>
          <w:p w14:paraId="70427CA0" w14:textId="4D99B5ED"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1B4049B" w14:textId="1DC0E4C6"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697" w:type="dxa"/>
            <w:tcBorders>
              <w:top w:val="single" w:sz="4" w:space="0" w:color="auto"/>
              <w:left w:val="single" w:sz="4" w:space="0" w:color="auto"/>
              <w:bottom w:val="single" w:sz="4" w:space="0" w:color="auto"/>
              <w:right w:val="single" w:sz="4" w:space="0" w:color="auto"/>
            </w:tcBorders>
            <w:vAlign w:val="center"/>
            <w:hideMark/>
          </w:tcPr>
          <w:p w14:paraId="3221792A" w14:textId="27E2C61B"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585" w:type="dxa"/>
            <w:tcBorders>
              <w:top w:val="single" w:sz="4" w:space="0" w:color="auto"/>
              <w:left w:val="single" w:sz="4" w:space="0" w:color="auto"/>
              <w:bottom w:val="single" w:sz="4" w:space="0" w:color="auto"/>
              <w:right w:val="single" w:sz="4" w:space="0" w:color="auto"/>
            </w:tcBorders>
            <w:vAlign w:val="center"/>
            <w:hideMark/>
          </w:tcPr>
          <w:p w14:paraId="49320557" w14:textId="667A3BE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1F03C694" w14:textId="340E771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EE5EBC9" w14:textId="39AAFCB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color w:val="000000"/>
                <w:sz w:val="10"/>
                <w:szCs w:val="10"/>
              </w:rPr>
              <w:t xml:space="preserve">0 </w:t>
            </w:r>
          </w:p>
        </w:tc>
      </w:tr>
      <w:tr w:rsidR="00A41077" w14:paraId="3D542655" w14:textId="77777777" w:rsidTr="00A41077">
        <w:trPr>
          <w:trHeight w:val="20"/>
          <w:jc w:val="center"/>
        </w:trPr>
        <w:tc>
          <w:tcPr>
            <w:tcW w:w="407" w:type="dxa"/>
            <w:tcBorders>
              <w:top w:val="single" w:sz="4" w:space="0" w:color="auto"/>
              <w:left w:val="single" w:sz="4" w:space="0" w:color="auto"/>
              <w:bottom w:val="single" w:sz="4" w:space="0" w:color="auto"/>
              <w:right w:val="single" w:sz="4" w:space="0" w:color="auto"/>
            </w:tcBorders>
            <w:vAlign w:val="center"/>
          </w:tcPr>
          <w:p w14:paraId="0652A2FA" w14:textId="00A33512"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 </w:t>
            </w:r>
          </w:p>
        </w:tc>
        <w:tc>
          <w:tcPr>
            <w:tcW w:w="1973" w:type="dxa"/>
            <w:tcBorders>
              <w:top w:val="single" w:sz="4" w:space="0" w:color="auto"/>
              <w:left w:val="single" w:sz="4" w:space="0" w:color="auto"/>
              <w:bottom w:val="single" w:sz="4" w:space="0" w:color="auto"/>
              <w:right w:val="single" w:sz="4" w:space="0" w:color="auto"/>
            </w:tcBorders>
            <w:vAlign w:val="center"/>
          </w:tcPr>
          <w:p w14:paraId="2B42F4F0" w14:textId="1037A9F1" w:rsidR="00A41077" w:rsidRDefault="00A41077" w:rsidP="00A41077">
            <w:pPr>
              <w:spacing w:line="256" w:lineRule="auto"/>
              <w:jc w:val="center"/>
              <w:rPr>
                <w:rFonts w:eastAsia="Times New Roman" w:cs="Arial"/>
                <w:color w:val="000000"/>
                <w:sz w:val="10"/>
                <w:szCs w:val="10"/>
                <w:lang w:val="es-ES" w:eastAsia="en-US"/>
              </w:rPr>
            </w:pPr>
            <w:r>
              <w:rPr>
                <w:rFonts w:eastAsia="Times New Roman" w:cs="Arial"/>
                <w:color w:val="000000"/>
                <w:sz w:val="10"/>
                <w:szCs w:val="10"/>
                <w:lang w:val="es-ES" w:eastAsia="en-US"/>
              </w:rPr>
              <w:t>Total</w:t>
            </w:r>
          </w:p>
        </w:tc>
        <w:tc>
          <w:tcPr>
            <w:tcW w:w="836" w:type="dxa"/>
            <w:tcBorders>
              <w:top w:val="single" w:sz="4" w:space="0" w:color="auto"/>
              <w:left w:val="single" w:sz="4" w:space="0" w:color="auto"/>
              <w:bottom w:val="single" w:sz="4" w:space="0" w:color="auto"/>
              <w:right w:val="single" w:sz="4" w:space="0" w:color="auto"/>
            </w:tcBorders>
            <w:vAlign w:val="center"/>
            <w:hideMark/>
          </w:tcPr>
          <w:p w14:paraId="42BB63CB" w14:textId="50F00331"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23,004,130,279 </w:t>
            </w:r>
          </w:p>
        </w:tc>
        <w:tc>
          <w:tcPr>
            <w:tcW w:w="780" w:type="dxa"/>
            <w:tcBorders>
              <w:top w:val="single" w:sz="4" w:space="0" w:color="auto"/>
              <w:left w:val="single" w:sz="4" w:space="0" w:color="auto"/>
              <w:bottom w:val="single" w:sz="4" w:space="0" w:color="auto"/>
              <w:right w:val="single" w:sz="4" w:space="0" w:color="auto"/>
            </w:tcBorders>
            <w:vAlign w:val="center"/>
            <w:hideMark/>
          </w:tcPr>
          <w:p w14:paraId="29F03CF6" w14:textId="6B4B1A2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2,527,759,401 </w:t>
            </w:r>
          </w:p>
        </w:tc>
        <w:tc>
          <w:tcPr>
            <w:tcW w:w="712" w:type="dxa"/>
            <w:tcBorders>
              <w:top w:val="single" w:sz="4" w:space="0" w:color="auto"/>
              <w:left w:val="single" w:sz="4" w:space="0" w:color="auto"/>
              <w:bottom w:val="single" w:sz="4" w:space="0" w:color="auto"/>
              <w:right w:val="single" w:sz="4" w:space="0" w:color="auto"/>
            </w:tcBorders>
            <w:vAlign w:val="center"/>
            <w:hideMark/>
          </w:tcPr>
          <w:p w14:paraId="005F7786" w14:textId="79DE7299"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296,329,937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978EE19" w14:textId="442EEC14"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499,488,704 </w:t>
            </w:r>
          </w:p>
        </w:tc>
        <w:tc>
          <w:tcPr>
            <w:tcW w:w="848" w:type="dxa"/>
            <w:tcBorders>
              <w:top w:val="single" w:sz="4" w:space="0" w:color="auto"/>
              <w:left w:val="single" w:sz="4" w:space="0" w:color="auto"/>
              <w:bottom w:val="single" w:sz="4" w:space="0" w:color="auto"/>
              <w:right w:val="single" w:sz="4" w:space="0" w:color="auto"/>
            </w:tcBorders>
            <w:vAlign w:val="center"/>
            <w:hideMark/>
          </w:tcPr>
          <w:p w14:paraId="5F532B8B" w14:textId="0CE509EC"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14,861,960,910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4BA6265" w14:textId="0C030D5F"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154,654,542 </w:t>
            </w:r>
          </w:p>
        </w:tc>
        <w:tc>
          <w:tcPr>
            <w:tcW w:w="697" w:type="dxa"/>
            <w:tcBorders>
              <w:top w:val="single" w:sz="4" w:space="0" w:color="auto"/>
              <w:left w:val="single" w:sz="4" w:space="0" w:color="auto"/>
              <w:bottom w:val="single" w:sz="4" w:space="0" w:color="auto"/>
              <w:right w:val="single" w:sz="4" w:space="0" w:color="auto"/>
            </w:tcBorders>
            <w:vAlign w:val="center"/>
            <w:hideMark/>
          </w:tcPr>
          <w:p w14:paraId="4D5D6993" w14:textId="55AA6120"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401,328,829 </w:t>
            </w:r>
          </w:p>
        </w:tc>
        <w:tc>
          <w:tcPr>
            <w:tcW w:w="585" w:type="dxa"/>
            <w:tcBorders>
              <w:top w:val="single" w:sz="4" w:space="0" w:color="auto"/>
              <w:left w:val="single" w:sz="4" w:space="0" w:color="auto"/>
              <w:bottom w:val="single" w:sz="4" w:space="0" w:color="auto"/>
              <w:right w:val="single" w:sz="4" w:space="0" w:color="auto"/>
            </w:tcBorders>
            <w:vAlign w:val="center"/>
            <w:hideMark/>
          </w:tcPr>
          <w:p w14:paraId="13A7FEAD" w14:textId="7A1E0443"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4,800,000 </w:t>
            </w:r>
          </w:p>
        </w:tc>
        <w:tc>
          <w:tcPr>
            <w:tcW w:w="814" w:type="dxa"/>
            <w:tcBorders>
              <w:top w:val="single" w:sz="4" w:space="0" w:color="auto"/>
              <w:left w:val="single" w:sz="4" w:space="0" w:color="auto"/>
              <w:bottom w:val="single" w:sz="4" w:space="0" w:color="auto"/>
              <w:right w:val="single" w:sz="4" w:space="0" w:color="auto"/>
            </w:tcBorders>
            <w:vAlign w:val="center"/>
            <w:hideMark/>
          </w:tcPr>
          <w:p w14:paraId="2EE1F742" w14:textId="633F7ABA"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3,334,416,398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DD77299" w14:textId="55717F5E" w:rsidR="00A41077" w:rsidRPr="00A41077" w:rsidRDefault="00A41077" w:rsidP="00A41077">
            <w:pPr>
              <w:spacing w:line="256" w:lineRule="auto"/>
              <w:jc w:val="right"/>
              <w:rPr>
                <w:rFonts w:eastAsia="Times New Roman" w:cs="Arial"/>
                <w:color w:val="000000"/>
                <w:sz w:val="10"/>
                <w:szCs w:val="10"/>
                <w:lang w:val="es-ES" w:eastAsia="en-US"/>
              </w:rPr>
            </w:pPr>
            <w:r w:rsidRPr="00A41077">
              <w:rPr>
                <w:rFonts w:cs="Arial"/>
                <w:b/>
                <w:bCs/>
                <w:color w:val="000000"/>
                <w:sz w:val="10"/>
                <w:szCs w:val="10"/>
              </w:rPr>
              <w:t xml:space="preserve">923,391,558 </w:t>
            </w:r>
          </w:p>
        </w:tc>
      </w:tr>
    </w:tbl>
    <w:p w14:paraId="604F610B" w14:textId="77777777" w:rsidR="00BF5974" w:rsidRDefault="00BF5974" w:rsidP="00BF5974">
      <w:pPr>
        <w:rPr>
          <w:rFonts w:cs="Arial"/>
        </w:rPr>
      </w:pPr>
    </w:p>
    <w:p w14:paraId="66A27F22" w14:textId="77777777" w:rsidR="00BF5974" w:rsidRDefault="00BF5974" w:rsidP="00BF5974">
      <w:pPr>
        <w:rPr>
          <w:rFonts w:cs="Arial"/>
        </w:rPr>
      </w:pPr>
    </w:p>
    <w:p w14:paraId="335434B4" w14:textId="0BF027EA" w:rsidR="00BF5974" w:rsidRDefault="00BF5974" w:rsidP="00BF5974">
      <w:pPr>
        <w:rPr>
          <w:rFonts w:cs="Arial"/>
          <w:lang w:val="es-ES"/>
        </w:rPr>
      </w:pPr>
      <w:r>
        <w:rPr>
          <w:rFonts w:cs="Arial"/>
          <w:b/>
          <w:lang w:val="es-ES"/>
        </w:rPr>
        <w:t>Artículo 85</w:t>
      </w:r>
      <w:r>
        <w:rPr>
          <w:rFonts w:cs="Arial"/>
          <w:lang w:val="es-ES"/>
        </w:rPr>
        <w:t xml:space="preserve">. Los Programas Presupuestarios que forman parte del </w:t>
      </w:r>
      <w:r>
        <w:rPr>
          <w:rFonts w:cs="Arial"/>
          <w:bCs/>
          <w:lang w:val="es-ES"/>
        </w:rPr>
        <w:t>Presupuesto basado en Resultados</w:t>
      </w:r>
      <w:r>
        <w:rPr>
          <w:rFonts w:cs="Arial"/>
          <w:lang w:val="es-ES"/>
        </w:rPr>
        <w:t xml:space="preserve"> en el Ejercicio Fiscal 2025 se distribuyen de la siguiente manera:</w:t>
      </w:r>
    </w:p>
    <w:p w14:paraId="1737F807" w14:textId="5932EAF9" w:rsidR="005F022B" w:rsidRDefault="005F022B" w:rsidP="00BF5974">
      <w:pPr>
        <w:rPr>
          <w:rFonts w:cs="Arial"/>
          <w:lang w:val="es-ES"/>
        </w:rPr>
      </w:pPr>
    </w:p>
    <w:p w14:paraId="5CC60AEE" w14:textId="3588C31B" w:rsidR="005F022B" w:rsidRPr="005F022B" w:rsidRDefault="005F022B" w:rsidP="005F022B">
      <w:pPr>
        <w:jc w:val="center"/>
        <w:rPr>
          <w:rFonts w:cs="Arial"/>
          <w:b/>
          <w:bCs/>
          <w:sz w:val="20"/>
          <w:szCs w:val="20"/>
          <w:lang w:val="es-ES"/>
        </w:rPr>
      </w:pPr>
      <w:r w:rsidRPr="005F022B">
        <w:rPr>
          <w:rFonts w:cs="Arial"/>
          <w:b/>
          <w:bCs/>
          <w:sz w:val="20"/>
          <w:szCs w:val="20"/>
          <w:lang w:val="es-ES"/>
        </w:rPr>
        <w:t>Tabla 62. Programas Presupuestarios</w:t>
      </w:r>
    </w:p>
    <w:p w14:paraId="116D48C6" w14:textId="5AB1BBBF" w:rsidR="005F022B" w:rsidRPr="005F022B" w:rsidRDefault="005F022B" w:rsidP="005F022B">
      <w:pPr>
        <w:jc w:val="center"/>
        <w:rPr>
          <w:rFonts w:cs="Arial"/>
          <w:b/>
          <w:bCs/>
          <w:sz w:val="20"/>
          <w:szCs w:val="20"/>
          <w:lang w:val="es-ES"/>
        </w:rPr>
      </w:pPr>
      <w:r w:rsidRPr="005F022B">
        <w:rPr>
          <w:rFonts w:cs="Arial"/>
          <w:b/>
          <w:bCs/>
          <w:sz w:val="20"/>
          <w:szCs w:val="20"/>
          <w:lang w:val="es-ES"/>
        </w:rPr>
        <w:t>(Distribución por Dependencia)</w:t>
      </w:r>
    </w:p>
    <w:tbl>
      <w:tblPr>
        <w:tblW w:w="8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40"/>
        <w:gridCol w:w="495"/>
        <w:gridCol w:w="470"/>
        <w:gridCol w:w="595"/>
        <w:gridCol w:w="426"/>
        <w:gridCol w:w="1416"/>
      </w:tblGrid>
      <w:tr w:rsidR="00926804" w:rsidRPr="00926804" w14:paraId="7237519C" w14:textId="77777777" w:rsidTr="00926804">
        <w:trPr>
          <w:trHeight w:val="20"/>
          <w:tblHeader/>
          <w:jc w:val="center"/>
        </w:trPr>
        <w:tc>
          <w:tcPr>
            <w:tcW w:w="5540" w:type="dxa"/>
            <w:shd w:val="clear" w:color="auto" w:fill="auto"/>
            <w:vAlign w:val="center"/>
            <w:hideMark/>
          </w:tcPr>
          <w:p w14:paraId="61AAF808"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rPr>
              <w:t>Ente Público</w:t>
            </w:r>
          </w:p>
        </w:tc>
        <w:tc>
          <w:tcPr>
            <w:tcW w:w="495" w:type="dxa"/>
            <w:shd w:val="clear" w:color="auto" w:fill="auto"/>
            <w:vAlign w:val="center"/>
            <w:hideMark/>
          </w:tcPr>
          <w:p w14:paraId="76FA329B"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rPr>
              <w:t>PP</w:t>
            </w:r>
          </w:p>
        </w:tc>
        <w:tc>
          <w:tcPr>
            <w:tcW w:w="470" w:type="dxa"/>
            <w:shd w:val="clear" w:color="auto" w:fill="auto"/>
            <w:vAlign w:val="center"/>
            <w:hideMark/>
          </w:tcPr>
          <w:p w14:paraId="77744D21"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rPr>
              <w:t>MIR</w:t>
            </w:r>
          </w:p>
        </w:tc>
        <w:tc>
          <w:tcPr>
            <w:tcW w:w="595" w:type="dxa"/>
            <w:shd w:val="clear" w:color="auto" w:fill="auto"/>
            <w:vAlign w:val="center"/>
            <w:hideMark/>
          </w:tcPr>
          <w:p w14:paraId="43BFEFB0"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rPr>
              <w:t>IR</w:t>
            </w:r>
          </w:p>
        </w:tc>
        <w:tc>
          <w:tcPr>
            <w:tcW w:w="426" w:type="dxa"/>
            <w:shd w:val="clear" w:color="auto" w:fill="auto"/>
            <w:vAlign w:val="center"/>
            <w:hideMark/>
          </w:tcPr>
          <w:p w14:paraId="355B00CA"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rPr>
              <w:t>OA</w:t>
            </w:r>
          </w:p>
        </w:tc>
        <w:tc>
          <w:tcPr>
            <w:tcW w:w="1416" w:type="dxa"/>
            <w:shd w:val="clear" w:color="auto" w:fill="auto"/>
            <w:vAlign w:val="center"/>
            <w:hideMark/>
          </w:tcPr>
          <w:p w14:paraId="7F3A14A7"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rPr>
              <w:t>Asignación Presupuestal</w:t>
            </w:r>
          </w:p>
        </w:tc>
      </w:tr>
      <w:tr w:rsidR="00926804" w:rsidRPr="00926804" w14:paraId="4951398D" w14:textId="77777777" w:rsidTr="00926804">
        <w:trPr>
          <w:trHeight w:val="20"/>
          <w:jc w:val="center"/>
        </w:trPr>
        <w:tc>
          <w:tcPr>
            <w:tcW w:w="5540" w:type="dxa"/>
            <w:shd w:val="clear" w:color="auto" w:fill="auto"/>
            <w:vAlign w:val="center"/>
            <w:hideMark/>
          </w:tcPr>
          <w:p w14:paraId="51AA1311" w14:textId="77777777" w:rsidR="00926804" w:rsidRPr="00926804" w:rsidRDefault="00926804" w:rsidP="005F022B">
            <w:pPr>
              <w:jc w:val="left"/>
              <w:rPr>
                <w:rFonts w:eastAsia="Times New Roman" w:cs="Arial"/>
                <w:b/>
                <w:bCs/>
                <w:color w:val="000000"/>
                <w:sz w:val="18"/>
                <w:szCs w:val="18"/>
              </w:rPr>
            </w:pPr>
            <w:r w:rsidRPr="00926804">
              <w:rPr>
                <w:rFonts w:eastAsia="Times New Roman" w:cs="Arial"/>
                <w:b/>
                <w:bCs/>
                <w:color w:val="000000"/>
                <w:sz w:val="18"/>
                <w:szCs w:val="18"/>
              </w:rPr>
              <w:t>Administración Pública Centralizada.</w:t>
            </w:r>
          </w:p>
        </w:tc>
        <w:tc>
          <w:tcPr>
            <w:tcW w:w="495" w:type="dxa"/>
            <w:shd w:val="clear" w:color="auto" w:fill="auto"/>
            <w:vAlign w:val="center"/>
            <w:hideMark/>
          </w:tcPr>
          <w:p w14:paraId="04AA65F8"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rPr>
              <w:t> </w:t>
            </w:r>
          </w:p>
        </w:tc>
        <w:tc>
          <w:tcPr>
            <w:tcW w:w="470" w:type="dxa"/>
            <w:shd w:val="clear" w:color="auto" w:fill="auto"/>
            <w:vAlign w:val="center"/>
            <w:hideMark/>
          </w:tcPr>
          <w:p w14:paraId="18169910"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rPr>
              <w:t> </w:t>
            </w:r>
          </w:p>
        </w:tc>
        <w:tc>
          <w:tcPr>
            <w:tcW w:w="595" w:type="dxa"/>
            <w:shd w:val="clear" w:color="auto" w:fill="auto"/>
            <w:vAlign w:val="center"/>
            <w:hideMark/>
          </w:tcPr>
          <w:p w14:paraId="35FAB69B"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rPr>
              <w:t> </w:t>
            </w:r>
          </w:p>
        </w:tc>
        <w:tc>
          <w:tcPr>
            <w:tcW w:w="426" w:type="dxa"/>
            <w:shd w:val="clear" w:color="auto" w:fill="auto"/>
            <w:vAlign w:val="center"/>
            <w:hideMark/>
          </w:tcPr>
          <w:p w14:paraId="6E3C3032"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rPr>
              <w:t> </w:t>
            </w:r>
          </w:p>
        </w:tc>
        <w:tc>
          <w:tcPr>
            <w:tcW w:w="1416" w:type="dxa"/>
            <w:shd w:val="clear" w:color="auto" w:fill="auto"/>
            <w:vAlign w:val="center"/>
            <w:hideMark/>
          </w:tcPr>
          <w:p w14:paraId="1611F0D8"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 </w:t>
            </w:r>
          </w:p>
        </w:tc>
      </w:tr>
      <w:tr w:rsidR="00926804" w:rsidRPr="00926804" w14:paraId="4B7F797B" w14:textId="77777777" w:rsidTr="00926804">
        <w:trPr>
          <w:trHeight w:val="20"/>
          <w:jc w:val="center"/>
        </w:trPr>
        <w:tc>
          <w:tcPr>
            <w:tcW w:w="5540" w:type="dxa"/>
            <w:shd w:val="clear" w:color="auto" w:fill="auto"/>
            <w:vAlign w:val="center"/>
            <w:hideMark/>
          </w:tcPr>
          <w:p w14:paraId="1310AA21" w14:textId="77777777" w:rsidR="00926804" w:rsidRPr="00926804" w:rsidRDefault="00926804" w:rsidP="0002271F">
            <w:pPr>
              <w:jc w:val="left"/>
              <w:rPr>
                <w:rFonts w:eastAsia="Times New Roman" w:cs="Arial"/>
                <w:color w:val="000000"/>
                <w:sz w:val="18"/>
                <w:szCs w:val="18"/>
              </w:rPr>
            </w:pPr>
            <w:r w:rsidRPr="00926804">
              <w:rPr>
                <w:rFonts w:eastAsia="Times New Roman" w:cs="Arial"/>
                <w:color w:val="000000"/>
                <w:sz w:val="18"/>
                <w:szCs w:val="18"/>
              </w:rPr>
              <w:t>Oficina de la Gubernatura.</w:t>
            </w:r>
          </w:p>
        </w:tc>
        <w:tc>
          <w:tcPr>
            <w:tcW w:w="495" w:type="dxa"/>
            <w:shd w:val="clear" w:color="auto" w:fill="auto"/>
            <w:vAlign w:val="center"/>
            <w:hideMark/>
          </w:tcPr>
          <w:p w14:paraId="015B7E9F"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2E1549F1"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01C27487"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20</w:t>
            </w:r>
          </w:p>
        </w:tc>
        <w:tc>
          <w:tcPr>
            <w:tcW w:w="426" w:type="dxa"/>
            <w:shd w:val="clear" w:color="auto" w:fill="auto"/>
            <w:vAlign w:val="center"/>
            <w:hideMark/>
          </w:tcPr>
          <w:p w14:paraId="1BFD1315"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56D1D905" w14:textId="0B6CA49D" w:rsidR="00926804" w:rsidRPr="00926804" w:rsidRDefault="00926804" w:rsidP="0002271F">
            <w:pPr>
              <w:jc w:val="right"/>
              <w:rPr>
                <w:rFonts w:eastAsia="Times New Roman" w:cs="Arial"/>
                <w:color w:val="000000"/>
                <w:sz w:val="18"/>
                <w:szCs w:val="18"/>
              </w:rPr>
            </w:pPr>
            <w:r w:rsidRPr="00926804">
              <w:rPr>
                <w:rFonts w:cs="Arial"/>
                <w:color w:val="000000"/>
                <w:sz w:val="18"/>
                <w:szCs w:val="18"/>
              </w:rPr>
              <w:t>95,842,291</w:t>
            </w:r>
          </w:p>
        </w:tc>
      </w:tr>
      <w:tr w:rsidR="00926804" w:rsidRPr="00926804" w14:paraId="508C8813" w14:textId="77777777" w:rsidTr="00926804">
        <w:trPr>
          <w:trHeight w:val="20"/>
          <w:jc w:val="center"/>
        </w:trPr>
        <w:tc>
          <w:tcPr>
            <w:tcW w:w="5540" w:type="dxa"/>
            <w:shd w:val="clear" w:color="auto" w:fill="auto"/>
            <w:vAlign w:val="center"/>
            <w:hideMark/>
          </w:tcPr>
          <w:p w14:paraId="47A9CC0C" w14:textId="77777777" w:rsidR="00926804" w:rsidRPr="00926804" w:rsidRDefault="00926804" w:rsidP="0002271F">
            <w:pPr>
              <w:jc w:val="left"/>
              <w:rPr>
                <w:rFonts w:eastAsia="Times New Roman" w:cs="Arial"/>
                <w:color w:val="000000"/>
                <w:sz w:val="18"/>
                <w:szCs w:val="18"/>
              </w:rPr>
            </w:pPr>
            <w:r w:rsidRPr="00926804">
              <w:rPr>
                <w:rFonts w:eastAsia="Times New Roman" w:cs="Arial"/>
                <w:color w:val="000000"/>
                <w:sz w:val="18"/>
                <w:szCs w:val="18"/>
              </w:rPr>
              <w:t>Secretaría General de Gobierno.</w:t>
            </w:r>
          </w:p>
        </w:tc>
        <w:tc>
          <w:tcPr>
            <w:tcW w:w="495" w:type="dxa"/>
            <w:shd w:val="clear" w:color="auto" w:fill="auto"/>
            <w:vAlign w:val="center"/>
            <w:hideMark/>
          </w:tcPr>
          <w:p w14:paraId="5805B54F"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4</w:t>
            </w:r>
          </w:p>
        </w:tc>
        <w:tc>
          <w:tcPr>
            <w:tcW w:w="470" w:type="dxa"/>
            <w:shd w:val="clear" w:color="auto" w:fill="auto"/>
            <w:vAlign w:val="center"/>
            <w:hideMark/>
          </w:tcPr>
          <w:p w14:paraId="6E098671"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4</w:t>
            </w:r>
          </w:p>
        </w:tc>
        <w:tc>
          <w:tcPr>
            <w:tcW w:w="595" w:type="dxa"/>
            <w:shd w:val="clear" w:color="auto" w:fill="auto"/>
            <w:vAlign w:val="center"/>
            <w:hideMark/>
          </w:tcPr>
          <w:p w14:paraId="7E7788B8"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98</w:t>
            </w:r>
          </w:p>
        </w:tc>
        <w:tc>
          <w:tcPr>
            <w:tcW w:w="426" w:type="dxa"/>
            <w:shd w:val="clear" w:color="auto" w:fill="auto"/>
            <w:vAlign w:val="center"/>
            <w:hideMark/>
          </w:tcPr>
          <w:p w14:paraId="4AC4FBCC"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4</w:t>
            </w:r>
          </w:p>
        </w:tc>
        <w:tc>
          <w:tcPr>
            <w:tcW w:w="1416" w:type="dxa"/>
            <w:shd w:val="clear" w:color="auto" w:fill="auto"/>
            <w:vAlign w:val="center"/>
            <w:hideMark/>
          </w:tcPr>
          <w:p w14:paraId="01FC8BD1" w14:textId="5F8B9D2D" w:rsidR="00926804" w:rsidRPr="00926804" w:rsidRDefault="00926804" w:rsidP="0002271F">
            <w:pPr>
              <w:jc w:val="right"/>
              <w:rPr>
                <w:rFonts w:eastAsia="Times New Roman" w:cs="Arial"/>
                <w:color w:val="000000"/>
                <w:sz w:val="18"/>
                <w:szCs w:val="18"/>
              </w:rPr>
            </w:pPr>
            <w:r w:rsidRPr="00926804">
              <w:rPr>
                <w:rFonts w:cs="Arial"/>
                <w:color w:val="000000"/>
                <w:sz w:val="18"/>
                <w:szCs w:val="18"/>
              </w:rPr>
              <w:t>581,050,376</w:t>
            </w:r>
          </w:p>
        </w:tc>
      </w:tr>
      <w:tr w:rsidR="00926804" w:rsidRPr="00926804" w14:paraId="6A9A5CB6" w14:textId="77777777" w:rsidTr="00926804">
        <w:trPr>
          <w:trHeight w:val="20"/>
          <w:jc w:val="center"/>
        </w:trPr>
        <w:tc>
          <w:tcPr>
            <w:tcW w:w="5540" w:type="dxa"/>
            <w:shd w:val="clear" w:color="auto" w:fill="auto"/>
            <w:vAlign w:val="center"/>
            <w:hideMark/>
          </w:tcPr>
          <w:p w14:paraId="393BE864" w14:textId="77777777" w:rsidR="00926804" w:rsidRPr="00926804" w:rsidRDefault="00926804" w:rsidP="0002271F">
            <w:pPr>
              <w:jc w:val="left"/>
              <w:rPr>
                <w:rFonts w:eastAsia="Times New Roman" w:cs="Arial"/>
                <w:color w:val="000000"/>
                <w:sz w:val="18"/>
                <w:szCs w:val="18"/>
              </w:rPr>
            </w:pPr>
            <w:r w:rsidRPr="00926804">
              <w:rPr>
                <w:rFonts w:eastAsia="Times New Roman" w:cs="Arial"/>
                <w:color w:val="000000"/>
                <w:sz w:val="18"/>
                <w:szCs w:val="18"/>
              </w:rPr>
              <w:t>Secretaría de Planeación, Finanzas y Administración.</w:t>
            </w:r>
          </w:p>
        </w:tc>
        <w:tc>
          <w:tcPr>
            <w:tcW w:w="495" w:type="dxa"/>
            <w:shd w:val="clear" w:color="auto" w:fill="auto"/>
            <w:vAlign w:val="center"/>
            <w:hideMark/>
          </w:tcPr>
          <w:p w14:paraId="4A4F1BD8"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4</w:t>
            </w:r>
          </w:p>
        </w:tc>
        <w:tc>
          <w:tcPr>
            <w:tcW w:w="470" w:type="dxa"/>
            <w:shd w:val="clear" w:color="auto" w:fill="auto"/>
            <w:vAlign w:val="center"/>
            <w:hideMark/>
          </w:tcPr>
          <w:p w14:paraId="57EC0D4D"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4</w:t>
            </w:r>
          </w:p>
        </w:tc>
        <w:tc>
          <w:tcPr>
            <w:tcW w:w="595" w:type="dxa"/>
            <w:shd w:val="clear" w:color="auto" w:fill="auto"/>
            <w:vAlign w:val="center"/>
            <w:hideMark/>
          </w:tcPr>
          <w:p w14:paraId="15C72907"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94</w:t>
            </w:r>
          </w:p>
        </w:tc>
        <w:tc>
          <w:tcPr>
            <w:tcW w:w="426" w:type="dxa"/>
            <w:shd w:val="clear" w:color="auto" w:fill="auto"/>
            <w:vAlign w:val="center"/>
            <w:hideMark/>
          </w:tcPr>
          <w:p w14:paraId="147DB428"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4</w:t>
            </w:r>
          </w:p>
        </w:tc>
        <w:tc>
          <w:tcPr>
            <w:tcW w:w="1416" w:type="dxa"/>
            <w:shd w:val="clear" w:color="auto" w:fill="auto"/>
            <w:vAlign w:val="center"/>
            <w:hideMark/>
          </w:tcPr>
          <w:p w14:paraId="3575285E" w14:textId="17575CEF" w:rsidR="00926804" w:rsidRPr="00926804" w:rsidRDefault="00926804" w:rsidP="0002271F">
            <w:pPr>
              <w:jc w:val="right"/>
              <w:rPr>
                <w:rFonts w:eastAsia="Times New Roman" w:cs="Arial"/>
                <w:color w:val="000000"/>
                <w:sz w:val="18"/>
                <w:szCs w:val="18"/>
              </w:rPr>
            </w:pPr>
            <w:r w:rsidRPr="00926804">
              <w:rPr>
                <w:rFonts w:cs="Arial"/>
                <w:color w:val="000000"/>
                <w:sz w:val="18"/>
                <w:szCs w:val="18"/>
              </w:rPr>
              <w:t>817,398,525</w:t>
            </w:r>
          </w:p>
        </w:tc>
      </w:tr>
      <w:tr w:rsidR="00926804" w:rsidRPr="00926804" w14:paraId="044BF422" w14:textId="77777777" w:rsidTr="00926804">
        <w:trPr>
          <w:trHeight w:val="20"/>
          <w:jc w:val="center"/>
        </w:trPr>
        <w:tc>
          <w:tcPr>
            <w:tcW w:w="5540" w:type="dxa"/>
            <w:shd w:val="clear" w:color="auto" w:fill="auto"/>
            <w:vAlign w:val="center"/>
            <w:hideMark/>
          </w:tcPr>
          <w:p w14:paraId="3E56FB51" w14:textId="77777777" w:rsidR="00926804" w:rsidRPr="00926804" w:rsidRDefault="00926804" w:rsidP="0002271F">
            <w:pPr>
              <w:jc w:val="left"/>
              <w:rPr>
                <w:rFonts w:eastAsia="Times New Roman" w:cs="Arial"/>
                <w:color w:val="000000"/>
                <w:sz w:val="18"/>
                <w:szCs w:val="18"/>
              </w:rPr>
            </w:pPr>
            <w:r w:rsidRPr="00926804">
              <w:rPr>
                <w:rFonts w:eastAsia="Times New Roman" w:cs="Arial"/>
                <w:color w:val="000000"/>
                <w:sz w:val="18"/>
                <w:szCs w:val="18"/>
              </w:rPr>
              <w:t>Secretaría de Bienestar, Inclusión Social y Mujeres.</w:t>
            </w:r>
          </w:p>
        </w:tc>
        <w:tc>
          <w:tcPr>
            <w:tcW w:w="495" w:type="dxa"/>
            <w:shd w:val="clear" w:color="auto" w:fill="auto"/>
            <w:vAlign w:val="center"/>
            <w:hideMark/>
          </w:tcPr>
          <w:p w14:paraId="29F431BC"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2</w:t>
            </w:r>
          </w:p>
        </w:tc>
        <w:tc>
          <w:tcPr>
            <w:tcW w:w="470" w:type="dxa"/>
            <w:shd w:val="clear" w:color="auto" w:fill="auto"/>
            <w:vAlign w:val="center"/>
            <w:hideMark/>
          </w:tcPr>
          <w:p w14:paraId="1824D4F0"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2</w:t>
            </w:r>
          </w:p>
        </w:tc>
        <w:tc>
          <w:tcPr>
            <w:tcW w:w="595" w:type="dxa"/>
            <w:shd w:val="clear" w:color="auto" w:fill="auto"/>
            <w:vAlign w:val="center"/>
            <w:hideMark/>
          </w:tcPr>
          <w:p w14:paraId="5809B448"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42</w:t>
            </w:r>
          </w:p>
        </w:tc>
        <w:tc>
          <w:tcPr>
            <w:tcW w:w="426" w:type="dxa"/>
            <w:shd w:val="clear" w:color="auto" w:fill="auto"/>
            <w:vAlign w:val="center"/>
            <w:hideMark/>
          </w:tcPr>
          <w:p w14:paraId="075617BC"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2</w:t>
            </w:r>
          </w:p>
        </w:tc>
        <w:tc>
          <w:tcPr>
            <w:tcW w:w="1416" w:type="dxa"/>
            <w:shd w:val="clear" w:color="auto" w:fill="auto"/>
            <w:vAlign w:val="center"/>
            <w:hideMark/>
          </w:tcPr>
          <w:p w14:paraId="0CD93827" w14:textId="2A4018B1" w:rsidR="00926804" w:rsidRPr="00926804" w:rsidRDefault="00926804" w:rsidP="0002271F">
            <w:pPr>
              <w:jc w:val="right"/>
              <w:rPr>
                <w:rFonts w:eastAsia="Times New Roman" w:cs="Arial"/>
                <w:color w:val="000000"/>
                <w:sz w:val="18"/>
                <w:szCs w:val="18"/>
              </w:rPr>
            </w:pPr>
            <w:r w:rsidRPr="00926804">
              <w:rPr>
                <w:rFonts w:cs="Arial"/>
                <w:color w:val="000000"/>
                <w:sz w:val="18"/>
                <w:szCs w:val="18"/>
              </w:rPr>
              <w:t>502,364,662</w:t>
            </w:r>
          </w:p>
        </w:tc>
      </w:tr>
      <w:tr w:rsidR="00926804" w:rsidRPr="00926804" w14:paraId="0170E5A0" w14:textId="77777777" w:rsidTr="00926804">
        <w:trPr>
          <w:trHeight w:val="20"/>
          <w:jc w:val="center"/>
        </w:trPr>
        <w:tc>
          <w:tcPr>
            <w:tcW w:w="5540" w:type="dxa"/>
            <w:shd w:val="clear" w:color="auto" w:fill="auto"/>
            <w:vAlign w:val="center"/>
            <w:hideMark/>
          </w:tcPr>
          <w:p w14:paraId="12191A60" w14:textId="77777777" w:rsidR="00926804" w:rsidRPr="00926804" w:rsidRDefault="00926804" w:rsidP="0002271F">
            <w:pPr>
              <w:jc w:val="left"/>
              <w:rPr>
                <w:rFonts w:eastAsia="Times New Roman" w:cs="Arial"/>
                <w:color w:val="000000"/>
                <w:sz w:val="18"/>
                <w:szCs w:val="18"/>
              </w:rPr>
            </w:pPr>
            <w:r w:rsidRPr="00926804">
              <w:rPr>
                <w:rFonts w:eastAsia="Times New Roman" w:cs="Arial"/>
                <w:color w:val="000000"/>
                <w:sz w:val="18"/>
                <w:szCs w:val="18"/>
              </w:rPr>
              <w:t>Secretaría de Infraestructura, Desarrollo Urbano y Movilidad.</w:t>
            </w:r>
          </w:p>
        </w:tc>
        <w:tc>
          <w:tcPr>
            <w:tcW w:w="495" w:type="dxa"/>
            <w:shd w:val="clear" w:color="auto" w:fill="auto"/>
            <w:vAlign w:val="center"/>
            <w:hideMark/>
          </w:tcPr>
          <w:p w14:paraId="68158281"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5</w:t>
            </w:r>
          </w:p>
        </w:tc>
        <w:tc>
          <w:tcPr>
            <w:tcW w:w="470" w:type="dxa"/>
            <w:shd w:val="clear" w:color="auto" w:fill="auto"/>
            <w:vAlign w:val="center"/>
            <w:hideMark/>
          </w:tcPr>
          <w:p w14:paraId="1C3C8075"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5</w:t>
            </w:r>
          </w:p>
        </w:tc>
        <w:tc>
          <w:tcPr>
            <w:tcW w:w="595" w:type="dxa"/>
            <w:shd w:val="clear" w:color="auto" w:fill="auto"/>
            <w:vAlign w:val="center"/>
            <w:hideMark/>
          </w:tcPr>
          <w:p w14:paraId="5818CA11"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79</w:t>
            </w:r>
          </w:p>
        </w:tc>
        <w:tc>
          <w:tcPr>
            <w:tcW w:w="426" w:type="dxa"/>
            <w:shd w:val="clear" w:color="auto" w:fill="auto"/>
            <w:vAlign w:val="center"/>
            <w:hideMark/>
          </w:tcPr>
          <w:p w14:paraId="4A0CC58B"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5</w:t>
            </w:r>
          </w:p>
        </w:tc>
        <w:tc>
          <w:tcPr>
            <w:tcW w:w="1416" w:type="dxa"/>
            <w:shd w:val="clear" w:color="auto" w:fill="auto"/>
            <w:vAlign w:val="center"/>
            <w:hideMark/>
          </w:tcPr>
          <w:p w14:paraId="67033764" w14:textId="34BC84FF" w:rsidR="00926804" w:rsidRPr="00926804" w:rsidRDefault="00926804" w:rsidP="0002271F">
            <w:pPr>
              <w:jc w:val="right"/>
              <w:rPr>
                <w:rFonts w:eastAsia="Times New Roman" w:cs="Arial"/>
                <w:color w:val="000000"/>
                <w:sz w:val="18"/>
                <w:szCs w:val="18"/>
              </w:rPr>
            </w:pPr>
            <w:r w:rsidRPr="00926804">
              <w:rPr>
                <w:rFonts w:cs="Arial"/>
                <w:color w:val="000000"/>
                <w:sz w:val="18"/>
                <w:szCs w:val="18"/>
              </w:rPr>
              <w:t>550,399,044</w:t>
            </w:r>
          </w:p>
        </w:tc>
      </w:tr>
      <w:tr w:rsidR="00926804" w:rsidRPr="00926804" w14:paraId="36E8F42A" w14:textId="77777777" w:rsidTr="00926804">
        <w:trPr>
          <w:trHeight w:val="20"/>
          <w:jc w:val="center"/>
        </w:trPr>
        <w:tc>
          <w:tcPr>
            <w:tcW w:w="5540" w:type="dxa"/>
            <w:shd w:val="clear" w:color="auto" w:fill="auto"/>
            <w:vAlign w:val="center"/>
            <w:hideMark/>
          </w:tcPr>
          <w:p w14:paraId="410172CA" w14:textId="77777777" w:rsidR="00926804" w:rsidRPr="00926804" w:rsidRDefault="00926804" w:rsidP="0002271F">
            <w:pPr>
              <w:jc w:val="left"/>
              <w:rPr>
                <w:rFonts w:eastAsia="Times New Roman" w:cs="Arial"/>
                <w:color w:val="000000"/>
                <w:sz w:val="18"/>
                <w:szCs w:val="18"/>
              </w:rPr>
            </w:pPr>
            <w:r w:rsidRPr="00926804">
              <w:rPr>
                <w:rFonts w:eastAsia="Times New Roman" w:cs="Arial"/>
                <w:color w:val="000000"/>
                <w:sz w:val="18"/>
                <w:szCs w:val="18"/>
              </w:rPr>
              <w:t>Secretaría de Educación y Cultura.</w:t>
            </w:r>
          </w:p>
        </w:tc>
        <w:tc>
          <w:tcPr>
            <w:tcW w:w="495" w:type="dxa"/>
            <w:shd w:val="clear" w:color="auto" w:fill="auto"/>
            <w:vAlign w:val="center"/>
            <w:hideMark/>
          </w:tcPr>
          <w:p w14:paraId="6F9D7C42"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5</w:t>
            </w:r>
          </w:p>
        </w:tc>
        <w:tc>
          <w:tcPr>
            <w:tcW w:w="470" w:type="dxa"/>
            <w:shd w:val="clear" w:color="auto" w:fill="auto"/>
            <w:vAlign w:val="center"/>
            <w:hideMark/>
          </w:tcPr>
          <w:p w14:paraId="07B4D7C2"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5</w:t>
            </w:r>
          </w:p>
        </w:tc>
        <w:tc>
          <w:tcPr>
            <w:tcW w:w="595" w:type="dxa"/>
            <w:shd w:val="clear" w:color="auto" w:fill="auto"/>
            <w:vAlign w:val="center"/>
            <w:hideMark/>
          </w:tcPr>
          <w:p w14:paraId="3FC5D09E"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138</w:t>
            </w:r>
          </w:p>
        </w:tc>
        <w:tc>
          <w:tcPr>
            <w:tcW w:w="426" w:type="dxa"/>
            <w:shd w:val="clear" w:color="auto" w:fill="auto"/>
            <w:vAlign w:val="center"/>
            <w:hideMark/>
          </w:tcPr>
          <w:p w14:paraId="22E11E82"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5</w:t>
            </w:r>
          </w:p>
        </w:tc>
        <w:tc>
          <w:tcPr>
            <w:tcW w:w="1416" w:type="dxa"/>
            <w:shd w:val="clear" w:color="auto" w:fill="auto"/>
            <w:vAlign w:val="center"/>
            <w:hideMark/>
          </w:tcPr>
          <w:p w14:paraId="315C244A" w14:textId="1F75B12C" w:rsidR="00926804" w:rsidRPr="00926804" w:rsidRDefault="00926804" w:rsidP="0002271F">
            <w:pPr>
              <w:jc w:val="right"/>
              <w:rPr>
                <w:rFonts w:eastAsia="Times New Roman" w:cs="Arial"/>
                <w:color w:val="000000"/>
                <w:sz w:val="18"/>
                <w:szCs w:val="18"/>
              </w:rPr>
            </w:pPr>
            <w:r w:rsidRPr="00926804">
              <w:rPr>
                <w:rFonts w:cs="Arial"/>
                <w:color w:val="000000"/>
                <w:sz w:val="18"/>
                <w:szCs w:val="18"/>
              </w:rPr>
              <w:t>6,272,433,808</w:t>
            </w:r>
          </w:p>
        </w:tc>
      </w:tr>
      <w:tr w:rsidR="00926804" w:rsidRPr="00926804" w14:paraId="1C52564A" w14:textId="77777777" w:rsidTr="00926804">
        <w:trPr>
          <w:trHeight w:val="20"/>
          <w:jc w:val="center"/>
        </w:trPr>
        <w:tc>
          <w:tcPr>
            <w:tcW w:w="5540" w:type="dxa"/>
            <w:shd w:val="clear" w:color="auto" w:fill="auto"/>
            <w:vAlign w:val="center"/>
            <w:hideMark/>
          </w:tcPr>
          <w:p w14:paraId="6B836D4A" w14:textId="77777777" w:rsidR="00926804" w:rsidRPr="00926804" w:rsidRDefault="00926804" w:rsidP="0002271F">
            <w:pPr>
              <w:jc w:val="left"/>
              <w:rPr>
                <w:rFonts w:eastAsia="Times New Roman" w:cs="Arial"/>
                <w:color w:val="000000"/>
                <w:sz w:val="18"/>
                <w:szCs w:val="18"/>
              </w:rPr>
            </w:pPr>
            <w:r w:rsidRPr="00926804">
              <w:rPr>
                <w:rFonts w:eastAsia="Times New Roman" w:cs="Arial"/>
                <w:color w:val="000000"/>
                <w:sz w:val="18"/>
                <w:szCs w:val="18"/>
              </w:rPr>
              <w:t>Secretaría de Salud.</w:t>
            </w:r>
          </w:p>
        </w:tc>
        <w:tc>
          <w:tcPr>
            <w:tcW w:w="495" w:type="dxa"/>
            <w:shd w:val="clear" w:color="auto" w:fill="auto"/>
            <w:vAlign w:val="center"/>
            <w:hideMark/>
          </w:tcPr>
          <w:p w14:paraId="2C049E67"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483DAC42"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01064DD3"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30</w:t>
            </w:r>
          </w:p>
        </w:tc>
        <w:tc>
          <w:tcPr>
            <w:tcW w:w="426" w:type="dxa"/>
            <w:shd w:val="clear" w:color="auto" w:fill="auto"/>
            <w:vAlign w:val="center"/>
            <w:hideMark/>
          </w:tcPr>
          <w:p w14:paraId="69E45611"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77C6AFC7" w14:textId="75886AD4" w:rsidR="00926804" w:rsidRPr="00926804" w:rsidRDefault="00926804" w:rsidP="0002271F">
            <w:pPr>
              <w:jc w:val="right"/>
              <w:rPr>
                <w:rFonts w:eastAsia="Times New Roman" w:cs="Arial"/>
                <w:color w:val="000000"/>
                <w:sz w:val="18"/>
                <w:szCs w:val="18"/>
              </w:rPr>
            </w:pPr>
            <w:r w:rsidRPr="00926804">
              <w:rPr>
                <w:rFonts w:cs="Arial"/>
                <w:color w:val="000000"/>
                <w:sz w:val="18"/>
                <w:szCs w:val="18"/>
              </w:rPr>
              <w:t>2,505,979,102</w:t>
            </w:r>
          </w:p>
        </w:tc>
      </w:tr>
      <w:tr w:rsidR="00926804" w:rsidRPr="00926804" w14:paraId="0A42F23B" w14:textId="77777777" w:rsidTr="00926804">
        <w:trPr>
          <w:trHeight w:val="20"/>
          <w:jc w:val="center"/>
        </w:trPr>
        <w:tc>
          <w:tcPr>
            <w:tcW w:w="5540" w:type="dxa"/>
            <w:shd w:val="clear" w:color="auto" w:fill="auto"/>
            <w:vAlign w:val="center"/>
            <w:hideMark/>
          </w:tcPr>
          <w:p w14:paraId="2A6008C9" w14:textId="77777777" w:rsidR="00926804" w:rsidRPr="00926804" w:rsidRDefault="00926804" w:rsidP="0002271F">
            <w:pPr>
              <w:jc w:val="left"/>
              <w:rPr>
                <w:rFonts w:eastAsia="Times New Roman" w:cs="Arial"/>
                <w:color w:val="000000"/>
                <w:sz w:val="18"/>
                <w:szCs w:val="18"/>
              </w:rPr>
            </w:pPr>
            <w:r w:rsidRPr="00926804">
              <w:rPr>
                <w:rFonts w:eastAsia="Times New Roman" w:cs="Arial"/>
                <w:color w:val="000000"/>
                <w:sz w:val="18"/>
                <w:szCs w:val="18"/>
              </w:rPr>
              <w:t>Secretaría de Desarrollo Económico.</w:t>
            </w:r>
          </w:p>
        </w:tc>
        <w:tc>
          <w:tcPr>
            <w:tcW w:w="495" w:type="dxa"/>
            <w:shd w:val="clear" w:color="auto" w:fill="auto"/>
            <w:vAlign w:val="center"/>
            <w:hideMark/>
          </w:tcPr>
          <w:p w14:paraId="413DD5EB"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4</w:t>
            </w:r>
          </w:p>
        </w:tc>
        <w:tc>
          <w:tcPr>
            <w:tcW w:w="470" w:type="dxa"/>
            <w:shd w:val="clear" w:color="auto" w:fill="auto"/>
            <w:vAlign w:val="center"/>
            <w:hideMark/>
          </w:tcPr>
          <w:p w14:paraId="7C447C79"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4</w:t>
            </w:r>
          </w:p>
        </w:tc>
        <w:tc>
          <w:tcPr>
            <w:tcW w:w="595" w:type="dxa"/>
            <w:shd w:val="clear" w:color="auto" w:fill="auto"/>
            <w:vAlign w:val="center"/>
            <w:hideMark/>
          </w:tcPr>
          <w:p w14:paraId="6A682192"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61</w:t>
            </w:r>
          </w:p>
        </w:tc>
        <w:tc>
          <w:tcPr>
            <w:tcW w:w="426" w:type="dxa"/>
            <w:shd w:val="clear" w:color="auto" w:fill="auto"/>
            <w:vAlign w:val="center"/>
            <w:hideMark/>
          </w:tcPr>
          <w:p w14:paraId="37DCC25E"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4</w:t>
            </w:r>
          </w:p>
        </w:tc>
        <w:tc>
          <w:tcPr>
            <w:tcW w:w="1416" w:type="dxa"/>
            <w:shd w:val="clear" w:color="auto" w:fill="auto"/>
            <w:vAlign w:val="center"/>
            <w:hideMark/>
          </w:tcPr>
          <w:p w14:paraId="2B19724E" w14:textId="31A9A703" w:rsidR="00926804" w:rsidRPr="00926804" w:rsidRDefault="00926804" w:rsidP="0002271F">
            <w:pPr>
              <w:jc w:val="right"/>
              <w:rPr>
                <w:rFonts w:eastAsia="Times New Roman" w:cs="Arial"/>
                <w:color w:val="000000"/>
                <w:sz w:val="18"/>
                <w:szCs w:val="18"/>
              </w:rPr>
            </w:pPr>
            <w:r w:rsidRPr="00926804">
              <w:rPr>
                <w:rFonts w:cs="Arial"/>
                <w:color w:val="000000"/>
                <w:sz w:val="18"/>
                <w:szCs w:val="18"/>
              </w:rPr>
              <w:t>263,055,660</w:t>
            </w:r>
          </w:p>
        </w:tc>
      </w:tr>
      <w:tr w:rsidR="00926804" w:rsidRPr="00926804" w14:paraId="3D61F5FB" w14:textId="77777777" w:rsidTr="00926804">
        <w:trPr>
          <w:trHeight w:val="20"/>
          <w:jc w:val="center"/>
        </w:trPr>
        <w:tc>
          <w:tcPr>
            <w:tcW w:w="5540" w:type="dxa"/>
            <w:shd w:val="clear" w:color="auto" w:fill="auto"/>
            <w:vAlign w:val="center"/>
            <w:hideMark/>
          </w:tcPr>
          <w:p w14:paraId="2E17BC0D" w14:textId="77777777" w:rsidR="00926804" w:rsidRPr="00926804" w:rsidRDefault="00926804" w:rsidP="0002271F">
            <w:pPr>
              <w:jc w:val="left"/>
              <w:rPr>
                <w:rFonts w:eastAsia="Times New Roman" w:cs="Arial"/>
                <w:color w:val="000000"/>
                <w:sz w:val="18"/>
                <w:szCs w:val="18"/>
              </w:rPr>
            </w:pPr>
            <w:r w:rsidRPr="00926804">
              <w:rPr>
                <w:rFonts w:eastAsia="Times New Roman" w:cs="Arial"/>
                <w:color w:val="000000"/>
                <w:sz w:val="18"/>
                <w:szCs w:val="18"/>
              </w:rPr>
              <w:t>Contraloría General del Estado.</w:t>
            </w:r>
          </w:p>
        </w:tc>
        <w:tc>
          <w:tcPr>
            <w:tcW w:w="495" w:type="dxa"/>
            <w:shd w:val="clear" w:color="auto" w:fill="auto"/>
            <w:vAlign w:val="center"/>
            <w:hideMark/>
          </w:tcPr>
          <w:p w14:paraId="5F960335"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1905E2D8"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11DC431A"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34</w:t>
            </w:r>
          </w:p>
        </w:tc>
        <w:tc>
          <w:tcPr>
            <w:tcW w:w="426" w:type="dxa"/>
            <w:shd w:val="clear" w:color="auto" w:fill="auto"/>
            <w:vAlign w:val="center"/>
            <w:hideMark/>
          </w:tcPr>
          <w:p w14:paraId="4A06ECA0"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06B0881A" w14:textId="401F9362" w:rsidR="00926804" w:rsidRPr="00926804" w:rsidRDefault="00926804" w:rsidP="0002271F">
            <w:pPr>
              <w:jc w:val="right"/>
              <w:rPr>
                <w:rFonts w:eastAsia="Times New Roman" w:cs="Arial"/>
                <w:color w:val="000000"/>
                <w:sz w:val="18"/>
                <w:szCs w:val="18"/>
              </w:rPr>
            </w:pPr>
            <w:r w:rsidRPr="00926804">
              <w:rPr>
                <w:rFonts w:cs="Arial"/>
                <w:color w:val="000000"/>
                <w:sz w:val="18"/>
                <w:szCs w:val="18"/>
              </w:rPr>
              <w:t>28,614,931</w:t>
            </w:r>
          </w:p>
        </w:tc>
      </w:tr>
      <w:tr w:rsidR="00926804" w:rsidRPr="00926804" w14:paraId="02EBAD46" w14:textId="77777777" w:rsidTr="00926804">
        <w:trPr>
          <w:trHeight w:val="20"/>
          <w:jc w:val="center"/>
        </w:trPr>
        <w:tc>
          <w:tcPr>
            <w:tcW w:w="5540" w:type="dxa"/>
            <w:shd w:val="clear" w:color="auto" w:fill="auto"/>
            <w:vAlign w:val="center"/>
            <w:hideMark/>
          </w:tcPr>
          <w:p w14:paraId="4A611E22" w14:textId="77777777" w:rsidR="00926804" w:rsidRPr="00926804" w:rsidRDefault="00926804" w:rsidP="0002271F">
            <w:pPr>
              <w:jc w:val="left"/>
              <w:rPr>
                <w:rFonts w:eastAsia="Times New Roman" w:cs="Arial"/>
                <w:color w:val="000000"/>
                <w:sz w:val="18"/>
                <w:szCs w:val="18"/>
              </w:rPr>
            </w:pPr>
            <w:r w:rsidRPr="00926804">
              <w:rPr>
                <w:rFonts w:eastAsia="Times New Roman" w:cs="Arial"/>
                <w:color w:val="000000"/>
                <w:sz w:val="18"/>
                <w:szCs w:val="18"/>
              </w:rPr>
              <w:t>Secretaría de Seguridad Pública.</w:t>
            </w:r>
          </w:p>
        </w:tc>
        <w:tc>
          <w:tcPr>
            <w:tcW w:w="495" w:type="dxa"/>
            <w:shd w:val="clear" w:color="auto" w:fill="auto"/>
            <w:vAlign w:val="center"/>
            <w:hideMark/>
          </w:tcPr>
          <w:p w14:paraId="0ACDE2AF"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177E0F5F"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5A20610A"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32</w:t>
            </w:r>
          </w:p>
        </w:tc>
        <w:tc>
          <w:tcPr>
            <w:tcW w:w="426" w:type="dxa"/>
            <w:shd w:val="clear" w:color="auto" w:fill="auto"/>
            <w:vAlign w:val="center"/>
            <w:hideMark/>
          </w:tcPr>
          <w:p w14:paraId="273798F2"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1AF34D5D" w14:textId="5F0B1921" w:rsidR="00926804" w:rsidRPr="00926804" w:rsidRDefault="00926804" w:rsidP="0002271F">
            <w:pPr>
              <w:jc w:val="right"/>
              <w:rPr>
                <w:rFonts w:eastAsia="Times New Roman" w:cs="Arial"/>
                <w:color w:val="000000"/>
                <w:sz w:val="18"/>
                <w:szCs w:val="18"/>
              </w:rPr>
            </w:pPr>
            <w:r w:rsidRPr="00926804">
              <w:rPr>
                <w:rFonts w:cs="Arial"/>
                <w:color w:val="000000"/>
                <w:sz w:val="18"/>
                <w:szCs w:val="18"/>
              </w:rPr>
              <w:t>746,880,260</w:t>
            </w:r>
          </w:p>
        </w:tc>
      </w:tr>
      <w:tr w:rsidR="00926804" w:rsidRPr="00926804" w14:paraId="6D5D92F1" w14:textId="77777777" w:rsidTr="00926804">
        <w:trPr>
          <w:trHeight w:val="20"/>
          <w:jc w:val="center"/>
        </w:trPr>
        <w:tc>
          <w:tcPr>
            <w:tcW w:w="5540" w:type="dxa"/>
            <w:shd w:val="clear" w:color="auto" w:fill="auto"/>
            <w:vAlign w:val="center"/>
            <w:hideMark/>
          </w:tcPr>
          <w:p w14:paraId="409C99AA" w14:textId="77777777" w:rsidR="00926804" w:rsidRPr="00926804" w:rsidRDefault="00926804" w:rsidP="0002271F">
            <w:pPr>
              <w:jc w:val="left"/>
              <w:rPr>
                <w:rFonts w:eastAsia="Times New Roman" w:cs="Arial"/>
                <w:color w:val="000000"/>
                <w:sz w:val="18"/>
                <w:szCs w:val="18"/>
              </w:rPr>
            </w:pPr>
            <w:r w:rsidRPr="00926804">
              <w:rPr>
                <w:rFonts w:eastAsia="Times New Roman" w:cs="Arial"/>
                <w:color w:val="000000"/>
                <w:sz w:val="18"/>
                <w:szCs w:val="18"/>
              </w:rPr>
              <w:t>Consejería Jurídica del Poder Ejecutivo del Estado.</w:t>
            </w:r>
          </w:p>
        </w:tc>
        <w:tc>
          <w:tcPr>
            <w:tcW w:w="495" w:type="dxa"/>
            <w:shd w:val="clear" w:color="auto" w:fill="auto"/>
            <w:vAlign w:val="center"/>
            <w:hideMark/>
          </w:tcPr>
          <w:p w14:paraId="52BFD5F0"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247F4775"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41E5233A"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20</w:t>
            </w:r>
          </w:p>
        </w:tc>
        <w:tc>
          <w:tcPr>
            <w:tcW w:w="426" w:type="dxa"/>
            <w:shd w:val="clear" w:color="auto" w:fill="auto"/>
            <w:vAlign w:val="center"/>
            <w:hideMark/>
          </w:tcPr>
          <w:p w14:paraId="0E854C1A" w14:textId="77777777" w:rsidR="00926804" w:rsidRPr="00926804" w:rsidRDefault="00926804" w:rsidP="0002271F">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2AC547BB" w14:textId="0CC5D8A1" w:rsidR="00926804" w:rsidRPr="00926804" w:rsidRDefault="00926804" w:rsidP="0002271F">
            <w:pPr>
              <w:jc w:val="right"/>
              <w:rPr>
                <w:rFonts w:eastAsia="Times New Roman" w:cs="Arial"/>
                <w:color w:val="000000"/>
                <w:sz w:val="18"/>
                <w:szCs w:val="18"/>
              </w:rPr>
            </w:pPr>
            <w:r w:rsidRPr="00926804">
              <w:rPr>
                <w:rFonts w:cs="Arial"/>
                <w:color w:val="000000"/>
                <w:sz w:val="18"/>
                <w:szCs w:val="18"/>
              </w:rPr>
              <w:t>36,294,439</w:t>
            </w:r>
          </w:p>
        </w:tc>
      </w:tr>
      <w:tr w:rsidR="00926804" w:rsidRPr="00926804" w14:paraId="537AC73D" w14:textId="77777777" w:rsidTr="00926804">
        <w:trPr>
          <w:trHeight w:val="20"/>
          <w:jc w:val="center"/>
        </w:trPr>
        <w:tc>
          <w:tcPr>
            <w:tcW w:w="5540" w:type="dxa"/>
            <w:shd w:val="clear" w:color="auto" w:fill="auto"/>
            <w:vAlign w:val="center"/>
            <w:hideMark/>
          </w:tcPr>
          <w:p w14:paraId="27B6471B"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rPr>
              <w:t>Poderes del Estado.</w:t>
            </w:r>
          </w:p>
        </w:tc>
        <w:tc>
          <w:tcPr>
            <w:tcW w:w="495" w:type="dxa"/>
            <w:shd w:val="clear" w:color="auto" w:fill="auto"/>
            <w:vAlign w:val="center"/>
            <w:hideMark/>
          </w:tcPr>
          <w:p w14:paraId="16D2A0FE"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lang w:val="es-ES"/>
              </w:rPr>
              <w:t> </w:t>
            </w:r>
          </w:p>
        </w:tc>
        <w:tc>
          <w:tcPr>
            <w:tcW w:w="470" w:type="dxa"/>
            <w:shd w:val="clear" w:color="auto" w:fill="auto"/>
            <w:vAlign w:val="center"/>
            <w:hideMark/>
          </w:tcPr>
          <w:p w14:paraId="2976DD02"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lang w:val="es-ES"/>
              </w:rPr>
              <w:t> </w:t>
            </w:r>
          </w:p>
        </w:tc>
        <w:tc>
          <w:tcPr>
            <w:tcW w:w="595" w:type="dxa"/>
            <w:shd w:val="clear" w:color="auto" w:fill="auto"/>
            <w:vAlign w:val="center"/>
            <w:hideMark/>
          </w:tcPr>
          <w:p w14:paraId="50095A0F"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lang w:val="es-ES"/>
              </w:rPr>
              <w:t> </w:t>
            </w:r>
          </w:p>
        </w:tc>
        <w:tc>
          <w:tcPr>
            <w:tcW w:w="426" w:type="dxa"/>
            <w:shd w:val="clear" w:color="auto" w:fill="auto"/>
            <w:vAlign w:val="center"/>
            <w:hideMark/>
          </w:tcPr>
          <w:p w14:paraId="11D0E478"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lang w:val="es-ES"/>
              </w:rPr>
              <w:t> </w:t>
            </w:r>
          </w:p>
        </w:tc>
        <w:tc>
          <w:tcPr>
            <w:tcW w:w="1416" w:type="dxa"/>
            <w:shd w:val="clear" w:color="auto" w:fill="auto"/>
            <w:vAlign w:val="center"/>
            <w:hideMark/>
          </w:tcPr>
          <w:p w14:paraId="15D97C1B" w14:textId="77777777" w:rsidR="00926804" w:rsidRPr="00926804" w:rsidRDefault="00926804" w:rsidP="005F022B">
            <w:pPr>
              <w:jc w:val="right"/>
              <w:rPr>
                <w:rFonts w:eastAsia="Times New Roman" w:cs="Arial"/>
                <w:b/>
                <w:bCs/>
                <w:color w:val="000000"/>
                <w:sz w:val="18"/>
                <w:szCs w:val="18"/>
              </w:rPr>
            </w:pPr>
            <w:r w:rsidRPr="00926804">
              <w:rPr>
                <w:rFonts w:eastAsia="Times New Roman" w:cs="Arial"/>
                <w:b/>
                <w:bCs/>
                <w:color w:val="000000"/>
                <w:sz w:val="18"/>
                <w:szCs w:val="18"/>
              </w:rPr>
              <w:t> </w:t>
            </w:r>
          </w:p>
        </w:tc>
      </w:tr>
      <w:tr w:rsidR="00926804" w:rsidRPr="00926804" w14:paraId="6992BC40" w14:textId="77777777" w:rsidTr="00926804">
        <w:trPr>
          <w:trHeight w:val="20"/>
          <w:jc w:val="center"/>
        </w:trPr>
        <w:tc>
          <w:tcPr>
            <w:tcW w:w="5540" w:type="dxa"/>
            <w:shd w:val="clear" w:color="auto" w:fill="auto"/>
            <w:vAlign w:val="center"/>
            <w:hideMark/>
          </w:tcPr>
          <w:p w14:paraId="5EEFB818"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Poder Judicial del Estado.</w:t>
            </w:r>
          </w:p>
        </w:tc>
        <w:tc>
          <w:tcPr>
            <w:tcW w:w="495" w:type="dxa"/>
            <w:shd w:val="clear" w:color="auto" w:fill="auto"/>
            <w:vAlign w:val="center"/>
            <w:hideMark/>
          </w:tcPr>
          <w:p w14:paraId="2D765114"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2F11365F"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425FA6A4"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13</w:t>
            </w:r>
          </w:p>
        </w:tc>
        <w:tc>
          <w:tcPr>
            <w:tcW w:w="426" w:type="dxa"/>
            <w:shd w:val="clear" w:color="auto" w:fill="auto"/>
            <w:vAlign w:val="center"/>
            <w:hideMark/>
          </w:tcPr>
          <w:p w14:paraId="6A88AA08"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17EFE78D"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271,481,600</w:t>
            </w:r>
          </w:p>
        </w:tc>
      </w:tr>
      <w:tr w:rsidR="00926804" w:rsidRPr="00926804" w14:paraId="169E114D" w14:textId="77777777" w:rsidTr="00926804">
        <w:trPr>
          <w:trHeight w:val="20"/>
          <w:jc w:val="center"/>
        </w:trPr>
        <w:tc>
          <w:tcPr>
            <w:tcW w:w="5540" w:type="dxa"/>
            <w:shd w:val="clear" w:color="auto" w:fill="auto"/>
            <w:vAlign w:val="center"/>
            <w:hideMark/>
          </w:tcPr>
          <w:p w14:paraId="467A3072"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H. Congreso del Estado.</w:t>
            </w:r>
          </w:p>
        </w:tc>
        <w:tc>
          <w:tcPr>
            <w:tcW w:w="495" w:type="dxa"/>
            <w:shd w:val="clear" w:color="auto" w:fill="auto"/>
            <w:vAlign w:val="center"/>
            <w:hideMark/>
          </w:tcPr>
          <w:p w14:paraId="58A168C5"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433D21DC"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1B48DC07"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5</w:t>
            </w:r>
          </w:p>
        </w:tc>
        <w:tc>
          <w:tcPr>
            <w:tcW w:w="426" w:type="dxa"/>
            <w:shd w:val="clear" w:color="auto" w:fill="auto"/>
            <w:vAlign w:val="center"/>
            <w:hideMark/>
          </w:tcPr>
          <w:p w14:paraId="552DA99F"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53D111A0"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125,000,000</w:t>
            </w:r>
          </w:p>
        </w:tc>
      </w:tr>
      <w:tr w:rsidR="00926804" w:rsidRPr="00926804" w14:paraId="763477B0" w14:textId="77777777" w:rsidTr="00926804">
        <w:trPr>
          <w:trHeight w:val="20"/>
          <w:jc w:val="center"/>
        </w:trPr>
        <w:tc>
          <w:tcPr>
            <w:tcW w:w="5540" w:type="dxa"/>
            <w:shd w:val="clear" w:color="auto" w:fill="auto"/>
            <w:vAlign w:val="center"/>
            <w:hideMark/>
          </w:tcPr>
          <w:p w14:paraId="31D8D5F9"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rPr>
              <w:t>Órganos Autónomos.</w:t>
            </w:r>
          </w:p>
        </w:tc>
        <w:tc>
          <w:tcPr>
            <w:tcW w:w="495" w:type="dxa"/>
            <w:shd w:val="clear" w:color="auto" w:fill="auto"/>
            <w:vAlign w:val="center"/>
            <w:hideMark/>
          </w:tcPr>
          <w:p w14:paraId="669584A0"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lang w:val="es-ES"/>
              </w:rPr>
              <w:t> </w:t>
            </w:r>
          </w:p>
        </w:tc>
        <w:tc>
          <w:tcPr>
            <w:tcW w:w="470" w:type="dxa"/>
            <w:shd w:val="clear" w:color="auto" w:fill="auto"/>
            <w:vAlign w:val="center"/>
            <w:hideMark/>
          </w:tcPr>
          <w:p w14:paraId="110DDFCB"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lang w:val="es-ES"/>
              </w:rPr>
              <w:t> </w:t>
            </w:r>
          </w:p>
        </w:tc>
        <w:tc>
          <w:tcPr>
            <w:tcW w:w="595" w:type="dxa"/>
            <w:shd w:val="clear" w:color="auto" w:fill="auto"/>
            <w:vAlign w:val="center"/>
            <w:hideMark/>
          </w:tcPr>
          <w:p w14:paraId="5C4F3746"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lang w:val="es-ES"/>
              </w:rPr>
              <w:t> </w:t>
            </w:r>
          </w:p>
        </w:tc>
        <w:tc>
          <w:tcPr>
            <w:tcW w:w="426" w:type="dxa"/>
            <w:shd w:val="clear" w:color="auto" w:fill="auto"/>
            <w:vAlign w:val="center"/>
            <w:hideMark/>
          </w:tcPr>
          <w:p w14:paraId="66087209"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lang w:val="es-ES"/>
              </w:rPr>
              <w:t> </w:t>
            </w:r>
          </w:p>
        </w:tc>
        <w:tc>
          <w:tcPr>
            <w:tcW w:w="1416" w:type="dxa"/>
            <w:shd w:val="clear" w:color="auto" w:fill="auto"/>
            <w:vAlign w:val="center"/>
            <w:hideMark/>
          </w:tcPr>
          <w:p w14:paraId="6D0BBBE7"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 </w:t>
            </w:r>
          </w:p>
        </w:tc>
      </w:tr>
      <w:tr w:rsidR="00926804" w:rsidRPr="00926804" w14:paraId="57D93399" w14:textId="77777777" w:rsidTr="00926804">
        <w:trPr>
          <w:trHeight w:val="20"/>
          <w:jc w:val="center"/>
        </w:trPr>
        <w:tc>
          <w:tcPr>
            <w:tcW w:w="5540" w:type="dxa"/>
            <w:shd w:val="clear" w:color="auto" w:fill="auto"/>
            <w:vAlign w:val="center"/>
            <w:hideMark/>
          </w:tcPr>
          <w:p w14:paraId="23C0D06F"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Comisión de Derechos Humanos del Estado de Colima.</w:t>
            </w:r>
          </w:p>
        </w:tc>
        <w:tc>
          <w:tcPr>
            <w:tcW w:w="495" w:type="dxa"/>
            <w:shd w:val="clear" w:color="auto" w:fill="auto"/>
            <w:vAlign w:val="center"/>
            <w:hideMark/>
          </w:tcPr>
          <w:p w14:paraId="3708E4FA"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6B451C91"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5565C708"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9</w:t>
            </w:r>
          </w:p>
        </w:tc>
        <w:tc>
          <w:tcPr>
            <w:tcW w:w="426" w:type="dxa"/>
            <w:shd w:val="clear" w:color="auto" w:fill="auto"/>
            <w:vAlign w:val="center"/>
            <w:hideMark/>
          </w:tcPr>
          <w:p w14:paraId="3C916E86"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3249E4BF"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15,023,007</w:t>
            </w:r>
          </w:p>
        </w:tc>
      </w:tr>
      <w:tr w:rsidR="00926804" w:rsidRPr="00926804" w14:paraId="59EC470B" w14:textId="77777777" w:rsidTr="00926804">
        <w:trPr>
          <w:trHeight w:val="20"/>
          <w:jc w:val="center"/>
        </w:trPr>
        <w:tc>
          <w:tcPr>
            <w:tcW w:w="5540" w:type="dxa"/>
            <w:shd w:val="clear" w:color="auto" w:fill="auto"/>
            <w:vAlign w:val="center"/>
            <w:hideMark/>
          </w:tcPr>
          <w:p w14:paraId="2BAA8ACF"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Fiscalía General del Estado de Colima.</w:t>
            </w:r>
          </w:p>
        </w:tc>
        <w:tc>
          <w:tcPr>
            <w:tcW w:w="495" w:type="dxa"/>
            <w:shd w:val="clear" w:color="auto" w:fill="auto"/>
            <w:vAlign w:val="center"/>
            <w:hideMark/>
          </w:tcPr>
          <w:p w14:paraId="489BE863"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202EF8DB"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450DA9B2"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15</w:t>
            </w:r>
          </w:p>
        </w:tc>
        <w:tc>
          <w:tcPr>
            <w:tcW w:w="426" w:type="dxa"/>
            <w:shd w:val="clear" w:color="auto" w:fill="auto"/>
            <w:vAlign w:val="center"/>
            <w:hideMark/>
          </w:tcPr>
          <w:p w14:paraId="3833FE16"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3DA76576"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500,422,055</w:t>
            </w:r>
          </w:p>
        </w:tc>
      </w:tr>
      <w:tr w:rsidR="00926804" w:rsidRPr="00926804" w14:paraId="3B1CDF79" w14:textId="77777777" w:rsidTr="00926804">
        <w:trPr>
          <w:trHeight w:val="20"/>
          <w:jc w:val="center"/>
        </w:trPr>
        <w:tc>
          <w:tcPr>
            <w:tcW w:w="5540" w:type="dxa"/>
            <w:shd w:val="clear" w:color="auto" w:fill="auto"/>
            <w:vAlign w:val="center"/>
            <w:hideMark/>
          </w:tcPr>
          <w:p w14:paraId="1AE91D87"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Instituto de Transparencia, Acceso a la Información Pública y Protección de datos del Estado de Colima.</w:t>
            </w:r>
          </w:p>
        </w:tc>
        <w:tc>
          <w:tcPr>
            <w:tcW w:w="495" w:type="dxa"/>
            <w:shd w:val="clear" w:color="auto" w:fill="auto"/>
            <w:vAlign w:val="center"/>
            <w:hideMark/>
          </w:tcPr>
          <w:p w14:paraId="7C1E8839"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3A5CFE26"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1C8ED2FF"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22</w:t>
            </w:r>
          </w:p>
        </w:tc>
        <w:tc>
          <w:tcPr>
            <w:tcW w:w="426" w:type="dxa"/>
            <w:shd w:val="clear" w:color="auto" w:fill="auto"/>
            <w:vAlign w:val="center"/>
            <w:hideMark/>
          </w:tcPr>
          <w:p w14:paraId="2E413649"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16CC6A76"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22,760,557</w:t>
            </w:r>
          </w:p>
        </w:tc>
      </w:tr>
      <w:tr w:rsidR="00926804" w:rsidRPr="00926804" w14:paraId="56E246FC" w14:textId="77777777" w:rsidTr="00926804">
        <w:trPr>
          <w:trHeight w:val="20"/>
          <w:jc w:val="center"/>
        </w:trPr>
        <w:tc>
          <w:tcPr>
            <w:tcW w:w="5540" w:type="dxa"/>
            <w:shd w:val="clear" w:color="auto" w:fill="auto"/>
            <w:vAlign w:val="center"/>
            <w:hideMark/>
          </w:tcPr>
          <w:p w14:paraId="29DFEB13"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lastRenderedPageBreak/>
              <w:t>Órgano Superior de Auditoría y Fiscalización Gubernamental del Estado.</w:t>
            </w:r>
          </w:p>
        </w:tc>
        <w:tc>
          <w:tcPr>
            <w:tcW w:w="495" w:type="dxa"/>
            <w:shd w:val="clear" w:color="auto" w:fill="auto"/>
            <w:vAlign w:val="center"/>
            <w:hideMark/>
          </w:tcPr>
          <w:p w14:paraId="0E4A1424"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4AF3738E"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78A4FD8D"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6</w:t>
            </w:r>
          </w:p>
        </w:tc>
        <w:tc>
          <w:tcPr>
            <w:tcW w:w="426" w:type="dxa"/>
            <w:shd w:val="clear" w:color="auto" w:fill="auto"/>
            <w:vAlign w:val="center"/>
            <w:hideMark/>
          </w:tcPr>
          <w:p w14:paraId="6CA00ACC"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52CB289F"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44,000,000</w:t>
            </w:r>
          </w:p>
        </w:tc>
      </w:tr>
      <w:tr w:rsidR="00926804" w:rsidRPr="00926804" w14:paraId="4C42AB5F" w14:textId="77777777" w:rsidTr="00926804">
        <w:trPr>
          <w:trHeight w:val="20"/>
          <w:jc w:val="center"/>
        </w:trPr>
        <w:tc>
          <w:tcPr>
            <w:tcW w:w="5540" w:type="dxa"/>
            <w:shd w:val="clear" w:color="auto" w:fill="auto"/>
            <w:vAlign w:val="center"/>
            <w:hideMark/>
          </w:tcPr>
          <w:p w14:paraId="7EB94B6B"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Tribunal de Arbitraje y Escalafón.</w:t>
            </w:r>
          </w:p>
        </w:tc>
        <w:tc>
          <w:tcPr>
            <w:tcW w:w="495" w:type="dxa"/>
            <w:shd w:val="clear" w:color="auto" w:fill="auto"/>
            <w:vAlign w:val="center"/>
            <w:hideMark/>
          </w:tcPr>
          <w:p w14:paraId="258F46A7"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04963509"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117D4EDF"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4</w:t>
            </w:r>
          </w:p>
        </w:tc>
        <w:tc>
          <w:tcPr>
            <w:tcW w:w="426" w:type="dxa"/>
            <w:shd w:val="clear" w:color="auto" w:fill="auto"/>
            <w:vAlign w:val="center"/>
            <w:hideMark/>
          </w:tcPr>
          <w:p w14:paraId="0F47881F"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463DCF33"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8,652,800</w:t>
            </w:r>
          </w:p>
        </w:tc>
      </w:tr>
      <w:tr w:rsidR="00926804" w:rsidRPr="00926804" w14:paraId="1B9620EC" w14:textId="77777777" w:rsidTr="00926804">
        <w:trPr>
          <w:trHeight w:val="20"/>
          <w:jc w:val="center"/>
        </w:trPr>
        <w:tc>
          <w:tcPr>
            <w:tcW w:w="5540" w:type="dxa"/>
            <w:shd w:val="clear" w:color="auto" w:fill="auto"/>
            <w:vAlign w:val="center"/>
            <w:hideMark/>
          </w:tcPr>
          <w:p w14:paraId="28451E6D"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rPr>
              <w:t>Administración Pública Paraestatal.</w:t>
            </w:r>
          </w:p>
        </w:tc>
        <w:tc>
          <w:tcPr>
            <w:tcW w:w="495" w:type="dxa"/>
            <w:shd w:val="clear" w:color="auto" w:fill="auto"/>
            <w:vAlign w:val="center"/>
            <w:hideMark/>
          </w:tcPr>
          <w:p w14:paraId="7EAD1236"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lang w:val="es-ES"/>
              </w:rPr>
              <w:t> </w:t>
            </w:r>
          </w:p>
        </w:tc>
        <w:tc>
          <w:tcPr>
            <w:tcW w:w="470" w:type="dxa"/>
            <w:shd w:val="clear" w:color="auto" w:fill="auto"/>
            <w:vAlign w:val="center"/>
            <w:hideMark/>
          </w:tcPr>
          <w:p w14:paraId="50A0A0EB"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lang w:val="es-ES"/>
              </w:rPr>
              <w:t> </w:t>
            </w:r>
          </w:p>
        </w:tc>
        <w:tc>
          <w:tcPr>
            <w:tcW w:w="595" w:type="dxa"/>
            <w:shd w:val="clear" w:color="auto" w:fill="auto"/>
            <w:vAlign w:val="center"/>
            <w:hideMark/>
          </w:tcPr>
          <w:p w14:paraId="3D4A4897"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lang w:val="es-ES"/>
              </w:rPr>
              <w:t> </w:t>
            </w:r>
          </w:p>
        </w:tc>
        <w:tc>
          <w:tcPr>
            <w:tcW w:w="426" w:type="dxa"/>
            <w:shd w:val="clear" w:color="auto" w:fill="auto"/>
            <w:vAlign w:val="center"/>
            <w:hideMark/>
          </w:tcPr>
          <w:p w14:paraId="65CF8DF0"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lang w:val="es-ES"/>
              </w:rPr>
              <w:t> </w:t>
            </w:r>
          </w:p>
        </w:tc>
        <w:tc>
          <w:tcPr>
            <w:tcW w:w="1416" w:type="dxa"/>
            <w:shd w:val="clear" w:color="auto" w:fill="auto"/>
            <w:vAlign w:val="center"/>
            <w:hideMark/>
          </w:tcPr>
          <w:p w14:paraId="66851C28"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 </w:t>
            </w:r>
          </w:p>
        </w:tc>
      </w:tr>
      <w:tr w:rsidR="00926804" w:rsidRPr="00926804" w14:paraId="2D6FFCCF" w14:textId="77777777" w:rsidTr="00926804">
        <w:trPr>
          <w:trHeight w:val="20"/>
          <w:jc w:val="center"/>
        </w:trPr>
        <w:tc>
          <w:tcPr>
            <w:tcW w:w="5540" w:type="dxa"/>
            <w:shd w:val="clear" w:color="auto" w:fill="auto"/>
            <w:vAlign w:val="center"/>
            <w:hideMark/>
          </w:tcPr>
          <w:p w14:paraId="7C84B6CE"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Sistema para el Desarrollo Integral de la Familia del Estado de Colima.</w:t>
            </w:r>
          </w:p>
        </w:tc>
        <w:tc>
          <w:tcPr>
            <w:tcW w:w="495" w:type="dxa"/>
            <w:shd w:val="clear" w:color="auto" w:fill="auto"/>
            <w:vAlign w:val="center"/>
            <w:hideMark/>
          </w:tcPr>
          <w:p w14:paraId="0A65E6B7"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0250A0EC"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6A3A382D"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31</w:t>
            </w:r>
          </w:p>
        </w:tc>
        <w:tc>
          <w:tcPr>
            <w:tcW w:w="426" w:type="dxa"/>
            <w:shd w:val="clear" w:color="auto" w:fill="auto"/>
            <w:vAlign w:val="center"/>
            <w:hideMark/>
          </w:tcPr>
          <w:p w14:paraId="568A0A43"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08B89D1C"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425,523,218</w:t>
            </w:r>
          </w:p>
        </w:tc>
      </w:tr>
      <w:tr w:rsidR="00926804" w:rsidRPr="00926804" w14:paraId="011D525C" w14:textId="77777777" w:rsidTr="00926804">
        <w:trPr>
          <w:trHeight w:val="20"/>
          <w:jc w:val="center"/>
        </w:trPr>
        <w:tc>
          <w:tcPr>
            <w:tcW w:w="5540" w:type="dxa"/>
            <w:shd w:val="clear" w:color="auto" w:fill="auto"/>
            <w:vAlign w:val="center"/>
            <w:hideMark/>
          </w:tcPr>
          <w:p w14:paraId="5BBDA88B"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Instituto Colimense del Deporte.</w:t>
            </w:r>
          </w:p>
        </w:tc>
        <w:tc>
          <w:tcPr>
            <w:tcW w:w="495" w:type="dxa"/>
            <w:shd w:val="clear" w:color="auto" w:fill="auto"/>
            <w:vAlign w:val="center"/>
            <w:hideMark/>
          </w:tcPr>
          <w:p w14:paraId="15F7CB2B"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5E39EEF6"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6F913200"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18</w:t>
            </w:r>
          </w:p>
        </w:tc>
        <w:tc>
          <w:tcPr>
            <w:tcW w:w="426" w:type="dxa"/>
            <w:shd w:val="clear" w:color="auto" w:fill="auto"/>
            <w:vAlign w:val="center"/>
            <w:hideMark/>
          </w:tcPr>
          <w:p w14:paraId="303813A6"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7256A5A3"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78,037,815</w:t>
            </w:r>
          </w:p>
        </w:tc>
      </w:tr>
      <w:tr w:rsidR="00926804" w:rsidRPr="00926804" w14:paraId="3D7D8F00" w14:textId="77777777" w:rsidTr="00926804">
        <w:trPr>
          <w:trHeight w:val="20"/>
          <w:jc w:val="center"/>
        </w:trPr>
        <w:tc>
          <w:tcPr>
            <w:tcW w:w="5540" w:type="dxa"/>
            <w:shd w:val="clear" w:color="auto" w:fill="auto"/>
            <w:vAlign w:val="center"/>
            <w:hideMark/>
          </w:tcPr>
          <w:p w14:paraId="132AD53C"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Consejo de Participación Social del Estado de Colima.</w:t>
            </w:r>
          </w:p>
        </w:tc>
        <w:tc>
          <w:tcPr>
            <w:tcW w:w="495" w:type="dxa"/>
            <w:shd w:val="clear" w:color="auto" w:fill="auto"/>
            <w:vAlign w:val="center"/>
            <w:hideMark/>
          </w:tcPr>
          <w:p w14:paraId="6D431A4A"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42546B44"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3BA3D636"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7</w:t>
            </w:r>
          </w:p>
        </w:tc>
        <w:tc>
          <w:tcPr>
            <w:tcW w:w="426" w:type="dxa"/>
            <w:shd w:val="clear" w:color="auto" w:fill="auto"/>
            <w:vAlign w:val="center"/>
            <w:hideMark/>
          </w:tcPr>
          <w:p w14:paraId="175DAC89"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7FB0D237"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500,000</w:t>
            </w:r>
          </w:p>
        </w:tc>
      </w:tr>
      <w:tr w:rsidR="00926804" w:rsidRPr="00926804" w14:paraId="4D611B6E" w14:textId="77777777" w:rsidTr="00926804">
        <w:trPr>
          <w:trHeight w:val="20"/>
          <w:jc w:val="center"/>
        </w:trPr>
        <w:tc>
          <w:tcPr>
            <w:tcW w:w="5540" w:type="dxa"/>
            <w:shd w:val="clear" w:color="auto" w:fill="auto"/>
            <w:vAlign w:val="center"/>
            <w:hideMark/>
          </w:tcPr>
          <w:p w14:paraId="040D9092"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Instituto para la Atención de los Adultos Mayores.</w:t>
            </w:r>
          </w:p>
        </w:tc>
        <w:tc>
          <w:tcPr>
            <w:tcW w:w="495" w:type="dxa"/>
            <w:shd w:val="clear" w:color="auto" w:fill="auto"/>
            <w:vAlign w:val="center"/>
            <w:hideMark/>
          </w:tcPr>
          <w:p w14:paraId="176FF2C1"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3CC0950E"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432303BE"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10</w:t>
            </w:r>
          </w:p>
        </w:tc>
        <w:tc>
          <w:tcPr>
            <w:tcW w:w="426" w:type="dxa"/>
            <w:shd w:val="clear" w:color="auto" w:fill="auto"/>
            <w:vAlign w:val="center"/>
            <w:hideMark/>
          </w:tcPr>
          <w:p w14:paraId="315358B5"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657ED292"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7,261,237</w:t>
            </w:r>
          </w:p>
        </w:tc>
      </w:tr>
      <w:tr w:rsidR="00926804" w:rsidRPr="00926804" w14:paraId="0A9FDF14" w14:textId="77777777" w:rsidTr="00926804">
        <w:trPr>
          <w:trHeight w:val="20"/>
          <w:jc w:val="center"/>
        </w:trPr>
        <w:tc>
          <w:tcPr>
            <w:tcW w:w="5540" w:type="dxa"/>
            <w:shd w:val="clear" w:color="auto" w:fill="auto"/>
            <w:vAlign w:val="center"/>
            <w:hideMark/>
          </w:tcPr>
          <w:p w14:paraId="6944FF9F"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Instituto Colimense de Infraestructura Física Educativa.</w:t>
            </w:r>
          </w:p>
        </w:tc>
        <w:tc>
          <w:tcPr>
            <w:tcW w:w="495" w:type="dxa"/>
            <w:shd w:val="clear" w:color="auto" w:fill="auto"/>
            <w:vAlign w:val="center"/>
            <w:hideMark/>
          </w:tcPr>
          <w:p w14:paraId="170F6908"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453D0B75"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51ED6025"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23</w:t>
            </w:r>
          </w:p>
        </w:tc>
        <w:tc>
          <w:tcPr>
            <w:tcW w:w="426" w:type="dxa"/>
            <w:shd w:val="clear" w:color="auto" w:fill="auto"/>
            <w:vAlign w:val="center"/>
            <w:hideMark/>
          </w:tcPr>
          <w:p w14:paraId="1A8E40B6"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5E5554B7"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16,622,031</w:t>
            </w:r>
          </w:p>
        </w:tc>
      </w:tr>
      <w:tr w:rsidR="00926804" w:rsidRPr="00926804" w14:paraId="1044D7FF" w14:textId="77777777" w:rsidTr="00926804">
        <w:trPr>
          <w:trHeight w:val="20"/>
          <w:jc w:val="center"/>
        </w:trPr>
        <w:tc>
          <w:tcPr>
            <w:tcW w:w="5540" w:type="dxa"/>
            <w:shd w:val="clear" w:color="auto" w:fill="auto"/>
            <w:vAlign w:val="center"/>
            <w:hideMark/>
          </w:tcPr>
          <w:p w14:paraId="050784F9"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Junta de Asistencia Privada.</w:t>
            </w:r>
          </w:p>
        </w:tc>
        <w:tc>
          <w:tcPr>
            <w:tcW w:w="495" w:type="dxa"/>
            <w:shd w:val="clear" w:color="auto" w:fill="auto"/>
            <w:vAlign w:val="center"/>
            <w:hideMark/>
          </w:tcPr>
          <w:p w14:paraId="0C85075F"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667882DA"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3840E001"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4</w:t>
            </w:r>
          </w:p>
        </w:tc>
        <w:tc>
          <w:tcPr>
            <w:tcW w:w="426" w:type="dxa"/>
            <w:shd w:val="clear" w:color="auto" w:fill="auto"/>
            <w:vAlign w:val="center"/>
            <w:hideMark/>
          </w:tcPr>
          <w:p w14:paraId="2BDE550A"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0B712FD6"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2,567,344</w:t>
            </w:r>
          </w:p>
        </w:tc>
      </w:tr>
      <w:tr w:rsidR="00926804" w:rsidRPr="00926804" w14:paraId="6A274E3F" w14:textId="77777777" w:rsidTr="00926804">
        <w:trPr>
          <w:trHeight w:val="20"/>
          <w:jc w:val="center"/>
        </w:trPr>
        <w:tc>
          <w:tcPr>
            <w:tcW w:w="5540" w:type="dxa"/>
            <w:shd w:val="clear" w:color="auto" w:fill="auto"/>
            <w:vAlign w:val="center"/>
            <w:hideMark/>
          </w:tcPr>
          <w:p w14:paraId="0E786B2D"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Universidad Tecnológica de Manzanillo.</w:t>
            </w:r>
          </w:p>
        </w:tc>
        <w:tc>
          <w:tcPr>
            <w:tcW w:w="495" w:type="dxa"/>
            <w:shd w:val="clear" w:color="auto" w:fill="auto"/>
            <w:vAlign w:val="center"/>
            <w:hideMark/>
          </w:tcPr>
          <w:p w14:paraId="3CB44416"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6AA4D64F"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50BE7821"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43</w:t>
            </w:r>
          </w:p>
        </w:tc>
        <w:tc>
          <w:tcPr>
            <w:tcW w:w="426" w:type="dxa"/>
            <w:shd w:val="clear" w:color="auto" w:fill="auto"/>
            <w:vAlign w:val="center"/>
            <w:hideMark/>
          </w:tcPr>
          <w:p w14:paraId="36136540"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21202B3C"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61,891,538</w:t>
            </w:r>
          </w:p>
        </w:tc>
      </w:tr>
      <w:tr w:rsidR="00926804" w:rsidRPr="00926804" w14:paraId="2329CB5D" w14:textId="77777777" w:rsidTr="00926804">
        <w:trPr>
          <w:trHeight w:val="20"/>
          <w:jc w:val="center"/>
        </w:trPr>
        <w:tc>
          <w:tcPr>
            <w:tcW w:w="5540" w:type="dxa"/>
            <w:shd w:val="clear" w:color="auto" w:fill="auto"/>
            <w:vAlign w:val="center"/>
            <w:hideMark/>
          </w:tcPr>
          <w:p w14:paraId="55C316C9"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Instituto Colimense de Radio y Televisión.</w:t>
            </w:r>
          </w:p>
        </w:tc>
        <w:tc>
          <w:tcPr>
            <w:tcW w:w="495" w:type="dxa"/>
            <w:shd w:val="clear" w:color="auto" w:fill="auto"/>
            <w:vAlign w:val="center"/>
            <w:hideMark/>
          </w:tcPr>
          <w:p w14:paraId="384E077F"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24825659"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37376B8D"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6</w:t>
            </w:r>
          </w:p>
        </w:tc>
        <w:tc>
          <w:tcPr>
            <w:tcW w:w="426" w:type="dxa"/>
            <w:shd w:val="clear" w:color="auto" w:fill="auto"/>
            <w:vAlign w:val="center"/>
            <w:hideMark/>
          </w:tcPr>
          <w:p w14:paraId="6425C42E"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17E40F40"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31,534,282</w:t>
            </w:r>
          </w:p>
        </w:tc>
      </w:tr>
      <w:tr w:rsidR="00926804" w:rsidRPr="00926804" w14:paraId="1115659C" w14:textId="77777777" w:rsidTr="00926804">
        <w:trPr>
          <w:trHeight w:val="20"/>
          <w:jc w:val="center"/>
        </w:trPr>
        <w:tc>
          <w:tcPr>
            <w:tcW w:w="5540" w:type="dxa"/>
            <w:shd w:val="clear" w:color="auto" w:fill="auto"/>
            <w:vAlign w:val="center"/>
            <w:hideMark/>
          </w:tcPr>
          <w:p w14:paraId="58821E03"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Centro de Conciliación Laboral del Estado de Colima.</w:t>
            </w:r>
          </w:p>
        </w:tc>
        <w:tc>
          <w:tcPr>
            <w:tcW w:w="495" w:type="dxa"/>
            <w:shd w:val="clear" w:color="auto" w:fill="auto"/>
            <w:vAlign w:val="center"/>
            <w:hideMark/>
          </w:tcPr>
          <w:p w14:paraId="12C64524"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5B5726B5"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3974C32C"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4</w:t>
            </w:r>
          </w:p>
        </w:tc>
        <w:tc>
          <w:tcPr>
            <w:tcW w:w="426" w:type="dxa"/>
            <w:shd w:val="clear" w:color="auto" w:fill="auto"/>
            <w:vAlign w:val="center"/>
            <w:hideMark/>
          </w:tcPr>
          <w:p w14:paraId="4F704B85"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220E13AC"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10,400,000</w:t>
            </w:r>
          </w:p>
        </w:tc>
      </w:tr>
      <w:tr w:rsidR="00926804" w:rsidRPr="00926804" w14:paraId="52FEA366" w14:textId="77777777" w:rsidTr="00926804">
        <w:trPr>
          <w:trHeight w:val="20"/>
          <w:jc w:val="center"/>
        </w:trPr>
        <w:tc>
          <w:tcPr>
            <w:tcW w:w="5540" w:type="dxa"/>
            <w:shd w:val="clear" w:color="auto" w:fill="auto"/>
            <w:vAlign w:val="center"/>
            <w:hideMark/>
          </w:tcPr>
          <w:p w14:paraId="62CAF13E"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Consejo Estatal para la Prevención y Atención a la Violencia Familiar.</w:t>
            </w:r>
          </w:p>
        </w:tc>
        <w:tc>
          <w:tcPr>
            <w:tcW w:w="495" w:type="dxa"/>
            <w:shd w:val="clear" w:color="auto" w:fill="auto"/>
            <w:vAlign w:val="center"/>
            <w:hideMark/>
          </w:tcPr>
          <w:p w14:paraId="1E95BD0E"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71827A48"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3599FED6"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8</w:t>
            </w:r>
          </w:p>
        </w:tc>
        <w:tc>
          <w:tcPr>
            <w:tcW w:w="426" w:type="dxa"/>
            <w:shd w:val="clear" w:color="auto" w:fill="auto"/>
            <w:vAlign w:val="center"/>
            <w:hideMark/>
          </w:tcPr>
          <w:p w14:paraId="6FD23A1F"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6F0CA40E"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5,435,868</w:t>
            </w:r>
          </w:p>
        </w:tc>
      </w:tr>
      <w:tr w:rsidR="00926804" w:rsidRPr="00926804" w14:paraId="72551F50" w14:textId="77777777" w:rsidTr="00926804">
        <w:trPr>
          <w:trHeight w:val="20"/>
          <w:jc w:val="center"/>
        </w:trPr>
        <w:tc>
          <w:tcPr>
            <w:tcW w:w="5540" w:type="dxa"/>
            <w:shd w:val="clear" w:color="auto" w:fill="auto"/>
            <w:vAlign w:val="center"/>
            <w:hideMark/>
          </w:tcPr>
          <w:p w14:paraId="65A48447"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Instituto Colimense para la Discapacidad.</w:t>
            </w:r>
          </w:p>
        </w:tc>
        <w:tc>
          <w:tcPr>
            <w:tcW w:w="495" w:type="dxa"/>
            <w:shd w:val="clear" w:color="auto" w:fill="auto"/>
            <w:vAlign w:val="center"/>
            <w:hideMark/>
          </w:tcPr>
          <w:p w14:paraId="73737D2B"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3095D19C"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7E97123A"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15</w:t>
            </w:r>
          </w:p>
        </w:tc>
        <w:tc>
          <w:tcPr>
            <w:tcW w:w="426" w:type="dxa"/>
            <w:shd w:val="clear" w:color="auto" w:fill="auto"/>
            <w:vAlign w:val="center"/>
            <w:hideMark/>
          </w:tcPr>
          <w:p w14:paraId="04A342FF"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064DD0EF"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4,767,228</w:t>
            </w:r>
          </w:p>
        </w:tc>
      </w:tr>
      <w:tr w:rsidR="00926804" w:rsidRPr="00926804" w14:paraId="78DF3548" w14:textId="77777777" w:rsidTr="00926804">
        <w:trPr>
          <w:trHeight w:val="20"/>
          <w:jc w:val="center"/>
        </w:trPr>
        <w:tc>
          <w:tcPr>
            <w:tcW w:w="5540" w:type="dxa"/>
            <w:shd w:val="clear" w:color="auto" w:fill="auto"/>
            <w:vAlign w:val="center"/>
            <w:hideMark/>
          </w:tcPr>
          <w:p w14:paraId="63802455"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Comisión Estatal del Agua de Colima.</w:t>
            </w:r>
          </w:p>
        </w:tc>
        <w:tc>
          <w:tcPr>
            <w:tcW w:w="495" w:type="dxa"/>
            <w:shd w:val="clear" w:color="auto" w:fill="auto"/>
            <w:vAlign w:val="center"/>
            <w:hideMark/>
          </w:tcPr>
          <w:p w14:paraId="45FEB6C8"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57B6F1B1"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206307BE"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20</w:t>
            </w:r>
          </w:p>
        </w:tc>
        <w:tc>
          <w:tcPr>
            <w:tcW w:w="426" w:type="dxa"/>
            <w:shd w:val="clear" w:color="auto" w:fill="auto"/>
            <w:vAlign w:val="center"/>
            <w:hideMark/>
          </w:tcPr>
          <w:p w14:paraId="122CC1D8"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5A152953"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24,042,814</w:t>
            </w:r>
          </w:p>
        </w:tc>
      </w:tr>
      <w:tr w:rsidR="00926804" w:rsidRPr="00926804" w14:paraId="4F00897E" w14:textId="77777777" w:rsidTr="00926804">
        <w:trPr>
          <w:trHeight w:val="20"/>
          <w:jc w:val="center"/>
        </w:trPr>
        <w:tc>
          <w:tcPr>
            <w:tcW w:w="5540" w:type="dxa"/>
            <w:shd w:val="clear" w:color="auto" w:fill="auto"/>
            <w:vAlign w:val="center"/>
            <w:hideMark/>
          </w:tcPr>
          <w:p w14:paraId="375EB745"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Instituto Colimense de las Mujeres.</w:t>
            </w:r>
          </w:p>
        </w:tc>
        <w:tc>
          <w:tcPr>
            <w:tcW w:w="495" w:type="dxa"/>
            <w:shd w:val="clear" w:color="auto" w:fill="auto"/>
            <w:vAlign w:val="center"/>
            <w:hideMark/>
          </w:tcPr>
          <w:p w14:paraId="47A9A756"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52855CD7"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614792B3"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12</w:t>
            </w:r>
          </w:p>
        </w:tc>
        <w:tc>
          <w:tcPr>
            <w:tcW w:w="426" w:type="dxa"/>
            <w:shd w:val="clear" w:color="auto" w:fill="auto"/>
            <w:vAlign w:val="center"/>
            <w:hideMark/>
          </w:tcPr>
          <w:p w14:paraId="11D3BAC4"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02B0AD99"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45,449,170</w:t>
            </w:r>
          </w:p>
        </w:tc>
      </w:tr>
      <w:tr w:rsidR="00926804" w:rsidRPr="00926804" w14:paraId="792E89A0" w14:textId="77777777" w:rsidTr="00926804">
        <w:trPr>
          <w:trHeight w:val="20"/>
          <w:jc w:val="center"/>
        </w:trPr>
        <w:tc>
          <w:tcPr>
            <w:tcW w:w="5540" w:type="dxa"/>
            <w:shd w:val="clear" w:color="auto" w:fill="auto"/>
            <w:vAlign w:val="center"/>
            <w:hideMark/>
          </w:tcPr>
          <w:p w14:paraId="502BC221"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Colegio de Educación Profesional Técnica del Estado de Colima.</w:t>
            </w:r>
          </w:p>
        </w:tc>
        <w:tc>
          <w:tcPr>
            <w:tcW w:w="495" w:type="dxa"/>
            <w:shd w:val="clear" w:color="auto" w:fill="auto"/>
            <w:vAlign w:val="center"/>
            <w:hideMark/>
          </w:tcPr>
          <w:p w14:paraId="39C357F6"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16124865"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566FFDDE"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9</w:t>
            </w:r>
          </w:p>
        </w:tc>
        <w:tc>
          <w:tcPr>
            <w:tcW w:w="426" w:type="dxa"/>
            <w:shd w:val="clear" w:color="auto" w:fill="auto"/>
            <w:vAlign w:val="center"/>
            <w:hideMark/>
          </w:tcPr>
          <w:p w14:paraId="216B09D0"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22643413"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2,237,398</w:t>
            </w:r>
          </w:p>
        </w:tc>
      </w:tr>
      <w:tr w:rsidR="00926804" w:rsidRPr="00926804" w14:paraId="3475DBBB" w14:textId="77777777" w:rsidTr="00926804">
        <w:trPr>
          <w:trHeight w:val="20"/>
          <w:jc w:val="center"/>
        </w:trPr>
        <w:tc>
          <w:tcPr>
            <w:tcW w:w="5540" w:type="dxa"/>
            <w:shd w:val="clear" w:color="auto" w:fill="auto"/>
            <w:vAlign w:val="center"/>
            <w:hideMark/>
          </w:tcPr>
          <w:p w14:paraId="2C52CB44"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Instituto Colimense para la Sociedad de la Información y el Conocimiento.</w:t>
            </w:r>
          </w:p>
        </w:tc>
        <w:tc>
          <w:tcPr>
            <w:tcW w:w="495" w:type="dxa"/>
            <w:shd w:val="clear" w:color="auto" w:fill="auto"/>
            <w:vAlign w:val="center"/>
            <w:hideMark/>
          </w:tcPr>
          <w:p w14:paraId="7F4CA9B2"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3B170222"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7CB99E8D"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13</w:t>
            </w:r>
          </w:p>
        </w:tc>
        <w:tc>
          <w:tcPr>
            <w:tcW w:w="426" w:type="dxa"/>
            <w:shd w:val="clear" w:color="auto" w:fill="auto"/>
            <w:vAlign w:val="center"/>
            <w:hideMark/>
          </w:tcPr>
          <w:p w14:paraId="78047D02"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5F3CA43F"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7,280,218</w:t>
            </w:r>
          </w:p>
        </w:tc>
      </w:tr>
      <w:tr w:rsidR="00926804" w:rsidRPr="00926804" w14:paraId="62CBB344" w14:textId="77777777" w:rsidTr="00926804">
        <w:trPr>
          <w:trHeight w:val="20"/>
          <w:jc w:val="center"/>
        </w:trPr>
        <w:tc>
          <w:tcPr>
            <w:tcW w:w="5540" w:type="dxa"/>
            <w:shd w:val="clear" w:color="auto" w:fill="auto"/>
            <w:vAlign w:val="center"/>
            <w:hideMark/>
          </w:tcPr>
          <w:p w14:paraId="1F95334A"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Instituto para el Medio de Ambiente y Desarrollo Sustentable.</w:t>
            </w:r>
          </w:p>
        </w:tc>
        <w:tc>
          <w:tcPr>
            <w:tcW w:w="495" w:type="dxa"/>
            <w:shd w:val="clear" w:color="auto" w:fill="auto"/>
            <w:vAlign w:val="center"/>
            <w:hideMark/>
          </w:tcPr>
          <w:p w14:paraId="39DD5D1F"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7C4A53C9"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4A7D4AF1"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34</w:t>
            </w:r>
          </w:p>
        </w:tc>
        <w:tc>
          <w:tcPr>
            <w:tcW w:w="426" w:type="dxa"/>
            <w:shd w:val="clear" w:color="auto" w:fill="auto"/>
            <w:vAlign w:val="center"/>
            <w:hideMark/>
          </w:tcPr>
          <w:p w14:paraId="43B0E262"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73E9937A"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58,456,372</w:t>
            </w:r>
          </w:p>
        </w:tc>
      </w:tr>
      <w:tr w:rsidR="00926804" w:rsidRPr="00926804" w14:paraId="3FA066EB" w14:textId="77777777" w:rsidTr="00926804">
        <w:trPr>
          <w:trHeight w:val="20"/>
          <w:jc w:val="center"/>
        </w:trPr>
        <w:tc>
          <w:tcPr>
            <w:tcW w:w="5540" w:type="dxa"/>
            <w:shd w:val="clear" w:color="auto" w:fill="auto"/>
            <w:vAlign w:val="center"/>
            <w:hideMark/>
          </w:tcPr>
          <w:p w14:paraId="6514D97D"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Instituto para el Registro del Territorio del Estado de Colima.</w:t>
            </w:r>
          </w:p>
        </w:tc>
        <w:tc>
          <w:tcPr>
            <w:tcW w:w="495" w:type="dxa"/>
            <w:shd w:val="clear" w:color="auto" w:fill="auto"/>
            <w:vAlign w:val="center"/>
            <w:hideMark/>
          </w:tcPr>
          <w:p w14:paraId="6BE86D3E"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4EB3E5C0"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6681C4E6"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10</w:t>
            </w:r>
          </w:p>
        </w:tc>
        <w:tc>
          <w:tcPr>
            <w:tcW w:w="426" w:type="dxa"/>
            <w:shd w:val="clear" w:color="auto" w:fill="auto"/>
            <w:vAlign w:val="center"/>
            <w:hideMark/>
          </w:tcPr>
          <w:p w14:paraId="1B6B96B4"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0981477E"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43,635,950</w:t>
            </w:r>
          </w:p>
        </w:tc>
      </w:tr>
      <w:tr w:rsidR="00926804" w:rsidRPr="00926804" w14:paraId="71A930C1" w14:textId="77777777" w:rsidTr="00926804">
        <w:trPr>
          <w:trHeight w:val="20"/>
          <w:jc w:val="center"/>
        </w:trPr>
        <w:tc>
          <w:tcPr>
            <w:tcW w:w="5540" w:type="dxa"/>
            <w:shd w:val="clear" w:color="auto" w:fill="auto"/>
            <w:vAlign w:val="center"/>
            <w:hideMark/>
          </w:tcPr>
          <w:p w14:paraId="180A2F65"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Colegio de Educación Profesional Técnica (Tecomán).</w:t>
            </w:r>
          </w:p>
        </w:tc>
        <w:tc>
          <w:tcPr>
            <w:tcW w:w="495" w:type="dxa"/>
            <w:shd w:val="clear" w:color="auto" w:fill="auto"/>
            <w:vAlign w:val="center"/>
            <w:hideMark/>
          </w:tcPr>
          <w:p w14:paraId="59C8FEE5"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0EE782CB"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629152ED"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9</w:t>
            </w:r>
          </w:p>
        </w:tc>
        <w:tc>
          <w:tcPr>
            <w:tcW w:w="426" w:type="dxa"/>
            <w:shd w:val="clear" w:color="auto" w:fill="auto"/>
            <w:vAlign w:val="center"/>
            <w:hideMark/>
          </w:tcPr>
          <w:p w14:paraId="7C273C3D"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083EF0D1"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4,001,920</w:t>
            </w:r>
          </w:p>
        </w:tc>
      </w:tr>
      <w:tr w:rsidR="00926804" w:rsidRPr="00926804" w14:paraId="32FC4AE9" w14:textId="77777777" w:rsidTr="00926804">
        <w:trPr>
          <w:trHeight w:val="20"/>
          <w:jc w:val="center"/>
        </w:trPr>
        <w:tc>
          <w:tcPr>
            <w:tcW w:w="5540" w:type="dxa"/>
            <w:shd w:val="clear" w:color="auto" w:fill="auto"/>
            <w:vAlign w:val="center"/>
            <w:hideMark/>
          </w:tcPr>
          <w:p w14:paraId="25E7E087"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Secretaría Ejecutiva del Sistema Anticorrupción del Estado de Colima.</w:t>
            </w:r>
          </w:p>
        </w:tc>
        <w:tc>
          <w:tcPr>
            <w:tcW w:w="495" w:type="dxa"/>
            <w:shd w:val="clear" w:color="auto" w:fill="auto"/>
            <w:vAlign w:val="center"/>
            <w:hideMark/>
          </w:tcPr>
          <w:p w14:paraId="4B9D520B"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6D6146E9"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47EA4D75"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11</w:t>
            </w:r>
          </w:p>
        </w:tc>
        <w:tc>
          <w:tcPr>
            <w:tcW w:w="426" w:type="dxa"/>
            <w:shd w:val="clear" w:color="auto" w:fill="auto"/>
            <w:vAlign w:val="center"/>
            <w:hideMark/>
          </w:tcPr>
          <w:p w14:paraId="02AA623E"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5D8784BE"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5,171,500</w:t>
            </w:r>
          </w:p>
        </w:tc>
      </w:tr>
      <w:tr w:rsidR="00926804" w:rsidRPr="00926804" w14:paraId="67B7A5E3" w14:textId="77777777" w:rsidTr="00926804">
        <w:trPr>
          <w:trHeight w:val="20"/>
          <w:jc w:val="center"/>
        </w:trPr>
        <w:tc>
          <w:tcPr>
            <w:tcW w:w="5540" w:type="dxa"/>
            <w:shd w:val="clear" w:color="auto" w:fill="auto"/>
            <w:vAlign w:val="center"/>
            <w:hideMark/>
          </w:tcPr>
          <w:p w14:paraId="146927CA"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Órgano de Gestión y Control del Patrimonio Inmobiliario del Estado de Colima.</w:t>
            </w:r>
          </w:p>
        </w:tc>
        <w:tc>
          <w:tcPr>
            <w:tcW w:w="495" w:type="dxa"/>
            <w:shd w:val="clear" w:color="auto" w:fill="auto"/>
            <w:vAlign w:val="center"/>
            <w:hideMark/>
          </w:tcPr>
          <w:p w14:paraId="21282D4D"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1D5EB04D"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549E3ED5"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7</w:t>
            </w:r>
          </w:p>
        </w:tc>
        <w:tc>
          <w:tcPr>
            <w:tcW w:w="426" w:type="dxa"/>
            <w:shd w:val="clear" w:color="auto" w:fill="auto"/>
            <w:vAlign w:val="center"/>
            <w:hideMark/>
          </w:tcPr>
          <w:p w14:paraId="55DD4872"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253119CD"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1,000,000</w:t>
            </w:r>
          </w:p>
        </w:tc>
      </w:tr>
      <w:tr w:rsidR="00926804" w:rsidRPr="00926804" w14:paraId="29A16F94" w14:textId="77777777" w:rsidTr="00926804">
        <w:trPr>
          <w:trHeight w:val="20"/>
          <w:jc w:val="center"/>
        </w:trPr>
        <w:tc>
          <w:tcPr>
            <w:tcW w:w="5540" w:type="dxa"/>
            <w:shd w:val="clear" w:color="auto" w:fill="auto"/>
            <w:vAlign w:val="center"/>
            <w:hideMark/>
          </w:tcPr>
          <w:p w14:paraId="11031EC4"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Universidad de Colima.</w:t>
            </w:r>
          </w:p>
        </w:tc>
        <w:tc>
          <w:tcPr>
            <w:tcW w:w="495" w:type="dxa"/>
            <w:shd w:val="clear" w:color="auto" w:fill="auto"/>
            <w:vAlign w:val="center"/>
            <w:hideMark/>
          </w:tcPr>
          <w:p w14:paraId="3FC00C4F"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45A51B00"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6A09A2D8"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40</w:t>
            </w:r>
          </w:p>
        </w:tc>
        <w:tc>
          <w:tcPr>
            <w:tcW w:w="426" w:type="dxa"/>
            <w:shd w:val="clear" w:color="auto" w:fill="auto"/>
            <w:vAlign w:val="center"/>
            <w:hideMark/>
          </w:tcPr>
          <w:p w14:paraId="0EB91C20"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6E78C16D"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2,580,108,525</w:t>
            </w:r>
          </w:p>
        </w:tc>
      </w:tr>
      <w:tr w:rsidR="00926804" w:rsidRPr="00926804" w14:paraId="6861BFEF" w14:textId="77777777" w:rsidTr="00926804">
        <w:trPr>
          <w:trHeight w:val="20"/>
          <w:jc w:val="center"/>
        </w:trPr>
        <w:tc>
          <w:tcPr>
            <w:tcW w:w="5540" w:type="dxa"/>
            <w:shd w:val="clear" w:color="auto" w:fill="auto"/>
            <w:vAlign w:val="center"/>
            <w:hideMark/>
          </w:tcPr>
          <w:p w14:paraId="59783F88"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Procuraduría de Protección de Niñas, Niños y Adolescentes del Estado de Colima.</w:t>
            </w:r>
          </w:p>
        </w:tc>
        <w:tc>
          <w:tcPr>
            <w:tcW w:w="495" w:type="dxa"/>
            <w:shd w:val="clear" w:color="auto" w:fill="auto"/>
            <w:vAlign w:val="center"/>
            <w:hideMark/>
          </w:tcPr>
          <w:p w14:paraId="752A28E2"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6D6F5631"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634A8BD0"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19</w:t>
            </w:r>
          </w:p>
        </w:tc>
        <w:tc>
          <w:tcPr>
            <w:tcW w:w="426" w:type="dxa"/>
            <w:shd w:val="clear" w:color="auto" w:fill="auto"/>
            <w:vAlign w:val="center"/>
            <w:hideMark/>
          </w:tcPr>
          <w:p w14:paraId="3DE287B3"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367CAF66"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13,676,265</w:t>
            </w:r>
          </w:p>
        </w:tc>
      </w:tr>
      <w:tr w:rsidR="00926804" w:rsidRPr="00926804" w14:paraId="3D378A39" w14:textId="77777777" w:rsidTr="00926804">
        <w:trPr>
          <w:trHeight w:val="20"/>
          <w:jc w:val="center"/>
        </w:trPr>
        <w:tc>
          <w:tcPr>
            <w:tcW w:w="5540" w:type="dxa"/>
            <w:shd w:val="clear" w:color="auto" w:fill="auto"/>
            <w:vAlign w:val="center"/>
            <w:hideMark/>
          </w:tcPr>
          <w:p w14:paraId="558CDC06"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Universidad Intercultural de Colima.</w:t>
            </w:r>
          </w:p>
        </w:tc>
        <w:tc>
          <w:tcPr>
            <w:tcW w:w="495" w:type="dxa"/>
            <w:shd w:val="clear" w:color="auto" w:fill="auto"/>
            <w:vAlign w:val="center"/>
            <w:hideMark/>
          </w:tcPr>
          <w:p w14:paraId="17E1AC3F"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4799AD1A"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6D928B78"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24</w:t>
            </w:r>
          </w:p>
        </w:tc>
        <w:tc>
          <w:tcPr>
            <w:tcW w:w="426" w:type="dxa"/>
            <w:shd w:val="clear" w:color="auto" w:fill="auto"/>
            <w:vAlign w:val="center"/>
            <w:hideMark/>
          </w:tcPr>
          <w:p w14:paraId="29FD704F"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7ACA47F5"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18,320,400</w:t>
            </w:r>
          </w:p>
        </w:tc>
      </w:tr>
      <w:tr w:rsidR="00926804" w:rsidRPr="00926804" w14:paraId="3830C5F9" w14:textId="77777777" w:rsidTr="00926804">
        <w:trPr>
          <w:trHeight w:val="20"/>
          <w:jc w:val="center"/>
        </w:trPr>
        <w:tc>
          <w:tcPr>
            <w:tcW w:w="5540" w:type="dxa"/>
            <w:shd w:val="clear" w:color="auto" w:fill="auto"/>
            <w:vAlign w:val="center"/>
            <w:hideMark/>
          </w:tcPr>
          <w:p w14:paraId="2789EB88"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Instituto Estatal de Educación para Adultos.</w:t>
            </w:r>
          </w:p>
        </w:tc>
        <w:tc>
          <w:tcPr>
            <w:tcW w:w="495" w:type="dxa"/>
            <w:shd w:val="clear" w:color="auto" w:fill="auto"/>
            <w:vAlign w:val="center"/>
            <w:hideMark/>
          </w:tcPr>
          <w:p w14:paraId="711D881C"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14FB93DC"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126411CD"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7</w:t>
            </w:r>
          </w:p>
        </w:tc>
        <w:tc>
          <w:tcPr>
            <w:tcW w:w="426" w:type="dxa"/>
            <w:shd w:val="clear" w:color="auto" w:fill="auto"/>
            <w:vAlign w:val="center"/>
            <w:hideMark/>
          </w:tcPr>
          <w:p w14:paraId="240BA5C3"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6DE2FDD5"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7,938,289</w:t>
            </w:r>
          </w:p>
        </w:tc>
      </w:tr>
      <w:tr w:rsidR="00926804" w:rsidRPr="00926804" w14:paraId="4A716D51" w14:textId="77777777" w:rsidTr="00926804">
        <w:trPr>
          <w:trHeight w:val="20"/>
          <w:jc w:val="center"/>
        </w:trPr>
        <w:tc>
          <w:tcPr>
            <w:tcW w:w="5540" w:type="dxa"/>
            <w:shd w:val="clear" w:color="auto" w:fill="auto"/>
            <w:vAlign w:val="center"/>
            <w:hideMark/>
          </w:tcPr>
          <w:p w14:paraId="05A5CE30" w14:textId="77777777" w:rsidR="00926804" w:rsidRPr="00926804" w:rsidRDefault="00926804" w:rsidP="005F022B">
            <w:pPr>
              <w:jc w:val="left"/>
              <w:rPr>
                <w:rFonts w:eastAsia="Times New Roman" w:cs="Arial"/>
                <w:color w:val="000000"/>
                <w:sz w:val="18"/>
                <w:szCs w:val="18"/>
              </w:rPr>
            </w:pPr>
            <w:r w:rsidRPr="00926804">
              <w:rPr>
                <w:rFonts w:eastAsia="Times New Roman" w:cs="Arial"/>
                <w:color w:val="000000"/>
                <w:sz w:val="18"/>
                <w:szCs w:val="18"/>
              </w:rPr>
              <w:t>Unidad Estatal de Protección Civil.</w:t>
            </w:r>
          </w:p>
        </w:tc>
        <w:tc>
          <w:tcPr>
            <w:tcW w:w="495" w:type="dxa"/>
            <w:shd w:val="clear" w:color="auto" w:fill="auto"/>
            <w:vAlign w:val="center"/>
            <w:hideMark/>
          </w:tcPr>
          <w:p w14:paraId="44E3B2F9"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470" w:type="dxa"/>
            <w:shd w:val="clear" w:color="auto" w:fill="auto"/>
            <w:vAlign w:val="center"/>
            <w:hideMark/>
          </w:tcPr>
          <w:p w14:paraId="6E55C263"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595" w:type="dxa"/>
            <w:shd w:val="clear" w:color="auto" w:fill="auto"/>
            <w:vAlign w:val="center"/>
            <w:hideMark/>
          </w:tcPr>
          <w:p w14:paraId="6B0F3830"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24</w:t>
            </w:r>
          </w:p>
        </w:tc>
        <w:tc>
          <w:tcPr>
            <w:tcW w:w="426" w:type="dxa"/>
            <w:shd w:val="clear" w:color="auto" w:fill="auto"/>
            <w:vAlign w:val="center"/>
            <w:hideMark/>
          </w:tcPr>
          <w:p w14:paraId="41EB7CC1" w14:textId="77777777" w:rsidR="00926804" w:rsidRPr="00926804" w:rsidRDefault="00926804" w:rsidP="005F022B">
            <w:pPr>
              <w:jc w:val="center"/>
              <w:rPr>
                <w:rFonts w:eastAsia="Times New Roman" w:cs="Arial"/>
                <w:color w:val="000000"/>
                <w:sz w:val="18"/>
                <w:szCs w:val="18"/>
              </w:rPr>
            </w:pPr>
            <w:r w:rsidRPr="00926804">
              <w:rPr>
                <w:rFonts w:eastAsia="Times New Roman" w:cs="Arial"/>
                <w:color w:val="000000"/>
                <w:sz w:val="18"/>
                <w:szCs w:val="18"/>
                <w:lang w:val="es-ES"/>
              </w:rPr>
              <w:t>1</w:t>
            </w:r>
          </w:p>
        </w:tc>
        <w:tc>
          <w:tcPr>
            <w:tcW w:w="1416" w:type="dxa"/>
            <w:shd w:val="clear" w:color="auto" w:fill="auto"/>
            <w:vAlign w:val="center"/>
            <w:hideMark/>
          </w:tcPr>
          <w:p w14:paraId="021DC093" w14:textId="77777777" w:rsidR="00926804" w:rsidRPr="00926804" w:rsidRDefault="00926804" w:rsidP="005F022B">
            <w:pPr>
              <w:jc w:val="right"/>
              <w:rPr>
                <w:rFonts w:eastAsia="Times New Roman" w:cs="Arial"/>
                <w:color w:val="000000"/>
                <w:sz w:val="18"/>
                <w:szCs w:val="18"/>
              </w:rPr>
            </w:pPr>
            <w:r w:rsidRPr="00926804">
              <w:rPr>
                <w:rFonts w:eastAsia="Times New Roman" w:cs="Arial"/>
                <w:color w:val="000000"/>
                <w:sz w:val="18"/>
                <w:szCs w:val="18"/>
              </w:rPr>
              <w:t>25,343,686</w:t>
            </w:r>
          </w:p>
        </w:tc>
      </w:tr>
      <w:tr w:rsidR="00926804" w:rsidRPr="00926804" w14:paraId="17656C4A" w14:textId="77777777" w:rsidTr="00926804">
        <w:trPr>
          <w:trHeight w:val="20"/>
          <w:jc w:val="center"/>
        </w:trPr>
        <w:tc>
          <w:tcPr>
            <w:tcW w:w="5540" w:type="dxa"/>
            <w:shd w:val="clear" w:color="auto" w:fill="auto"/>
            <w:vAlign w:val="center"/>
          </w:tcPr>
          <w:p w14:paraId="7C7B92D1" w14:textId="55F3F4AE"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rPr>
              <w:t>Total</w:t>
            </w:r>
          </w:p>
        </w:tc>
        <w:tc>
          <w:tcPr>
            <w:tcW w:w="495" w:type="dxa"/>
            <w:shd w:val="clear" w:color="auto" w:fill="auto"/>
            <w:vAlign w:val="center"/>
            <w:hideMark/>
          </w:tcPr>
          <w:p w14:paraId="2BBC5D54"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rPr>
              <w:t>61</w:t>
            </w:r>
          </w:p>
        </w:tc>
        <w:tc>
          <w:tcPr>
            <w:tcW w:w="470" w:type="dxa"/>
            <w:shd w:val="clear" w:color="auto" w:fill="auto"/>
            <w:vAlign w:val="center"/>
            <w:hideMark/>
          </w:tcPr>
          <w:p w14:paraId="74552DAA"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rPr>
              <w:t>61</w:t>
            </w:r>
          </w:p>
        </w:tc>
        <w:tc>
          <w:tcPr>
            <w:tcW w:w="595" w:type="dxa"/>
            <w:shd w:val="clear" w:color="auto" w:fill="auto"/>
            <w:vAlign w:val="center"/>
            <w:hideMark/>
          </w:tcPr>
          <w:p w14:paraId="02C5BDE9" w14:textId="4DF27374"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rPr>
              <w:t>1,130</w:t>
            </w:r>
          </w:p>
        </w:tc>
        <w:tc>
          <w:tcPr>
            <w:tcW w:w="426" w:type="dxa"/>
            <w:shd w:val="clear" w:color="auto" w:fill="auto"/>
            <w:vAlign w:val="center"/>
            <w:hideMark/>
          </w:tcPr>
          <w:p w14:paraId="77133D87" w14:textId="77777777" w:rsidR="00926804" w:rsidRPr="00926804" w:rsidRDefault="00926804" w:rsidP="005F022B">
            <w:pPr>
              <w:jc w:val="center"/>
              <w:rPr>
                <w:rFonts w:eastAsia="Times New Roman" w:cs="Arial"/>
                <w:b/>
                <w:bCs/>
                <w:color w:val="000000"/>
                <w:sz w:val="18"/>
                <w:szCs w:val="18"/>
              </w:rPr>
            </w:pPr>
            <w:r w:rsidRPr="00926804">
              <w:rPr>
                <w:rFonts w:eastAsia="Times New Roman" w:cs="Arial"/>
                <w:b/>
                <w:bCs/>
                <w:color w:val="000000"/>
                <w:sz w:val="18"/>
                <w:szCs w:val="18"/>
              </w:rPr>
              <w:t>61</w:t>
            </w:r>
          </w:p>
        </w:tc>
        <w:tc>
          <w:tcPr>
            <w:tcW w:w="1416" w:type="dxa"/>
            <w:shd w:val="clear" w:color="auto" w:fill="auto"/>
            <w:vAlign w:val="center"/>
            <w:hideMark/>
          </w:tcPr>
          <w:p w14:paraId="382C527E" w14:textId="5066DA2C" w:rsidR="00926804" w:rsidRPr="00926804" w:rsidRDefault="00926804" w:rsidP="00926804">
            <w:pPr>
              <w:jc w:val="right"/>
              <w:rPr>
                <w:rFonts w:eastAsia="Times New Roman" w:cs="Arial"/>
                <w:b/>
                <w:bCs/>
                <w:color w:val="000000"/>
                <w:sz w:val="18"/>
                <w:szCs w:val="18"/>
              </w:rPr>
            </w:pPr>
            <w:r w:rsidRPr="00926804">
              <w:rPr>
                <w:rFonts w:cs="Arial"/>
                <w:b/>
                <w:bCs/>
                <w:color w:val="000000"/>
                <w:sz w:val="18"/>
                <w:szCs w:val="18"/>
              </w:rPr>
              <w:t>16,868,856,185</w:t>
            </w:r>
          </w:p>
        </w:tc>
      </w:tr>
    </w:tbl>
    <w:p w14:paraId="3AC4F28E" w14:textId="7412F226" w:rsidR="00BF5974" w:rsidRDefault="00BF5974" w:rsidP="00BF5974">
      <w:pPr>
        <w:ind w:left="142" w:right="191"/>
        <w:rPr>
          <w:rFonts w:cs="Arial"/>
          <w:sz w:val="16"/>
          <w:lang w:val="es-ES"/>
        </w:rPr>
      </w:pPr>
      <w:r>
        <w:rPr>
          <w:rFonts w:cs="Arial"/>
          <w:b/>
          <w:sz w:val="16"/>
          <w:lang w:val="es-ES"/>
        </w:rPr>
        <w:t>Siglas</w:t>
      </w:r>
      <w:r>
        <w:rPr>
          <w:rFonts w:cs="Arial"/>
          <w:sz w:val="16"/>
          <w:lang w:val="es-ES"/>
        </w:rPr>
        <w:t xml:space="preserve">: </w:t>
      </w:r>
      <w:r>
        <w:rPr>
          <w:rFonts w:cs="Arial"/>
          <w:b/>
          <w:sz w:val="16"/>
          <w:lang w:val="es-ES"/>
        </w:rPr>
        <w:t>PP</w:t>
      </w:r>
      <w:r>
        <w:rPr>
          <w:rFonts w:cs="Arial"/>
          <w:sz w:val="16"/>
          <w:lang w:val="es-ES"/>
        </w:rPr>
        <w:t xml:space="preserve">, Programa Presupuestario; </w:t>
      </w:r>
      <w:r>
        <w:rPr>
          <w:rFonts w:cs="Arial"/>
          <w:b/>
          <w:sz w:val="16"/>
          <w:lang w:val="es-ES"/>
        </w:rPr>
        <w:t>#MIR</w:t>
      </w:r>
      <w:r>
        <w:rPr>
          <w:rFonts w:cs="Arial"/>
          <w:sz w:val="16"/>
          <w:lang w:val="es-ES"/>
        </w:rPr>
        <w:t xml:space="preserve">, Cantidad de Matriz de Indicadores para Resultados; </w:t>
      </w:r>
      <w:r>
        <w:rPr>
          <w:rFonts w:cs="Arial"/>
          <w:b/>
          <w:sz w:val="16"/>
          <w:lang w:val="es-ES"/>
        </w:rPr>
        <w:t>IR</w:t>
      </w:r>
      <w:r>
        <w:rPr>
          <w:rFonts w:cs="Arial"/>
          <w:sz w:val="16"/>
          <w:lang w:val="es-ES"/>
        </w:rPr>
        <w:t xml:space="preserve">, Indicadores de Resultados; </w:t>
      </w:r>
      <w:r>
        <w:rPr>
          <w:rFonts w:cs="Arial"/>
          <w:b/>
          <w:sz w:val="16"/>
          <w:lang w:val="es-ES"/>
        </w:rPr>
        <w:t>OA</w:t>
      </w:r>
      <w:r>
        <w:rPr>
          <w:rFonts w:cs="Arial"/>
          <w:sz w:val="16"/>
          <w:lang w:val="es-ES"/>
        </w:rPr>
        <w:t>, Objetivos Anuales.</w:t>
      </w:r>
    </w:p>
    <w:p w14:paraId="309A00C9" w14:textId="77777777" w:rsidR="00BF5974" w:rsidRDefault="00BF5974" w:rsidP="00BF5974">
      <w:pPr>
        <w:rPr>
          <w:rFonts w:cs="Arial"/>
          <w:lang w:val="es-ES"/>
        </w:rPr>
      </w:pPr>
    </w:p>
    <w:p w14:paraId="1F1CF8A3" w14:textId="77777777" w:rsidR="00BF5974" w:rsidRDefault="00BF5974" w:rsidP="00BF5974">
      <w:pPr>
        <w:rPr>
          <w:rFonts w:cs="Arial"/>
          <w:lang w:val="es-ES"/>
        </w:rPr>
      </w:pPr>
      <w:r>
        <w:rPr>
          <w:rFonts w:cs="Arial"/>
          <w:lang w:val="es-ES"/>
        </w:rPr>
        <w:t xml:space="preserve">En el </w:t>
      </w:r>
      <w:r w:rsidRPr="004E0879">
        <w:rPr>
          <w:rFonts w:cs="Arial"/>
          <w:b/>
          <w:lang w:val="es-ES"/>
        </w:rPr>
        <w:t>Anexo 10</w:t>
      </w:r>
      <w:r>
        <w:rPr>
          <w:rFonts w:cs="Arial"/>
          <w:lang w:val="es-ES"/>
        </w:rPr>
        <w:t xml:space="preserve"> Proyectos Presupuestarios por Dependencia, se enlistan los Proyectos Presupuestarios organizados por Dependencia.</w:t>
      </w:r>
    </w:p>
    <w:p w14:paraId="357B41FC" w14:textId="77777777" w:rsidR="00BF5974" w:rsidRDefault="00BF5974" w:rsidP="00BF5974">
      <w:pPr>
        <w:rPr>
          <w:rFonts w:cs="Arial"/>
          <w:lang w:val="es-ES"/>
        </w:rPr>
      </w:pPr>
    </w:p>
    <w:p w14:paraId="549F1FEF" w14:textId="77777777" w:rsidR="00BF5974" w:rsidRDefault="00BF5974" w:rsidP="00BF5974">
      <w:pPr>
        <w:rPr>
          <w:rFonts w:cs="Arial"/>
          <w:lang w:val="es-ES"/>
        </w:rPr>
      </w:pPr>
      <w:r>
        <w:rPr>
          <w:rFonts w:cs="Arial"/>
          <w:lang w:val="es-ES"/>
        </w:rPr>
        <w:t xml:space="preserve">El </w:t>
      </w:r>
      <w:r w:rsidRPr="004E0879">
        <w:rPr>
          <w:rFonts w:cs="Arial"/>
          <w:b/>
          <w:lang w:val="es-ES"/>
        </w:rPr>
        <w:t>Anexo 11</w:t>
      </w:r>
      <w:r>
        <w:rPr>
          <w:rFonts w:cs="Arial"/>
          <w:lang w:val="es-ES"/>
        </w:rPr>
        <w:t xml:space="preserve"> Matrices de Indicadores para Resultados (MIR) y el </w:t>
      </w:r>
      <w:bookmarkStart w:id="303" w:name="_Hlk180922615"/>
      <w:r>
        <w:rPr>
          <w:rFonts w:cs="Arial"/>
          <w:lang w:val="es-ES"/>
        </w:rPr>
        <w:t xml:space="preserve">Anexo 12 </w:t>
      </w:r>
      <w:bookmarkStart w:id="304" w:name="_Hlk179887413"/>
      <w:r>
        <w:rPr>
          <w:rFonts w:cs="Arial"/>
          <w:lang w:val="es-ES"/>
        </w:rPr>
        <w:t>Fichas de Indicadores para Resultados (FTI)</w:t>
      </w:r>
      <w:bookmarkEnd w:id="303"/>
      <w:bookmarkEnd w:id="304"/>
      <w:r>
        <w:rPr>
          <w:rFonts w:cs="Arial"/>
          <w:lang w:val="es-ES"/>
        </w:rPr>
        <w:t xml:space="preserve">, se presentan las MIR y las FTI de cada uno de los Programas Presupuestarios del Gobierno del Estado que forman parte del Presupuesto basado en Resultados. </w:t>
      </w:r>
    </w:p>
    <w:p w14:paraId="77990749" w14:textId="77777777" w:rsidR="00BF5974" w:rsidRDefault="00BF5974" w:rsidP="00BF5974">
      <w:pPr>
        <w:rPr>
          <w:rFonts w:cs="Arial"/>
          <w:lang w:val="es-ES"/>
        </w:rPr>
      </w:pPr>
    </w:p>
    <w:p w14:paraId="44B97833" w14:textId="77777777" w:rsidR="00BF5974" w:rsidRDefault="00BF5974" w:rsidP="00BF5974">
      <w:pPr>
        <w:jc w:val="center"/>
        <w:rPr>
          <w:rFonts w:eastAsia="Times New Roman" w:cs="Arial"/>
          <w:b/>
          <w:lang w:val="es-ES"/>
        </w:rPr>
      </w:pPr>
      <w:bookmarkStart w:id="305" w:name="_Toc522869323"/>
      <w:bookmarkStart w:id="306" w:name="_Toc526757541"/>
      <w:bookmarkStart w:id="307" w:name="_Toc22022010"/>
      <w:bookmarkStart w:id="308" w:name="_Toc22983248"/>
      <w:bookmarkStart w:id="309" w:name="_Toc465292963"/>
      <w:bookmarkStart w:id="310" w:name="_Toc465292891"/>
      <w:r>
        <w:rPr>
          <w:rFonts w:eastAsia="Times New Roman" w:cs="Arial"/>
          <w:b/>
          <w:lang w:val="es-ES"/>
        </w:rPr>
        <w:lastRenderedPageBreak/>
        <w:t xml:space="preserve">CAPÍTULO </w:t>
      </w:r>
      <w:bookmarkEnd w:id="305"/>
      <w:bookmarkEnd w:id="306"/>
      <w:bookmarkEnd w:id="307"/>
      <w:bookmarkEnd w:id="308"/>
      <w:r>
        <w:rPr>
          <w:rFonts w:eastAsia="Times New Roman" w:cs="Arial"/>
          <w:b/>
          <w:lang w:val="es-ES"/>
        </w:rPr>
        <w:t>II</w:t>
      </w:r>
    </w:p>
    <w:p w14:paraId="1A451FF6" w14:textId="77777777" w:rsidR="00BF5974" w:rsidRDefault="00BF5974" w:rsidP="00BF5974">
      <w:pPr>
        <w:keepNext/>
        <w:keepLines/>
        <w:jc w:val="center"/>
        <w:outlineLvl w:val="0"/>
        <w:rPr>
          <w:rFonts w:eastAsia="Times New Roman" w:cs="Arial"/>
          <w:b/>
          <w:szCs w:val="32"/>
          <w:lang w:val="es-ES"/>
        </w:rPr>
      </w:pPr>
      <w:bookmarkStart w:id="311" w:name="_Toc522869324"/>
      <w:bookmarkStart w:id="312" w:name="_Toc526757542"/>
      <w:bookmarkStart w:id="313" w:name="_Toc22022011"/>
      <w:bookmarkStart w:id="314" w:name="_Toc22983249"/>
      <w:r>
        <w:rPr>
          <w:rFonts w:eastAsia="Times New Roman" w:cs="Arial"/>
          <w:b/>
          <w:szCs w:val="32"/>
          <w:lang w:val="es-ES"/>
        </w:rPr>
        <w:t>DE LA EVALUACIÓN DEL DESEMPEÑO</w:t>
      </w:r>
      <w:bookmarkEnd w:id="309"/>
      <w:bookmarkEnd w:id="310"/>
      <w:bookmarkEnd w:id="311"/>
      <w:bookmarkEnd w:id="312"/>
      <w:bookmarkEnd w:id="313"/>
      <w:bookmarkEnd w:id="314"/>
    </w:p>
    <w:p w14:paraId="68E7D544" w14:textId="77777777" w:rsidR="00BF5974" w:rsidRDefault="00BF5974" w:rsidP="00BF5974">
      <w:pPr>
        <w:rPr>
          <w:rFonts w:cs="Arial"/>
          <w:b/>
          <w:lang w:val="es-ES"/>
        </w:rPr>
      </w:pPr>
    </w:p>
    <w:p w14:paraId="20ED74B0" w14:textId="77777777" w:rsidR="00BF5974" w:rsidRDefault="00BF5974" w:rsidP="00BF5974">
      <w:pPr>
        <w:rPr>
          <w:rFonts w:cs="Arial"/>
          <w:lang w:val="es-ES"/>
        </w:rPr>
      </w:pPr>
      <w:r>
        <w:rPr>
          <w:rFonts w:cs="Arial"/>
          <w:b/>
          <w:lang w:val="es-ES"/>
        </w:rPr>
        <w:t>Artículo 86</w:t>
      </w:r>
      <w:r>
        <w:rPr>
          <w:rFonts w:cs="Arial"/>
          <w:lang w:val="es-ES"/>
        </w:rPr>
        <w:t>. Los recursos públicos de que dispongan los Entes Públicos serán sujetos al Sistema de Evaluación del Desempeño, con el propósito de orientar la operación de los Programas Presupuestarios al logro de resultados.</w:t>
      </w:r>
    </w:p>
    <w:p w14:paraId="50A23564" w14:textId="77777777" w:rsidR="00BF5974" w:rsidRDefault="00BF5974" w:rsidP="00BF5974">
      <w:pPr>
        <w:rPr>
          <w:rFonts w:cs="Arial"/>
          <w:lang w:val="es-ES"/>
        </w:rPr>
      </w:pPr>
    </w:p>
    <w:p w14:paraId="79E712AB" w14:textId="77777777" w:rsidR="00BF5974" w:rsidRDefault="00BF5974" w:rsidP="00BF5974">
      <w:pPr>
        <w:rPr>
          <w:rFonts w:cs="Arial"/>
          <w:lang w:val="es-ES"/>
        </w:rPr>
      </w:pPr>
      <w:r>
        <w:rPr>
          <w:rFonts w:cs="Arial"/>
          <w:lang w:val="es-ES"/>
        </w:rPr>
        <w:t>El Poder Legislativo, el Poder Judicial y los Órganos Autónomos del Estado, diseñarán y operarán su propio Sistema de Evaluación del Desempeño, de conformidad con el marco legal vigente que les sea aplicable.</w:t>
      </w:r>
    </w:p>
    <w:p w14:paraId="30C4260E" w14:textId="77777777" w:rsidR="00BF5974" w:rsidRDefault="00BF5974" w:rsidP="00BF5974">
      <w:pPr>
        <w:rPr>
          <w:rFonts w:cs="Arial"/>
          <w:lang w:val="es-ES"/>
        </w:rPr>
      </w:pPr>
    </w:p>
    <w:p w14:paraId="6FF4AB58" w14:textId="77777777" w:rsidR="00BF5974" w:rsidRDefault="00BF5974" w:rsidP="00BF5974">
      <w:pPr>
        <w:rPr>
          <w:rFonts w:cs="Arial"/>
          <w:lang w:val="es-ES"/>
        </w:rPr>
      </w:pPr>
      <w:r>
        <w:rPr>
          <w:rFonts w:cs="Arial"/>
          <w:lang w:val="es-ES"/>
        </w:rPr>
        <w:t>El Titular del Ejecutivo, a través de la Secretaría y a petición expresa del Congreso del Estado, del Poder Judicial y de los Órganos Autónomos del Estado, les proporcionará la asesoría y apoyo técnico que requieran en materia de Evaluación del Desempeño.</w:t>
      </w:r>
    </w:p>
    <w:p w14:paraId="185E3B05" w14:textId="77777777" w:rsidR="00BF5974" w:rsidRDefault="00BF5974" w:rsidP="00BF5974">
      <w:pPr>
        <w:rPr>
          <w:rFonts w:cs="Arial"/>
          <w:lang w:val="es-ES"/>
        </w:rPr>
      </w:pPr>
    </w:p>
    <w:p w14:paraId="720ADF98" w14:textId="77777777" w:rsidR="00BF5974" w:rsidRDefault="00BF5974" w:rsidP="00BF5974">
      <w:pPr>
        <w:rPr>
          <w:rFonts w:cs="Arial"/>
          <w:lang w:val="es-ES"/>
        </w:rPr>
      </w:pPr>
      <w:r>
        <w:rPr>
          <w:rFonts w:cs="Arial"/>
          <w:b/>
          <w:lang w:val="es-ES"/>
        </w:rPr>
        <w:t>Artículo 87.</w:t>
      </w:r>
      <w:r>
        <w:rPr>
          <w:rFonts w:cs="Arial"/>
          <w:lang w:val="es-ES"/>
        </w:rPr>
        <w:t xml:space="preserve"> Es obligación de la Administración Pública Centralizada y la Administración Pública Paraestatal, en materia de evaluación del desempeño, las siguientes:</w:t>
      </w:r>
    </w:p>
    <w:p w14:paraId="2630AD93" w14:textId="77777777" w:rsidR="00BF5974" w:rsidRDefault="00BF5974" w:rsidP="00BF5974">
      <w:pPr>
        <w:rPr>
          <w:rFonts w:cs="Arial"/>
          <w:lang w:val="es-ES"/>
        </w:rPr>
      </w:pPr>
    </w:p>
    <w:p w14:paraId="347FB4D9" w14:textId="77777777" w:rsidR="00BF5974" w:rsidRDefault="00BF5974" w:rsidP="00BF5974">
      <w:pPr>
        <w:numPr>
          <w:ilvl w:val="0"/>
          <w:numId w:val="44"/>
        </w:numPr>
        <w:tabs>
          <w:tab w:val="left" w:pos="709"/>
        </w:tabs>
        <w:ind w:left="709" w:hanging="425"/>
        <w:contextualSpacing/>
        <w:rPr>
          <w:rFonts w:cs="Arial"/>
          <w:lang w:val="es-ES"/>
        </w:rPr>
      </w:pPr>
      <w:r>
        <w:rPr>
          <w:rFonts w:cs="Arial"/>
          <w:lang w:val="es-ES"/>
        </w:rPr>
        <w:t>Elaborar y proponer a la Secretaría, los Indicadores de Desempeño de los Programas Presupuestarios;</w:t>
      </w:r>
    </w:p>
    <w:p w14:paraId="2249B782" w14:textId="77777777" w:rsidR="00BF5974" w:rsidRDefault="00BF5974" w:rsidP="00BF5974">
      <w:pPr>
        <w:numPr>
          <w:ilvl w:val="0"/>
          <w:numId w:val="44"/>
        </w:numPr>
        <w:tabs>
          <w:tab w:val="left" w:pos="709"/>
        </w:tabs>
        <w:ind w:left="709" w:hanging="425"/>
        <w:contextualSpacing/>
        <w:rPr>
          <w:rFonts w:cs="Arial"/>
          <w:lang w:val="es-ES"/>
        </w:rPr>
      </w:pPr>
      <w:r>
        <w:rPr>
          <w:rFonts w:cs="Arial"/>
          <w:lang w:val="es-ES"/>
        </w:rPr>
        <w:t>Realizar la evaluación por sí mismos o a través de evaluadores externos, del grado de cumplimiento de los Indicadores de Desempeño, con cargo a su propio presupuesto, dicha evaluación deberá ser enterada a la Secretaría de Planeación, Finanzas y Administración;</w:t>
      </w:r>
    </w:p>
    <w:p w14:paraId="0111C56E" w14:textId="77777777" w:rsidR="00BF5974" w:rsidRDefault="00BF5974" w:rsidP="00BF5974">
      <w:pPr>
        <w:numPr>
          <w:ilvl w:val="0"/>
          <w:numId w:val="44"/>
        </w:numPr>
        <w:tabs>
          <w:tab w:val="left" w:pos="709"/>
        </w:tabs>
        <w:ind w:left="709" w:hanging="425"/>
        <w:contextualSpacing/>
        <w:rPr>
          <w:rFonts w:cs="Arial"/>
          <w:lang w:val="es-ES"/>
        </w:rPr>
      </w:pPr>
      <w:r>
        <w:rPr>
          <w:rFonts w:cs="Arial"/>
          <w:lang w:val="es-ES"/>
        </w:rPr>
        <w:t>Dar seguimiento y monitoreo de los Indicadores Estratégicos e Indicadores de Gestión de los programas presupuestarios;</w:t>
      </w:r>
    </w:p>
    <w:p w14:paraId="21CFC037" w14:textId="77777777" w:rsidR="00BF5974" w:rsidRDefault="00BF5974" w:rsidP="00BF5974">
      <w:pPr>
        <w:numPr>
          <w:ilvl w:val="0"/>
          <w:numId w:val="44"/>
        </w:numPr>
        <w:tabs>
          <w:tab w:val="left" w:pos="709"/>
        </w:tabs>
        <w:ind w:left="709" w:hanging="425"/>
        <w:contextualSpacing/>
        <w:rPr>
          <w:rFonts w:cs="Arial"/>
          <w:lang w:val="es-ES"/>
        </w:rPr>
      </w:pPr>
      <w:r>
        <w:rPr>
          <w:rFonts w:cs="Arial"/>
          <w:lang w:val="es-ES"/>
        </w:rPr>
        <w:t>Atender las revisiones y recomendaciones derivadas de los informes de las evaluaciones del desempeño;</w:t>
      </w:r>
    </w:p>
    <w:p w14:paraId="3A0DBAC0" w14:textId="77777777" w:rsidR="00BF5974" w:rsidRDefault="00BF5974" w:rsidP="00BF5974">
      <w:pPr>
        <w:numPr>
          <w:ilvl w:val="0"/>
          <w:numId w:val="44"/>
        </w:numPr>
        <w:tabs>
          <w:tab w:val="left" w:pos="709"/>
        </w:tabs>
        <w:ind w:left="709" w:hanging="425"/>
        <w:contextualSpacing/>
        <w:rPr>
          <w:rFonts w:cs="Arial"/>
          <w:lang w:val="es-ES"/>
        </w:rPr>
      </w:pPr>
      <w:r>
        <w:rPr>
          <w:rFonts w:cs="Arial"/>
          <w:lang w:val="es-ES"/>
        </w:rPr>
        <w:t>Informar trimestralmente a la Secretaría los resultados de los Indicadores de Desempeño de los programas presupuestarios a su cargo, dentro de los veinte días siguientes a la conclusión del periodo correspondiente, respecto de los Indicadores de Desempeño, cuya periodicidad de su cálculo así lo permita;</w:t>
      </w:r>
    </w:p>
    <w:p w14:paraId="3BC222A4" w14:textId="77777777" w:rsidR="00BF5974" w:rsidRDefault="00BF5974" w:rsidP="00BF5974">
      <w:pPr>
        <w:numPr>
          <w:ilvl w:val="0"/>
          <w:numId w:val="44"/>
        </w:numPr>
        <w:tabs>
          <w:tab w:val="left" w:pos="709"/>
        </w:tabs>
        <w:ind w:left="709" w:hanging="425"/>
        <w:contextualSpacing/>
        <w:rPr>
          <w:rFonts w:cs="Arial"/>
          <w:lang w:val="es-ES"/>
        </w:rPr>
      </w:pPr>
      <w:r>
        <w:rPr>
          <w:rFonts w:cs="Arial"/>
          <w:lang w:val="es-ES"/>
        </w:rPr>
        <w:t>Publicar la información derivada de la evaluación del desempeño, en los términos que marca la legislación en materia de trasparencia;</w:t>
      </w:r>
    </w:p>
    <w:p w14:paraId="21B7C94B" w14:textId="77777777" w:rsidR="00BF5974" w:rsidRDefault="00BF5974" w:rsidP="00BF5974">
      <w:pPr>
        <w:numPr>
          <w:ilvl w:val="0"/>
          <w:numId w:val="44"/>
        </w:numPr>
        <w:tabs>
          <w:tab w:val="left" w:pos="709"/>
        </w:tabs>
        <w:ind w:left="709" w:hanging="425"/>
        <w:contextualSpacing/>
        <w:rPr>
          <w:rFonts w:cs="Arial"/>
          <w:lang w:val="es-ES"/>
        </w:rPr>
      </w:pPr>
      <w:r>
        <w:rPr>
          <w:rFonts w:cs="Arial"/>
          <w:lang w:val="es-ES"/>
        </w:rPr>
        <w:t>Elaborar e implementar proyectos de mejora para incorporarlos en el diseño, adecuación y operación de los programas a su cargo, atendiendo los resultados de las evaluaciones e informar los avances con oportunidad; y</w:t>
      </w:r>
    </w:p>
    <w:p w14:paraId="22B20250" w14:textId="77777777" w:rsidR="00BF5974" w:rsidRDefault="00BF5974" w:rsidP="00BF5974">
      <w:pPr>
        <w:numPr>
          <w:ilvl w:val="0"/>
          <w:numId w:val="44"/>
        </w:numPr>
        <w:tabs>
          <w:tab w:val="left" w:pos="709"/>
        </w:tabs>
        <w:ind w:left="709" w:hanging="425"/>
        <w:contextualSpacing/>
        <w:rPr>
          <w:rFonts w:cs="Arial"/>
          <w:lang w:val="es-ES"/>
        </w:rPr>
      </w:pPr>
      <w:r>
        <w:rPr>
          <w:rFonts w:cs="Arial"/>
          <w:lang w:val="es-ES"/>
        </w:rPr>
        <w:t>Acordar con la Secretaría las adecuaciones a los programas presupuestarios en cumplimiento de las recomendaciones resultantes de los procesos de seguimiento y evaluación.</w:t>
      </w:r>
    </w:p>
    <w:p w14:paraId="220F7627" w14:textId="77777777" w:rsidR="00BF5974" w:rsidRDefault="00BF5974" w:rsidP="00BF5974">
      <w:pPr>
        <w:rPr>
          <w:rFonts w:cs="Arial"/>
          <w:lang w:val="es-ES"/>
        </w:rPr>
      </w:pPr>
    </w:p>
    <w:p w14:paraId="46348DC2" w14:textId="77777777" w:rsidR="00BF5974" w:rsidRDefault="00BF5974" w:rsidP="00BF5974">
      <w:pPr>
        <w:rPr>
          <w:rFonts w:cs="Arial"/>
          <w:lang w:val="es-ES"/>
        </w:rPr>
      </w:pPr>
      <w:r>
        <w:rPr>
          <w:rFonts w:cs="Arial"/>
          <w:b/>
          <w:lang w:val="es-ES"/>
        </w:rPr>
        <w:lastRenderedPageBreak/>
        <w:t>Artículo 88</w:t>
      </w:r>
      <w:r>
        <w:rPr>
          <w:rFonts w:cs="Arial"/>
          <w:lang w:val="es-ES"/>
        </w:rPr>
        <w:t>. La evaluación de los recursos se efectuará en base a indicadores que contengan los programas de los presupuestos respectivos de cada Ente Público, permitirán medir el grado de eficacia, eficiencia y economía con la que se realizó la gestión de los recursos y si estos se destinaron a cubrir los objetivos para lo que fueron destinados.</w:t>
      </w:r>
    </w:p>
    <w:p w14:paraId="692F3247" w14:textId="77777777" w:rsidR="00BF5974" w:rsidRDefault="00BF5974" w:rsidP="00BF5974">
      <w:pPr>
        <w:rPr>
          <w:rFonts w:cs="Arial"/>
          <w:lang w:val="es-ES"/>
        </w:rPr>
      </w:pPr>
    </w:p>
    <w:p w14:paraId="52A8AFB9" w14:textId="77777777" w:rsidR="00BF5974" w:rsidRDefault="00BF5974" w:rsidP="00BF5974">
      <w:pPr>
        <w:rPr>
          <w:rFonts w:cs="Arial"/>
          <w:lang w:val="es-ES"/>
        </w:rPr>
      </w:pPr>
      <w:r>
        <w:rPr>
          <w:rFonts w:cs="Arial"/>
          <w:lang w:val="es-ES"/>
        </w:rPr>
        <w:t>Los resultados que arrojen dichas evaluaciones deberán publicarse en sus páginas de Internet, según lo dispuesto en el artículo 79 de la Ley General de Contabilidad Gubernamental.</w:t>
      </w:r>
    </w:p>
    <w:p w14:paraId="2C6A358F" w14:textId="77777777" w:rsidR="00BF5974" w:rsidRDefault="00BF5974" w:rsidP="00BF5974">
      <w:pPr>
        <w:rPr>
          <w:rFonts w:cs="Arial"/>
          <w:strike/>
          <w:lang w:val="es-ES"/>
        </w:rPr>
      </w:pPr>
    </w:p>
    <w:p w14:paraId="01957144" w14:textId="77777777" w:rsidR="00BF5974" w:rsidRDefault="00BF5974" w:rsidP="00BF5974">
      <w:pPr>
        <w:rPr>
          <w:rFonts w:cs="Arial"/>
          <w:lang w:val="es-ES"/>
        </w:rPr>
      </w:pPr>
      <w:r>
        <w:rPr>
          <w:rFonts w:cs="Arial"/>
          <w:b/>
          <w:lang w:val="es-ES"/>
        </w:rPr>
        <w:t>Artículo 89</w:t>
      </w:r>
      <w:r>
        <w:rPr>
          <w:rFonts w:cs="Arial"/>
          <w:lang w:val="es-ES"/>
        </w:rPr>
        <w:t>. En el proceso de integración de la información financiera para la elaboración del Anteproyecto de Presupuesto correspondiente al Ejercicio Fiscal 2025, la Secretaría deberá incorporar los resultados que deriven de los procesos de implantación y operación del Presupuesto basado en Resultados y del Sistema de Evaluación del Desempeño, establecidos en términos del artículo 134 de la Constitución Política de los Estados Unidos Mexicanos y de lo previsto en los artículos 107 y 108 de la Constitución Política del Estado Libre y Soberano de Colima.</w:t>
      </w:r>
    </w:p>
    <w:p w14:paraId="5D26E7A9" w14:textId="77777777" w:rsidR="00BF5974" w:rsidRDefault="00BF5974" w:rsidP="00BF5974">
      <w:pPr>
        <w:rPr>
          <w:rFonts w:cs="Arial"/>
          <w:lang w:val="es-ES"/>
        </w:rPr>
      </w:pPr>
    </w:p>
    <w:p w14:paraId="389233CF" w14:textId="77777777" w:rsidR="00BF5974" w:rsidRDefault="00BF5974" w:rsidP="00BF5974">
      <w:pPr>
        <w:jc w:val="center"/>
        <w:rPr>
          <w:rFonts w:eastAsia="Times New Roman" w:cs="Arial"/>
          <w:b/>
          <w:lang w:val="es-ES"/>
        </w:rPr>
      </w:pPr>
      <w:bookmarkStart w:id="315" w:name="_Toc522869325"/>
      <w:bookmarkStart w:id="316" w:name="_Toc526757543"/>
      <w:bookmarkStart w:id="317" w:name="_Toc22022012"/>
      <w:bookmarkStart w:id="318" w:name="_Toc22983250"/>
      <w:bookmarkStart w:id="319" w:name="_Toc465292964"/>
      <w:bookmarkStart w:id="320" w:name="_Toc465292892"/>
      <w:r>
        <w:rPr>
          <w:rFonts w:eastAsia="Times New Roman" w:cs="Arial"/>
          <w:b/>
          <w:lang w:val="es-ES"/>
        </w:rPr>
        <w:t>CAPÍTULO III</w:t>
      </w:r>
      <w:bookmarkEnd w:id="315"/>
      <w:bookmarkEnd w:id="316"/>
      <w:bookmarkEnd w:id="317"/>
      <w:bookmarkEnd w:id="318"/>
    </w:p>
    <w:p w14:paraId="5BDA6357" w14:textId="77777777" w:rsidR="00BF5974" w:rsidRDefault="00BF5974" w:rsidP="00BF5974">
      <w:pPr>
        <w:keepNext/>
        <w:keepLines/>
        <w:jc w:val="center"/>
        <w:outlineLvl w:val="0"/>
        <w:rPr>
          <w:rFonts w:eastAsia="Times New Roman" w:cs="Arial"/>
          <w:b/>
          <w:szCs w:val="32"/>
          <w:lang w:val="es-ES"/>
        </w:rPr>
      </w:pPr>
      <w:bookmarkStart w:id="321" w:name="_Toc22983251"/>
      <w:bookmarkEnd w:id="319"/>
      <w:bookmarkEnd w:id="320"/>
      <w:r>
        <w:rPr>
          <w:rFonts w:eastAsia="Times New Roman" w:cs="Arial"/>
          <w:b/>
          <w:szCs w:val="32"/>
          <w:lang w:val="es-ES"/>
        </w:rPr>
        <w:t>AGENDA 2030 Y LOS OBJETIVOS DE DESARROLLO SOSTENIBLE</w:t>
      </w:r>
      <w:bookmarkEnd w:id="321"/>
    </w:p>
    <w:p w14:paraId="6421E3F5" w14:textId="77777777" w:rsidR="00BF5974" w:rsidRDefault="00BF5974" w:rsidP="00BF5974">
      <w:pPr>
        <w:rPr>
          <w:rFonts w:cs="Arial"/>
          <w:b/>
          <w:lang w:val="es-ES"/>
        </w:rPr>
      </w:pPr>
    </w:p>
    <w:p w14:paraId="033328AA" w14:textId="77777777" w:rsidR="00BF5974" w:rsidRDefault="00BF5974" w:rsidP="00BF5974">
      <w:pPr>
        <w:rPr>
          <w:rFonts w:cs="Arial"/>
          <w:bCs/>
          <w:lang w:val="es-ES"/>
        </w:rPr>
      </w:pPr>
      <w:r>
        <w:rPr>
          <w:rFonts w:cs="Arial"/>
          <w:b/>
          <w:lang w:val="es-ES"/>
        </w:rPr>
        <w:t xml:space="preserve">Artículo 90. </w:t>
      </w:r>
      <w:r>
        <w:rPr>
          <w:rFonts w:cs="Arial"/>
          <w:bCs/>
          <w:lang w:val="es-ES"/>
        </w:rPr>
        <w:t>En cumplimiento a lo dispuesto por el artículo 2º de la Constitución Política del Estado Libre y Soberano de Colima, el artículo 41, fracción II, de la Ley Federal de Presupuesto y Responsabilidad Hacendaria; así como para cumplir los compromisos derivados de la Agenda 2030 y los Objetivos de Desarrollo Sostenible, emitida por la Organización de las Naciones Unidas (ONU); las Dependencias de la Administración Pública Centralizada y Entidades de la Administración Pública Paraestatal, en el ámbito de sus respectivas competencias y con cargo a sus presupuestos para el Ejercicio Fiscal 2025, adoptarán medidas para destinar recursos orientados a atender esta obligación. Se detalla:</w:t>
      </w:r>
    </w:p>
    <w:p w14:paraId="5CABC27F" w14:textId="77777777" w:rsidR="00BF5974" w:rsidRDefault="00BF5974" w:rsidP="00BF5974">
      <w:pPr>
        <w:keepNext/>
        <w:keepLines/>
        <w:outlineLvl w:val="2"/>
        <w:rPr>
          <w:rFonts w:eastAsia="Times New Roman" w:cs="Arial"/>
          <w:b/>
          <w:szCs w:val="24"/>
          <w:lang w:val="es-ES" w:eastAsia="en-US"/>
        </w:rPr>
      </w:pPr>
    </w:p>
    <w:tbl>
      <w:tblPr>
        <w:tblW w:w="807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6259"/>
        <w:gridCol w:w="1253"/>
      </w:tblGrid>
      <w:tr w:rsidR="00BF5974" w14:paraId="7FE672A1" w14:textId="77777777" w:rsidTr="00BF5974">
        <w:trPr>
          <w:trHeight w:val="23"/>
        </w:trPr>
        <w:tc>
          <w:tcPr>
            <w:tcW w:w="8079" w:type="dxa"/>
            <w:gridSpan w:val="3"/>
            <w:tcBorders>
              <w:top w:val="nil"/>
              <w:left w:val="nil"/>
              <w:bottom w:val="single" w:sz="4" w:space="0" w:color="auto"/>
              <w:right w:val="nil"/>
            </w:tcBorders>
            <w:noWrap/>
            <w:vAlign w:val="center"/>
            <w:hideMark/>
          </w:tcPr>
          <w:p w14:paraId="44515995" w14:textId="77777777" w:rsidR="00BF5974" w:rsidRDefault="00BF5974">
            <w:pPr>
              <w:spacing w:line="256" w:lineRule="auto"/>
              <w:jc w:val="center"/>
              <w:rPr>
                <w:rFonts w:eastAsia="Times New Roman" w:cs="Arial"/>
                <w:b/>
                <w:bCs/>
                <w:color w:val="000000"/>
                <w:sz w:val="16"/>
                <w:szCs w:val="16"/>
                <w:lang w:val="es-ES" w:eastAsia="en-US"/>
              </w:rPr>
            </w:pPr>
            <w:r>
              <w:rPr>
                <w:rFonts w:eastAsia="Times New Roman" w:cs="Arial"/>
                <w:b/>
                <w:sz w:val="20"/>
                <w:szCs w:val="20"/>
                <w:lang w:val="es-ES" w:eastAsia="en-US"/>
              </w:rPr>
              <w:t xml:space="preserve">Tabla 63. </w:t>
            </w:r>
            <w:r>
              <w:rPr>
                <w:rFonts w:cs="Arial"/>
                <w:b/>
                <w:sz w:val="20"/>
                <w:szCs w:val="20"/>
                <w:lang w:val="es-ES" w:eastAsia="en-US"/>
              </w:rPr>
              <w:t>Agenda 2030 y los Objetivos de Desarrollo Sostenible</w:t>
            </w:r>
          </w:p>
        </w:tc>
      </w:tr>
      <w:tr w:rsidR="00BF5974" w14:paraId="403F9CBA" w14:textId="77777777" w:rsidTr="00BF5974">
        <w:trPr>
          <w:trHeight w:val="2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6C891F5" w14:textId="77777777" w:rsidR="00BF5974" w:rsidRDefault="00BF5974">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Clave</w:t>
            </w:r>
          </w:p>
        </w:tc>
        <w:tc>
          <w:tcPr>
            <w:tcW w:w="6259" w:type="dxa"/>
            <w:tcBorders>
              <w:top w:val="single" w:sz="4" w:space="0" w:color="auto"/>
              <w:left w:val="single" w:sz="4" w:space="0" w:color="auto"/>
              <w:bottom w:val="single" w:sz="4" w:space="0" w:color="auto"/>
              <w:right w:val="single" w:sz="4" w:space="0" w:color="auto"/>
            </w:tcBorders>
            <w:vAlign w:val="center"/>
            <w:hideMark/>
          </w:tcPr>
          <w:p w14:paraId="17944D6E" w14:textId="77777777" w:rsidR="00BF5974" w:rsidRDefault="00BF5974">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Objetivo</w:t>
            </w:r>
          </w:p>
        </w:tc>
        <w:tc>
          <w:tcPr>
            <w:tcW w:w="1253" w:type="dxa"/>
            <w:tcBorders>
              <w:top w:val="single" w:sz="4" w:space="0" w:color="auto"/>
              <w:left w:val="single" w:sz="4" w:space="0" w:color="auto"/>
              <w:bottom w:val="single" w:sz="4" w:space="0" w:color="auto"/>
              <w:right w:val="single" w:sz="4" w:space="0" w:color="auto"/>
            </w:tcBorders>
            <w:vAlign w:val="center"/>
            <w:hideMark/>
          </w:tcPr>
          <w:p w14:paraId="2F6B3E3E" w14:textId="77777777" w:rsidR="00BF5974" w:rsidRDefault="00BF5974">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Asignación Presupuestal</w:t>
            </w:r>
          </w:p>
        </w:tc>
      </w:tr>
      <w:tr w:rsidR="00A41077" w14:paraId="2DA0B278" w14:textId="77777777" w:rsidTr="00BF5974">
        <w:trPr>
          <w:trHeight w:val="2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36C5AFE"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w:t>
            </w:r>
          </w:p>
        </w:tc>
        <w:tc>
          <w:tcPr>
            <w:tcW w:w="6259" w:type="dxa"/>
            <w:tcBorders>
              <w:top w:val="single" w:sz="4" w:space="0" w:color="auto"/>
              <w:left w:val="single" w:sz="4" w:space="0" w:color="auto"/>
              <w:bottom w:val="single" w:sz="4" w:space="0" w:color="auto"/>
              <w:right w:val="single" w:sz="4" w:space="0" w:color="auto"/>
            </w:tcBorders>
            <w:vAlign w:val="center"/>
            <w:hideMark/>
          </w:tcPr>
          <w:p w14:paraId="4EEBB0C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Poner fin a la pobreza en todas sus formas en todo el mundo.</w:t>
            </w:r>
          </w:p>
        </w:tc>
        <w:tc>
          <w:tcPr>
            <w:tcW w:w="1253" w:type="dxa"/>
            <w:tcBorders>
              <w:top w:val="single" w:sz="4" w:space="0" w:color="auto"/>
              <w:left w:val="single" w:sz="4" w:space="0" w:color="auto"/>
              <w:bottom w:val="single" w:sz="4" w:space="0" w:color="auto"/>
              <w:right w:val="single" w:sz="4" w:space="0" w:color="auto"/>
            </w:tcBorders>
            <w:vAlign w:val="center"/>
            <w:hideMark/>
          </w:tcPr>
          <w:p w14:paraId="42EA3283" w14:textId="7D42832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47,203,002 </w:t>
            </w:r>
          </w:p>
        </w:tc>
      </w:tr>
      <w:tr w:rsidR="00A41077" w14:paraId="391D01B5" w14:textId="77777777" w:rsidTr="00BF5974">
        <w:trPr>
          <w:trHeight w:val="2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8EB682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w:t>
            </w:r>
          </w:p>
        </w:tc>
        <w:tc>
          <w:tcPr>
            <w:tcW w:w="6259" w:type="dxa"/>
            <w:tcBorders>
              <w:top w:val="single" w:sz="4" w:space="0" w:color="auto"/>
              <w:left w:val="single" w:sz="4" w:space="0" w:color="auto"/>
              <w:bottom w:val="single" w:sz="4" w:space="0" w:color="auto"/>
              <w:right w:val="single" w:sz="4" w:space="0" w:color="auto"/>
            </w:tcBorders>
            <w:vAlign w:val="center"/>
            <w:hideMark/>
          </w:tcPr>
          <w:p w14:paraId="4A069F37"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Poner fin al hambre, lograr la seguridad alimentaria y la mejora de la nutrición y promover la agricultura sostenible.</w:t>
            </w:r>
          </w:p>
        </w:tc>
        <w:tc>
          <w:tcPr>
            <w:tcW w:w="1253" w:type="dxa"/>
            <w:tcBorders>
              <w:top w:val="single" w:sz="4" w:space="0" w:color="auto"/>
              <w:left w:val="single" w:sz="4" w:space="0" w:color="auto"/>
              <w:bottom w:val="single" w:sz="4" w:space="0" w:color="auto"/>
              <w:right w:val="single" w:sz="4" w:space="0" w:color="auto"/>
            </w:tcBorders>
            <w:vAlign w:val="center"/>
            <w:hideMark/>
          </w:tcPr>
          <w:p w14:paraId="7B16EA07" w14:textId="7DBA0B7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215,832,801 </w:t>
            </w:r>
          </w:p>
        </w:tc>
      </w:tr>
      <w:tr w:rsidR="00A41077" w14:paraId="13561FA2" w14:textId="77777777" w:rsidTr="00BF5974">
        <w:trPr>
          <w:trHeight w:val="2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8D75DA3"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w:t>
            </w:r>
          </w:p>
        </w:tc>
        <w:tc>
          <w:tcPr>
            <w:tcW w:w="6259" w:type="dxa"/>
            <w:tcBorders>
              <w:top w:val="single" w:sz="4" w:space="0" w:color="auto"/>
              <w:left w:val="single" w:sz="4" w:space="0" w:color="auto"/>
              <w:bottom w:val="single" w:sz="4" w:space="0" w:color="auto"/>
              <w:right w:val="single" w:sz="4" w:space="0" w:color="auto"/>
            </w:tcBorders>
            <w:vAlign w:val="center"/>
            <w:hideMark/>
          </w:tcPr>
          <w:p w14:paraId="69300AB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Garantizar una vida sana y promover el bienestar de todos a todas las edades.</w:t>
            </w:r>
          </w:p>
        </w:tc>
        <w:tc>
          <w:tcPr>
            <w:tcW w:w="1253" w:type="dxa"/>
            <w:tcBorders>
              <w:top w:val="single" w:sz="4" w:space="0" w:color="auto"/>
              <w:left w:val="single" w:sz="4" w:space="0" w:color="auto"/>
              <w:bottom w:val="single" w:sz="4" w:space="0" w:color="auto"/>
              <w:right w:val="single" w:sz="4" w:space="0" w:color="auto"/>
            </w:tcBorders>
            <w:vAlign w:val="center"/>
            <w:hideMark/>
          </w:tcPr>
          <w:p w14:paraId="7318A3F0" w14:textId="60BBAD4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2,401,039,579 </w:t>
            </w:r>
          </w:p>
        </w:tc>
      </w:tr>
      <w:tr w:rsidR="00A41077" w14:paraId="61AD4F0D" w14:textId="77777777" w:rsidTr="00BF5974">
        <w:trPr>
          <w:trHeight w:val="2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A083DA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w:t>
            </w:r>
          </w:p>
        </w:tc>
        <w:tc>
          <w:tcPr>
            <w:tcW w:w="6259" w:type="dxa"/>
            <w:tcBorders>
              <w:top w:val="single" w:sz="4" w:space="0" w:color="auto"/>
              <w:left w:val="single" w:sz="4" w:space="0" w:color="auto"/>
              <w:bottom w:val="single" w:sz="4" w:space="0" w:color="auto"/>
              <w:right w:val="single" w:sz="4" w:space="0" w:color="auto"/>
            </w:tcBorders>
            <w:vAlign w:val="center"/>
            <w:hideMark/>
          </w:tcPr>
          <w:p w14:paraId="593110A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Garantizar una educación inclusiva y equitativa de calidad y promover oportunidades de aprendizaje permanente para todos.</w:t>
            </w:r>
          </w:p>
        </w:tc>
        <w:tc>
          <w:tcPr>
            <w:tcW w:w="1253" w:type="dxa"/>
            <w:tcBorders>
              <w:top w:val="single" w:sz="4" w:space="0" w:color="auto"/>
              <w:left w:val="single" w:sz="4" w:space="0" w:color="auto"/>
              <w:bottom w:val="single" w:sz="4" w:space="0" w:color="auto"/>
              <w:right w:val="single" w:sz="4" w:space="0" w:color="auto"/>
            </w:tcBorders>
            <w:vAlign w:val="center"/>
            <w:hideMark/>
          </w:tcPr>
          <w:p w14:paraId="4A595F64" w14:textId="1404C19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9,216,873,446 </w:t>
            </w:r>
          </w:p>
        </w:tc>
      </w:tr>
      <w:tr w:rsidR="00A41077" w14:paraId="61C8D4FD" w14:textId="77777777" w:rsidTr="00BF5974">
        <w:trPr>
          <w:trHeight w:val="2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0BE89C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w:t>
            </w:r>
          </w:p>
        </w:tc>
        <w:tc>
          <w:tcPr>
            <w:tcW w:w="6259" w:type="dxa"/>
            <w:tcBorders>
              <w:top w:val="single" w:sz="4" w:space="0" w:color="auto"/>
              <w:left w:val="single" w:sz="4" w:space="0" w:color="auto"/>
              <w:bottom w:val="single" w:sz="4" w:space="0" w:color="auto"/>
              <w:right w:val="single" w:sz="4" w:space="0" w:color="auto"/>
            </w:tcBorders>
            <w:vAlign w:val="center"/>
            <w:hideMark/>
          </w:tcPr>
          <w:p w14:paraId="38B7776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Lograr la igualdad de género y empoderar a todas las mujeres y las niñas.</w:t>
            </w:r>
          </w:p>
        </w:tc>
        <w:tc>
          <w:tcPr>
            <w:tcW w:w="1253" w:type="dxa"/>
            <w:tcBorders>
              <w:top w:val="single" w:sz="4" w:space="0" w:color="auto"/>
              <w:left w:val="single" w:sz="4" w:space="0" w:color="auto"/>
              <w:bottom w:val="single" w:sz="4" w:space="0" w:color="auto"/>
              <w:right w:val="single" w:sz="4" w:space="0" w:color="auto"/>
            </w:tcBorders>
            <w:vAlign w:val="center"/>
            <w:hideMark/>
          </w:tcPr>
          <w:p w14:paraId="716C4610" w14:textId="7E2CC86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252,445,487 </w:t>
            </w:r>
          </w:p>
        </w:tc>
      </w:tr>
      <w:tr w:rsidR="00A41077" w14:paraId="7B47B180" w14:textId="77777777" w:rsidTr="00BF5974">
        <w:trPr>
          <w:trHeight w:val="2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09FCD71"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06</w:t>
            </w:r>
          </w:p>
        </w:tc>
        <w:tc>
          <w:tcPr>
            <w:tcW w:w="6259" w:type="dxa"/>
            <w:tcBorders>
              <w:top w:val="single" w:sz="4" w:space="0" w:color="auto"/>
              <w:left w:val="single" w:sz="4" w:space="0" w:color="auto"/>
              <w:bottom w:val="single" w:sz="4" w:space="0" w:color="auto"/>
              <w:right w:val="single" w:sz="4" w:space="0" w:color="auto"/>
            </w:tcBorders>
            <w:vAlign w:val="center"/>
            <w:hideMark/>
          </w:tcPr>
          <w:p w14:paraId="3D99589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Garantizar la disponibilidad y la gestión sostenible del agua y el saneamiento para todos.</w:t>
            </w:r>
          </w:p>
        </w:tc>
        <w:tc>
          <w:tcPr>
            <w:tcW w:w="1253" w:type="dxa"/>
            <w:tcBorders>
              <w:top w:val="single" w:sz="4" w:space="0" w:color="auto"/>
              <w:left w:val="single" w:sz="4" w:space="0" w:color="auto"/>
              <w:bottom w:val="single" w:sz="4" w:space="0" w:color="auto"/>
              <w:right w:val="single" w:sz="4" w:space="0" w:color="auto"/>
            </w:tcBorders>
            <w:vAlign w:val="center"/>
            <w:hideMark/>
          </w:tcPr>
          <w:p w14:paraId="3EE89277" w14:textId="2F35C33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19,618,348 </w:t>
            </w:r>
          </w:p>
        </w:tc>
      </w:tr>
      <w:tr w:rsidR="00A41077" w14:paraId="4D6A1604" w14:textId="77777777" w:rsidTr="00BF5974">
        <w:trPr>
          <w:trHeight w:val="2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8716647"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w:t>
            </w:r>
          </w:p>
        </w:tc>
        <w:tc>
          <w:tcPr>
            <w:tcW w:w="6259" w:type="dxa"/>
            <w:tcBorders>
              <w:top w:val="single" w:sz="4" w:space="0" w:color="auto"/>
              <w:left w:val="single" w:sz="4" w:space="0" w:color="auto"/>
              <w:bottom w:val="single" w:sz="4" w:space="0" w:color="auto"/>
              <w:right w:val="single" w:sz="4" w:space="0" w:color="auto"/>
            </w:tcBorders>
            <w:vAlign w:val="center"/>
            <w:hideMark/>
          </w:tcPr>
          <w:p w14:paraId="016D5F2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Garantizar el acceso a una energía asequible, fiable, sostenible y moderna para todos.</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BE72457" w14:textId="79D919E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69F1E28" w14:textId="77777777" w:rsidTr="00BF5974">
        <w:trPr>
          <w:trHeight w:val="2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9DB78C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08</w:t>
            </w:r>
          </w:p>
        </w:tc>
        <w:tc>
          <w:tcPr>
            <w:tcW w:w="6259" w:type="dxa"/>
            <w:tcBorders>
              <w:top w:val="single" w:sz="4" w:space="0" w:color="auto"/>
              <w:left w:val="single" w:sz="4" w:space="0" w:color="auto"/>
              <w:bottom w:val="single" w:sz="4" w:space="0" w:color="auto"/>
              <w:right w:val="single" w:sz="4" w:space="0" w:color="auto"/>
            </w:tcBorders>
            <w:vAlign w:val="center"/>
            <w:hideMark/>
          </w:tcPr>
          <w:p w14:paraId="73B58EF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Promover el crecimiento económico sostenido, inclusivo y sostenible, el empleo pleno y productivo y el trabajo decente para todos.</w:t>
            </w:r>
          </w:p>
        </w:tc>
        <w:tc>
          <w:tcPr>
            <w:tcW w:w="1253" w:type="dxa"/>
            <w:tcBorders>
              <w:top w:val="single" w:sz="4" w:space="0" w:color="auto"/>
              <w:left w:val="single" w:sz="4" w:space="0" w:color="auto"/>
              <w:bottom w:val="single" w:sz="4" w:space="0" w:color="auto"/>
              <w:right w:val="single" w:sz="4" w:space="0" w:color="auto"/>
            </w:tcBorders>
            <w:vAlign w:val="center"/>
            <w:hideMark/>
          </w:tcPr>
          <w:p w14:paraId="173B3CFB" w14:textId="1A41ED9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1,788,439,108 </w:t>
            </w:r>
          </w:p>
        </w:tc>
      </w:tr>
      <w:tr w:rsidR="00A41077" w14:paraId="22F3870D" w14:textId="77777777" w:rsidTr="00BF5974">
        <w:trPr>
          <w:trHeight w:val="2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154CE7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w:t>
            </w:r>
          </w:p>
        </w:tc>
        <w:tc>
          <w:tcPr>
            <w:tcW w:w="6259" w:type="dxa"/>
            <w:tcBorders>
              <w:top w:val="single" w:sz="4" w:space="0" w:color="auto"/>
              <w:left w:val="single" w:sz="4" w:space="0" w:color="auto"/>
              <w:bottom w:val="single" w:sz="4" w:space="0" w:color="auto"/>
              <w:right w:val="single" w:sz="4" w:space="0" w:color="auto"/>
            </w:tcBorders>
            <w:vAlign w:val="center"/>
            <w:hideMark/>
          </w:tcPr>
          <w:p w14:paraId="1D82186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Construir infraestructuras resilientes, promover la industrialización inclusiva y sostenible y fomentar la innovación.</w:t>
            </w:r>
          </w:p>
        </w:tc>
        <w:tc>
          <w:tcPr>
            <w:tcW w:w="1253" w:type="dxa"/>
            <w:tcBorders>
              <w:top w:val="single" w:sz="4" w:space="0" w:color="auto"/>
              <w:left w:val="single" w:sz="4" w:space="0" w:color="auto"/>
              <w:bottom w:val="single" w:sz="4" w:space="0" w:color="auto"/>
              <w:right w:val="single" w:sz="4" w:space="0" w:color="auto"/>
            </w:tcBorders>
            <w:vAlign w:val="center"/>
            <w:hideMark/>
          </w:tcPr>
          <w:p w14:paraId="22EE16F5" w14:textId="7C4CE1E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458,256,107 </w:t>
            </w:r>
          </w:p>
        </w:tc>
      </w:tr>
      <w:tr w:rsidR="00A41077" w14:paraId="7D503689" w14:textId="77777777" w:rsidTr="00BF5974">
        <w:trPr>
          <w:trHeight w:val="2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390D396"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lastRenderedPageBreak/>
              <w:t>10</w:t>
            </w:r>
          </w:p>
        </w:tc>
        <w:tc>
          <w:tcPr>
            <w:tcW w:w="6259" w:type="dxa"/>
            <w:tcBorders>
              <w:top w:val="single" w:sz="4" w:space="0" w:color="auto"/>
              <w:left w:val="single" w:sz="4" w:space="0" w:color="auto"/>
              <w:bottom w:val="single" w:sz="4" w:space="0" w:color="auto"/>
              <w:right w:val="single" w:sz="4" w:space="0" w:color="auto"/>
            </w:tcBorders>
            <w:vAlign w:val="center"/>
            <w:hideMark/>
          </w:tcPr>
          <w:p w14:paraId="161227D7"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Reducir la desigualdad en los países y entre ellos.</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18F30CE" w14:textId="6C5C0F9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555,518,713 </w:t>
            </w:r>
          </w:p>
        </w:tc>
      </w:tr>
      <w:tr w:rsidR="00A41077" w14:paraId="0BC52C18" w14:textId="77777777" w:rsidTr="00BF5974">
        <w:trPr>
          <w:trHeight w:val="2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9490E9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11</w:t>
            </w:r>
          </w:p>
        </w:tc>
        <w:tc>
          <w:tcPr>
            <w:tcW w:w="6259" w:type="dxa"/>
            <w:tcBorders>
              <w:top w:val="single" w:sz="4" w:space="0" w:color="auto"/>
              <w:left w:val="single" w:sz="4" w:space="0" w:color="auto"/>
              <w:bottom w:val="single" w:sz="4" w:space="0" w:color="auto"/>
              <w:right w:val="single" w:sz="4" w:space="0" w:color="auto"/>
            </w:tcBorders>
            <w:vAlign w:val="center"/>
            <w:hideMark/>
          </w:tcPr>
          <w:p w14:paraId="52C1BB8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Lograr que las ciudades y los asentamientos humanos sean inclusivos, seguros, resilientes y sostenibles.</w:t>
            </w:r>
          </w:p>
        </w:tc>
        <w:tc>
          <w:tcPr>
            <w:tcW w:w="1253" w:type="dxa"/>
            <w:tcBorders>
              <w:top w:val="single" w:sz="4" w:space="0" w:color="auto"/>
              <w:left w:val="single" w:sz="4" w:space="0" w:color="auto"/>
              <w:bottom w:val="single" w:sz="4" w:space="0" w:color="auto"/>
              <w:right w:val="single" w:sz="4" w:space="0" w:color="auto"/>
            </w:tcBorders>
            <w:vAlign w:val="center"/>
            <w:hideMark/>
          </w:tcPr>
          <w:p w14:paraId="6D45045C" w14:textId="7D4FB47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149,793,287 </w:t>
            </w:r>
          </w:p>
        </w:tc>
      </w:tr>
      <w:tr w:rsidR="00A41077" w14:paraId="106E722F" w14:textId="77777777" w:rsidTr="00BF5974">
        <w:trPr>
          <w:trHeight w:val="2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6395323"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12</w:t>
            </w:r>
          </w:p>
        </w:tc>
        <w:tc>
          <w:tcPr>
            <w:tcW w:w="6259" w:type="dxa"/>
            <w:tcBorders>
              <w:top w:val="single" w:sz="4" w:space="0" w:color="auto"/>
              <w:left w:val="single" w:sz="4" w:space="0" w:color="auto"/>
              <w:bottom w:val="single" w:sz="4" w:space="0" w:color="auto"/>
              <w:right w:val="single" w:sz="4" w:space="0" w:color="auto"/>
            </w:tcBorders>
            <w:vAlign w:val="center"/>
            <w:hideMark/>
          </w:tcPr>
          <w:p w14:paraId="003724F5"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Garantizar modalidades de consumo y producción sostenibles.</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E918A2B" w14:textId="18BEE90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D174D37" w14:textId="77777777" w:rsidTr="00BF5974">
        <w:trPr>
          <w:trHeight w:val="2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81F3FC6"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13</w:t>
            </w:r>
          </w:p>
        </w:tc>
        <w:tc>
          <w:tcPr>
            <w:tcW w:w="6259" w:type="dxa"/>
            <w:tcBorders>
              <w:top w:val="single" w:sz="4" w:space="0" w:color="auto"/>
              <w:left w:val="single" w:sz="4" w:space="0" w:color="auto"/>
              <w:bottom w:val="single" w:sz="4" w:space="0" w:color="auto"/>
              <w:right w:val="single" w:sz="4" w:space="0" w:color="auto"/>
            </w:tcBorders>
            <w:vAlign w:val="center"/>
            <w:hideMark/>
          </w:tcPr>
          <w:p w14:paraId="61DE92C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Adoptar medidas urgentes para combatir el cambio climático y sus efectos.</w:t>
            </w:r>
          </w:p>
        </w:tc>
        <w:tc>
          <w:tcPr>
            <w:tcW w:w="1253" w:type="dxa"/>
            <w:tcBorders>
              <w:top w:val="single" w:sz="4" w:space="0" w:color="auto"/>
              <w:left w:val="single" w:sz="4" w:space="0" w:color="auto"/>
              <w:bottom w:val="single" w:sz="4" w:space="0" w:color="auto"/>
              <w:right w:val="single" w:sz="4" w:space="0" w:color="auto"/>
            </w:tcBorders>
            <w:vAlign w:val="center"/>
            <w:hideMark/>
          </w:tcPr>
          <w:p w14:paraId="32B2B6B0" w14:textId="618D8D1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18,604,366 </w:t>
            </w:r>
          </w:p>
        </w:tc>
      </w:tr>
      <w:tr w:rsidR="00A41077" w14:paraId="127D6A36" w14:textId="77777777" w:rsidTr="00BF5974">
        <w:trPr>
          <w:trHeight w:val="2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1F9F133"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14</w:t>
            </w:r>
          </w:p>
        </w:tc>
        <w:tc>
          <w:tcPr>
            <w:tcW w:w="6259" w:type="dxa"/>
            <w:tcBorders>
              <w:top w:val="single" w:sz="4" w:space="0" w:color="auto"/>
              <w:left w:val="single" w:sz="4" w:space="0" w:color="auto"/>
              <w:bottom w:val="single" w:sz="4" w:space="0" w:color="auto"/>
              <w:right w:val="single" w:sz="4" w:space="0" w:color="auto"/>
            </w:tcBorders>
            <w:vAlign w:val="center"/>
            <w:hideMark/>
          </w:tcPr>
          <w:p w14:paraId="7CA7108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Conservar y utilizar sosteniblemente los océanos, los mares y los recursos marinos para el desarrollo sostenible.</w:t>
            </w:r>
          </w:p>
        </w:tc>
        <w:tc>
          <w:tcPr>
            <w:tcW w:w="1253" w:type="dxa"/>
            <w:tcBorders>
              <w:top w:val="single" w:sz="4" w:space="0" w:color="auto"/>
              <w:left w:val="single" w:sz="4" w:space="0" w:color="auto"/>
              <w:bottom w:val="single" w:sz="4" w:space="0" w:color="auto"/>
              <w:right w:val="single" w:sz="4" w:space="0" w:color="auto"/>
            </w:tcBorders>
            <w:vAlign w:val="center"/>
            <w:hideMark/>
          </w:tcPr>
          <w:p w14:paraId="30323DE6" w14:textId="127F92F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4710653" w14:textId="77777777" w:rsidTr="00BF5974">
        <w:trPr>
          <w:trHeight w:val="2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060624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15</w:t>
            </w:r>
          </w:p>
        </w:tc>
        <w:tc>
          <w:tcPr>
            <w:tcW w:w="6259" w:type="dxa"/>
            <w:tcBorders>
              <w:top w:val="single" w:sz="4" w:space="0" w:color="auto"/>
              <w:left w:val="single" w:sz="4" w:space="0" w:color="auto"/>
              <w:bottom w:val="single" w:sz="4" w:space="0" w:color="auto"/>
              <w:right w:val="single" w:sz="4" w:space="0" w:color="auto"/>
            </w:tcBorders>
            <w:vAlign w:val="center"/>
            <w:hideMark/>
          </w:tcPr>
          <w:p w14:paraId="3CA7DEC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Proteger, restablecer y promover el uso sostenible de los ecosistemas terrestres, gestionar sosteniblemente los bosques, luchar contra la desertificación, detener e invertir la degradación de las tierras y detener la pérdida de biodiversidad.</w:t>
            </w:r>
          </w:p>
        </w:tc>
        <w:tc>
          <w:tcPr>
            <w:tcW w:w="1253" w:type="dxa"/>
            <w:tcBorders>
              <w:top w:val="single" w:sz="4" w:space="0" w:color="auto"/>
              <w:left w:val="single" w:sz="4" w:space="0" w:color="auto"/>
              <w:bottom w:val="single" w:sz="4" w:space="0" w:color="auto"/>
              <w:right w:val="single" w:sz="4" w:space="0" w:color="auto"/>
            </w:tcBorders>
            <w:vAlign w:val="center"/>
            <w:hideMark/>
          </w:tcPr>
          <w:p w14:paraId="0F1ADBDA" w14:textId="587C69F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10,643,121 </w:t>
            </w:r>
          </w:p>
        </w:tc>
      </w:tr>
      <w:tr w:rsidR="00A41077" w14:paraId="705B5484" w14:textId="77777777" w:rsidTr="00BF5974">
        <w:trPr>
          <w:trHeight w:val="2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F0C669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16</w:t>
            </w:r>
          </w:p>
        </w:tc>
        <w:tc>
          <w:tcPr>
            <w:tcW w:w="6259" w:type="dxa"/>
            <w:tcBorders>
              <w:top w:val="single" w:sz="4" w:space="0" w:color="auto"/>
              <w:left w:val="single" w:sz="4" w:space="0" w:color="auto"/>
              <w:bottom w:val="single" w:sz="4" w:space="0" w:color="auto"/>
              <w:right w:val="single" w:sz="4" w:space="0" w:color="auto"/>
            </w:tcBorders>
            <w:vAlign w:val="center"/>
            <w:hideMark/>
          </w:tcPr>
          <w:p w14:paraId="29C93AF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Promover sociedades pacíficas e inclusivas para el desarrollo sostenible, facilitar el acceso a la justicia para todos y construir a todos los niveles instituciones eficaces e inclusivas que rindan cuentas.</w:t>
            </w:r>
          </w:p>
        </w:tc>
        <w:tc>
          <w:tcPr>
            <w:tcW w:w="1253" w:type="dxa"/>
            <w:tcBorders>
              <w:top w:val="single" w:sz="4" w:space="0" w:color="auto"/>
              <w:left w:val="single" w:sz="4" w:space="0" w:color="auto"/>
              <w:bottom w:val="single" w:sz="4" w:space="0" w:color="auto"/>
              <w:right w:val="single" w:sz="4" w:space="0" w:color="auto"/>
            </w:tcBorders>
            <w:vAlign w:val="center"/>
            <w:hideMark/>
          </w:tcPr>
          <w:p w14:paraId="27E752AC" w14:textId="3DFCBB7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6,768,117,330 </w:t>
            </w:r>
          </w:p>
        </w:tc>
      </w:tr>
      <w:tr w:rsidR="00A41077" w14:paraId="4411FAD8" w14:textId="77777777" w:rsidTr="00BF5974">
        <w:trPr>
          <w:trHeight w:val="2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AC64974"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17</w:t>
            </w:r>
          </w:p>
        </w:tc>
        <w:tc>
          <w:tcPr>
            <w:tcW w:w="6259" w:type="dxa"/>
            <w:tcBorders>
              <w:top w:val="single" w:sz="4" w:space="0" w:color="auto"/>
              <w:left w:val="single" w:sz="4" w:space="0" w:color="auto"/>
              <w:bottom w:val="single" w:sz="4" w:space="0" w:color="auto"/>
              <w:right w:val="single" w:sz="4" w:space="0" w:color="auto"/>
            </w:tcBorders>
            <w:vAlign w:val="center"/>
            <w:hideMark/>
          </w:tcPr>
          <w:p w14:paraId="23FCF0F0"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Fortalecer los medios de implementación y revitalizar la alianza mundial para el desarrollo sostenible.</w:t>
            </w:r>
          </w:p>
        </w:tc>
        <w:tc>
          <w:tcPr>
            <w:tcW w:w="1253" w:type="dxa"/>
            <w:tcBorders>
              <w:top w:val="single" w:sz="4" w:space="0" w:color="auto"/>
              <w:left w:val="single" w:sz="4" w:space="0" w:color="auto"/>
              <w:bottom w:val="single" w:sz="4" w:space="0" w:color="auto"/>
              <w:right w:val="single" w:sz="4" w:space="0" w:color="auto"/>
            </w:tcBorders>
            <w:vAlign w:val="center"/>
            <w:hideMark/>
          </w:tcPr>
          <w:p w14:paraId="39B3DC2A" w14:textId="2027087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925,786,195 </w:t>
            </w:r>
          </w:p>
        </w:tc>
      </w:tr>
      <w:tr w:rsidR="00A41077" w14:paraId="4EFB8221" w14:textId="77777777" w:rsidTr="00BF5974">
        <w:trPr>
          <w:trHeight w:val="2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0D1042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99</w:t>
            </w:r>
          </w:p>
        </w:tc>
        <w:tc>
          <w:tcPr>
            <w:tcW w:w="6259" w:type="dxa"/>
            <w:tcBorders>
              <w:top w:val="single" w:sz="4" w:space="0" w:color="auto"/>
              <w:left w:val="single" w:sz="4" w:space="0" w:color="auto"/>
              <w:bottom w:val="single" w:sz="4" w:space="0" w:color="auto"/>
              <w:right w:val="single" w:sz="4" w:space="0" w:color="auto"/>
            </w:tcBorders>
            <w:vAlign w:val="center"/>
            <w:hideMark/>
          </w:tcPr>
          <w:p w14:paraId="6D9994F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Varios objetivos, varias metas agenda 2030.</w:t>
            </w:r>
          </w:p>
        </w:tc>
        <w:tc>
          <w:tcPr>
            <w:tcW w:w="1253" w:type="dxa"/>
            <w:tcBorders>
              <w:top w:val="single" w:sz="4" w:space="0" w:color="auto"/>
              <w:left w:val="single" w:sz="4" w:space="0" w:color="auto"/>
              <w:bottom w:val="single" w:sz="4" w:space="0" w:color="auto"/>
              <w:right w:val="single" w:sz="4" w:space="0" w:color="auto"/>
            </w:tcBorders>
            <w:vAlign w:val="center"/>
            <w:hideMark/>
          </w:tcPr>
          <w:p w14:paraId="37F50CDE" w14:textId="0095D42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175,959,389 </w:t>
            </w:r>
          </w:p>
        </w:tc>
      </w:tr>
      <w:tr w:rsidR="00A41077" w14:paraId="34216963" w14:textId="77777777" w:rsidTr="00BF5974">
        <w:trPr>
          <w:trHeight w:val="23"/>
        </w:trPr>
        <w:tc>
          <w:tcPr>
            <w:tcW w:w="567" w:type="dxa"/>
            <w:tcBorders>
              <w:top w:val="single" w:sz="4" w:space="0" w:color="auto"/>
              <w:left w:val="single" w:sz="4" w:space="0" w:color="auto"/>
              <w:bottom w:val="single" w:sz="4" w:space="0" w:color="auto"/>
              <w:right w:val="single" w:sz="4" w:space="0" w:color="auto"/>
            </w:tcBorders>
            <w:vAlign w:val="center"/>
            <w:hideMark/>
          </w:tcPr>
          <w:p w14:paraId="21BC11E5" w14:textId="77777777" w:rsidR="00A41077" w:rsidRDefault="00A41077" w:rsidP="00A41077">
            <w:pPr>
              <w:rPr>
                <w:rFonts w:eastAsia="Times New Roman" w:cs="Arial"/>
                <w:color w:val="000000"/>
                <w:sz w:val="16"/>
                <w:szCs w:val="16"/>
                <w:lang w:val="es-ES" w:eastAsia="en-US"/>
              </w:rPr>
            </w:pPr>
          </w:p>
        </w:tc>
        <w:tc>
          <w:tcPr>
            <w:tcW w:w="6259" w:type="dxa"/>
            <w:tcBorders>
              <w:top w:val="single" w:sz="4" w:space="0" w:color="auto"/>
              <w:left w:val="single" w:sz="4" w:space="0" w:color="auto"/>
              <w:bottom w:val="single" w:sz="4" w:space="0" w:color="auto"/>
              <w:right w:val="single" w:sz="4" w:space="0" w:color="auto"/>
            </w:tcBorders>
            <w:vAlign w:val="center"/>
            <w:hideMark/>
          </w:tcPr>
          <w:p w14:paraId="470732DE"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Total</w:t>
            </w:r>
          </w:p>
        </w:tc>
        <w:tc>
          <w:tcPr>
            <w:tcW w:w="1253" w:type="dxa"/>
            <w:tcBorders>
              <w:top w:val="single" w:sz="4" w:space="0" w:color="auto"/>
              <w:left w:val="single" w:sz="4" w:space="0" w:color="auto"/>
              <w:bottom w:val="single" w:sz="4" w:space="0" w:color="auto"/>
              <w:right w:val="single" w:sz="4" w:space="0" w:color="auto"/>
            </w:tcBorders>
            <w:vAlign w:val="center"/>
            <w:hideMark/>
          </w:tcPr>
          <w:p w14:paraId="7A373CB8" w14:textId="48FD07A7"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23,004,130,279 </w:t>
            </w:r>
          </w:p>
        </w:tc>
      </w:tr>
    </w:tbl>
    <w:p w14:paraId="00D4CF43" w14:textId="77777777" w:rsidR="00BF5974" w:rsidRDefault="00BF5974" w:rsidP="00BF5974">
      <w:pPr>
        <w:rPr>
          <w:rFonts w:cs="Arial"/>
        </w:rPr>
      </w:pPr>
    </w:p>
    <w:p w14:paraId="7F1FFE13" w14:textId="77777777" w:rsidR="00BF5974" w:rsidRDefault="00BF5974" w:rsidP="00BF5974">
      <w:pPr>
        <w:rPr>
          <w:rFonts w:cs="Arial"/>
          <w:lang w:val="es-ES"/>
        </w:rPr>
      </w:pPr>
      <w:r>
        <w:rPr>
          <w:rFonts w:cs="Arial"/>
          <w:lang w:val="es-ES"/>
        </w:rPr>
        <w:t xml:space="preserve">El detalle de las metas de la Agenda 2030 se muestra en el </w:t>
      </w:r>
      <w:bookmarkStart w:id="322" w:name="_Hlk180922585"/>
      <w:r>
        <w:rPr>
          <w:rFonts w:cs="Arial"/>
          <w:lang w:val="es-ES"/>
        </w:rPr>
        <w:t>Anexo 13 Objetivos y Metas de Desarrollo Sostenible de la Agenda 2030</w:t>
      </w:r>
      <w:bookmarkEnd w:id="322"/>
      <w:r>
        <w:rPr>
          <w:rFonts w:cs="Arial"/>
          <w:lang w:val="es-ES"/>
        </w:rPr>
        <w:t xml:space="preserve">. </w:t>
      </w:r>
    </w:p>
    <w:p w14:paraId="09631CB6" w14:textId="77777777" w:rsidR="00BF5974" w:rsidRDefault="00BF5974" w:rsidP="00BF5974">
      <w:pPr>
        <w:rPr>
          <w:rFonts w:cs="Arial"/>
          <w:b/>
          <w:lang w:val="es-ES"/>
        </w:rPr>
      </w:pPr>
    </w:p>
    <w:p w14:paraId="3A51303C" w14:textId="77777777" w:rsidR="00BF5974" w:rsidRDefault="00BF5974" w:rsidP="00BF5974">
      <w:pPr>
        <w:rPr>
          <w:rFonts w:cs="Arial"/>
          <w:lang w:val="es-ES"/>
        </w:rPr>
      </w:pPr>
      <w:r>
        <w:rPr>
          <w:rFonts w:cs="Arial"/>
          <w:b/>
          <w:lang w:val="es-ES"/>
        </w:rPr>
        <w:t>Artículo 91</w:t>
      </w:r>
      <w:r>
        <w:rPr>
          <w:rFonts w:cs="Arial"/>
          <w:lang w:val="es-ES"/>
        </w:rPr>
        <w:t xml:space="preserve">. La persona Titular del Poder Ejecutivo, a través </w:t>
      </w:r>
      <w:r>
        <w:rPr>
          <w:rFonts w:eastAsia="Times New Roman" w:cs="Arial"/>
        </w:rPr>
        <w:t>de la Administración Pública Centralizada y la Administración Pública Paraestatal</w:t>
      </w:r>
      <w:r>
        <w:rPr>
          <w:rFonts w:cs="Arial"/>
          <w:lang w:val="es-ES"/>
        </w:rPr>
        <w:t xml:space="preserve">, impulsará la igualdad de oportunidades entre mujeres y hombres, así como la erradicación de la violencia de género, para lograr la transversalidad de la Perspectiva de Género en la planeación, diseño, programación, aplicación, seguimiento y evaluación de los Programas Presupuestarios y proyectos de la Administración Pública Estatal. Para tal efecto, las </w:t>
      </w:r>
      <w:r>
        <w:rPr>
          <w:rFonts w:eastAsia="Times New Roman" w:cs="Arial"/>
        </w:rPr>
        <w:t>Dependencias de la Administración Pública Centralizada y Entidades de la Administración Pública Paraestatal</w:t>
      </w:r>
      <w:r>
        <w:rPr>
          <w:rFonts w:cs="Arial"/>
          <w:lang w:val="es-ES"/>
        </w:rPr>
        <w:t xml:space="preserve"> en el ejercicio de su presupuesto deberán considerar lo siguiente: </w:t>
      </w:r>
    </w:p>
    <w:p w14:paraId="57B43786" w14:textId="77777777" w:rsidR="00BF5974" w:rsidRDefault="00BF5974" w:rsidP="00BF5974">
      <w:pPr>
        <w:rPr>
          <w:rFonts w:cs="Arial"/>
          <w:lang w:val="es-ES"/>
        </w:rPr>
      </w:pPr>
    </w:p>
    <w:p w14:paraId="37C305B1" w14:textId="77777777" w:rsidR="00BF5974" w:rsidRDefault="00BF5974" w:rsidP="00BF5974">
      <w:pPr>
        <w:numPr>
          <w:ilvl w:val="0"/>
          <w:numId w:val="7"/>
        </w:numPr>
        <w:ind w:hanging="436"/>
        <w:contextualSpacing/>
        <w:rPr>
          <w:rFonts w:eastAsia="Times New Roman" w:cs="Arial"/>
        </w:rPr>
      </w:pPr>
      <w:r>
        <w:rPr>
          <w:rFonts w:eastAsia="Times New Roman" w:cs="Arial"/>
        </w:rPr>
        <w:t>Basarse en la Perspectiva de Género para la programación, presupuestación y ejercicio del Gasto Público y reflejarla en la Metodología de Marco Lógico de los Programas Presupuestarios a su cargo;</w:t>
      </w:r>
    </w:p>
    <w:p w14:paraId="4FBE345C" w14:textId="77777777" w:rsidR="00BF5974" w:rsidRDefault="00BF5974" w:rsidP="00BF5974">
      <w:pPr>
        <w:numPr>
          <w:ilvl w:val="0"/>
          <w:numId w:val="7"/>
        </w:numPr>
        <w:ind w:hanging="436"/>
        <w:contextualSpacing/>
        <w:rPr>
          <w:rFonts w:eastAsia="Times New Roman" w:cs="Arial"/>
        </w:rPr>
      </w:pPr>
      <w:r>
        <w:rPr>
          <w:rFonts w:eastAsia="Times New Roman" w:cs="Arial"/>
        </w:rPr>
        <w:t>Promover la Perspectiva de Género en aquellos Programas Presupuestarios que aun cuando no estén dirigidos a mitigar o solventar desigualdades de género, se puedan observar variaciones en los beneficios específicos para mujeres y hombres;</w:t>
      </w:r>
    </w:p>
    <w:p w14:paraId="4EEB9E30" w14:textId="77777777" w:rsidR="00BF5974" w:rsidRDefault="00BF5974" w:rsidP="00BF5974">
      <w:pPr>
        <w:numPr>
          <w:ilvl w:val="0"/>
          <w:numId w:val="7"/>
        </w:numPr>
        <w:ind w:hanging="436"/>
        <w:contextualSpacing/>
        <w:rPr>
          <w:rFonts w:eastAsia="Times New Roman" w:cs="Arial"/>
        </w:rPr>
      </w:pPr>
      <w:r>
        <w:rPr>
          <w:rFonts w:eastAsia="Times New Roman" w:cs="Arial"/>
        </w:rPr>
        <w:t>Emprender acciones que permitan avanzar en la consolidación de la equidad de género;</w:t>
      </w:r>
    </w:p>
    <w:p w14:paraId="40207F70" w14:textId="77777777" w:rsidR="00BF5974" w:rsidRDefault="00BF5974" w:rsidP="00BF5974">
      <w:pPr>
        <w:numPr>
          <w:ilvl w:val="0"/>
          <w:numId w:val="7"/>
        </w:numPr>
        <w:ind w:hanging="436"/>
        <w:contextualSpacing/>
        <w:rPr>
          <w:rFonts w:cs="Arial"/>
          <w:lang w:val="es-ES"/>
        </w:rPr>
      </w:pPr>
      <w:r>
        <w:rPr>
          <w:rFonts w:eastAsia="Times New Roman" w:cs="Arial"/>
        </w:rPr>
        <w:t xml:space="preserve">Atender los requerimientos de información para el seguimiento y monitoreo de las acciones con Perspectiva de Género, a través de Indicadores de Género y Estadística Desagregada por Sexo; </w:t>
      </w:r>
    </w:p>
    <w:p w14:paraId="39C5CA06" w14:textId="77777777" w:rsidR="00BF5974" w:rsidRDefault="00BF5974" w:rsidP="00BF5974">
      <w:pPr>
        <w:numPr>
          <w:ilvl w:val="0"/>
          <w:numId w:val="7"/>
        </w:numPr>
        <w:ind w:hanging="436"/>
        <w:contextualSpacing/>
        <w:rPr>
          <w:rFonts w:cs="Arial"/>
          <w:lang w:val="es-ES"/>
        </w:rPr>
      </w:pPr>
      <w:r>
        <w:rPr>
          <w:rFonts w:cs="Arial"/>
          <w:lang w:val="es-ES"/>
        </w:rPr>
        <w:t xml:space="preserve">Seguir cumpliendo con las acciones derivadas de la Declaratoria de Alerta de Violencia de Género contra las Mujeres del Estado de Colima (AVG) y en el Dictamen sobre la Implementación de las Propuestas Contenidas en las Conclusiones del Informe Emitido por el Grupo de Trabajo Conformado para atender </w:t>
      </w:r>
      <w:r>
        <w:rPr>
          <w:rFonts w:cs="Arial"/>
          <w:lang w:val="es-ES"/>
        </w:rPr>
        <w:lastRenderedPageBreak/>
        <w:t>la solicitud de Alerta de Violencia de Género contra las Mujeres en el Estado de Colima; y</w:t>
      </w:r>
    </w:p>
    <w:p w14:paraId="73E415F4" w14:textId="77777777" w:rsidR="00BF5974" w:rsidRDefault="00BF5974" w:rsidP="00BF5974">
      <w:pPr>
        <w:numPr>
          <w:ilvl w:val="0"/>
          <w:numId w:val="7"/>
        </w:numPr>
        <w:rPr>
          <w:rFonts w:cs="Arial"/>
          <w:lang w:val="es-ES"/>
        </w:rPr>
      </w:pPr>
      <w:r>
        <w:rPr>
          <w:rFonts w:cs="Arial"/>
          <w:lang w:val="es-ES"/>
        </w:rPr>
        <w:t>Para apoyar a la igualdad entre mujeres y hombres en el Estado de Colima se prevén recursos en diversos programas transversales del Poder Ejecutivo, mismos que promuevan la erradicación de la violencia de género, adicionalmente los entes públicos deberán adoptar acciones para identificar los recursos empleados en el cumplimiento de esta tarea, así como continuar fomentándola, a través de los diferentes programas que ejecutan con cargo a los recursos públicos.</w:t>
      </w:r>
    </w:p>
    <w:p w14:paraId="102B2050" w14:textId="77777777" w:rsidR="00BF5974" w:rsidRDefault="00BF5974" w:rsidP="00BF5974">
      <w:pPr>
        <w:keepNext/>
        <w:keepLines/>
        <w:ind w:left="360"/>
        <w:jc w:val="center"/>
        <w:outlineLvl w:val="1"/>
        <w:rPr>
          <w:rFonts w:eastAsia="Times New Roman" w:cs="Arial"/>
          <w:b/>
          <w:lang w:val="es-ES"/>
        </w:rPr>
      </w:pPr>
    </w:p>
    <w:tbl>
      <w:tblPr>
        <w:tblW w:w="7080" w:type="dxa"/>
        <w:jc w:val="center"/>
        <w:tblCellMar>
          <w:left w:w="70" w:type="dxa"/>
          <w:right w:w="70" w:type="dxa"/>
        </w:tblCellMar>
        <w:tblLook w:val="04A0" w:firstRow="1" w:lastRow="0" w:firstColumn="1" w:lastColumn="0" w:noHBand="0" w:noVBand="1"/>
      </w:tblPr>
      <w:tblGrid>
        <w:gridCol w:w="5670"/>
        <w:gridCol w:w="1410"/>
      </w:tblGrid>
      <w:tr w:rsidR="00BF5974" w14:paraId="07593CED" w14:textId="77777777" w:rsidTr="00BF5974">
        <w:trPr>
          <w:trHeight w:val="20"/>
          <w:tblHeader/>
          <w:jc w:val="center"/>
        </w:trPr>
        <w:tc>
          <w:tcPr>
            <w:tcW w:w="7080" w:type="dxa"/>
            <w:gridSpan w:val="2"/>
            <w:tcBorders>
              <w:top w:val="nil"/>
              <w:left w:val="nil"/>
              <w:bottom w:val="single" w:sz="4" w:space="0" w:color="auto"/>
              <w:right w:val="nil"/>
            </w:tcBorders>
            <w:noWrap/>
            <w:vAlign w:val="center"/>
            <w:hideMark/>
          </w:tcPr>
          <w:p w14:paraId="61835B7A" w14:textId="77777777" w:rsidR="00BF5974" w:rsidRDefault="00BF5974">
            <w:pPr>
              <w:spacing w:line="256" w:lineRule="auto"/>
              <w:jc w:val="center"/>
              <w:rPr>
                <w:rFonts w:eastAsia="Times New Roman" w:cs="Arial"/>
                <w:b/>
                <w:bCs/>
                <w:sz w:val="20"/>
                <w:lang w:val="es-ES" w:eastAsia="en-US"/>
              </w:rPr>
            </w:pPr>
            <w:bookmarkStart w:id="323" w:name="_Toc22983252"/>
            <w:bookmarkStart w:id="324" w:name="_Toc22022016"/>
            <w:r>
              <w:rPr>
                <w:rFonts w:eastAsia="Times New Roman" w:cs="Arial"/>
                <w:b/>
                <w:sz w:val="20"/>
                <w:lang w:val="es-ES" w:eastAsia="en-US"/>
              </w:rPr>
              <w:t>Tabla 64. Igualdad de Oportunidades entre Mujeres y Hombres</w:t>
            </w:r>
            <w:bookmarkEnd w:id="323"/>
            <w:bookmarkEnd w:id="324"/>
          </w:p>
        </w:tc>
      </w:tr>
      <w:tr w:rsidR="00BF5974" w14:paraId="1FEB693D" w14:textId="77777777" w:rsidTr="00BF5974">
        <w:trPr>
          <w:trHeight w:val="20"/>
          <w:tblHeader/>
          <w:jc w:val="center"/>
        </w:trPr>
        <w:tc>
          <w:tcPr>
            <w:tcW w:w="5670" w:type="dxa"/>
            <w:tcBorders>
              <w:top w:val="single" w:sz="4" w:space="0" w:color="auto"/>
              <w:left w:val="single" w:sz="4" w:space="0" w:color="auto"/>
              <w:bottom w:val="single" w:sz="4" w:space="0" w:color="auto"/>
              <w:right w:val="single" w:sz="4" w:space="0" w:color="auto"/>
            </w:tcBorders>
            <w:noWrap/>
            <w:vAlign w:val="center"/>
            <w:hideMark/>
          </w:tcPr>
          <w:p w14:paraId="05830F44" w14:textId="77777777" w:rsidR="00BF5974" w:rsidRDefault="00BF5974">
            <w:pPr>
              <w:spacing w:line="256" w:lineRule="auto"/>
              <w:jc w:val="center"/>
              <w:rPr>
                <w:rFonts w:eastAsia="Times New Roman" w:cs="Arial"/>
                <w:b/>
                <w:bCs/>
                <w:sz w:val="20"/>
                <w:szCs w:val="24"/>
                <w:lang w:val="es-ES" w:eastAsia="en-US"/>
              </w:rPr>
            </w:pPr>
            <w:r>
              <w:rPr>
                <w:rFonts w:eastAsia="Times New Roman" w:cs="Arial"/>
                <w:b/>
                <w:bCs/>
                <w:sz w:val="20"/>
                <w:szCs w:val="24"/>
                <w:lang w:val="es-ES" w:eastAsia="en-US"/>
              </w:rPr>
              <w:t>Concepto</w:t>
            </w:r>
          </w:p>
        </w:tc>
        <w:tc>
          <w:tcPr>
            <w:tcW w:w="1410" w:type="dxa"/>
            <w:tcBorders>
              <w:top w:val="single" w:sz="4" w:space="0" w:color="auto"/>
              <w:left w:val="nil"/>
              <w:bottom w:val="single" w:sz="4" w:space="0" w:color="auto"/>
              <w:right w:val="single" w:sz="4" w:space="0" w:color="auto"/>
            </w:tcBorders>
            <w:vAlign w:val="center"/>
            <w:hideMark/>
          </w:tcPr>
          <w:p w14:paraId="0FED5BE7" w14:textId="77777777" w:rsidR="00BF5974" w:rsidRDefault="00BF5974">
            <w:pPr>
              <w:spacing w:line="256" w:lineRule="auto"/>
              <w:jc w:val="center"/>
              <w:rPr>
                <w:rFonts w:eastAsia="Times New Roman" w:cs="Arial"/>
                <w:b/>
                <w:bCs/>
                <w:sz w:val="20"/>
                <w:szCs w:val="24"/>
                <w:lang w:val="es-ES" w:eastAsia="en-US"/>
              </w:rPr>
            </w:pPr>
            <w:r>
              <w:rPr>
                <w:rFonts w:eastAsia="Times New Roman" w:cs="Arial"/>
                <w:b/>
                <w:bCs/>
                <w:sz w:val="20"/>
                <w:szCs w:val="24"/>
                <w:lang w:val="es-ES" w:eastAsia="en-US"/>
              </w:rPr>
              <w:t>Asignación Presupuestal</w:t>
            </w:r>
          </w:p>
        </w:tc>
      </w:tr>
      <w:tr w:rsidR="00BF5974" w14:paraId="0D80FD81" w14:textId="77777777" w:rsidTr="00BF5974">
        <w:trPr>
          <w:trHeight w:val="20"/>
          <w:jc w:val="center"/>
        </w:trPr>
        <w:tc>
          <w:tcPr>
            <w:tcW w:w="5670" w:type="dxa"/>
            <w:tcBorders>
              <w:top w:val="nil"/>
              <w:left w:val="single" w:sz="4" w:space="0" w:color="auto"/>
              <w:bottom w:val="single" w:sz="4" w:space="0" w:color="auto"/>
              <w:right w:val="single" w:sz="4" w:space="0" w:color="auto"/>
            </w:tcBorders>
            <w:noWrap/>
            <w:vAlign w:val="center"/>
            <w:hideMark/>
          </w:tcPr>
          <w:p w14:paraId="2531051B" w14:textId="77777777" w:rsidR="00BF5974" w:rsidRDefault="00BF5974">
            <w:pPr>
              <w:spacing w:line="256" w:lineRule="auto"/>
              <w:rPr>
                <w:rFonts w:eastAsia="Times New Roman" w:cs="Arial"/>
                <w:sz w:val="20"/>
                <w:szCs w:val="24"/>
                <w:lang w:val="es-ES" w:eastAsia="en-US"/>
              </w:rPr>
            </w:pPr>
            <w:r>
              <w:rPr>
                <w:rFonts w:cs="Arial"/>
                <w:color w:val="000000"/>
                <w:sz w:val="20"/>
                <w:szCs w:val="24"/>
                <w:lang w:val="es-ES" w:eastAsia="en-US"/>
              </w:rPr>
              <w:t>Discriminación por cuestiones de género.</w:t>
            </w:r>
          </w:p>
        </w:tc>
        <w:tc>
          <w:tcPr>
            <w:tcW w:w="1410" w:type="dxa"/>
            <w:tcBorders>
              <w:top w:val="nil"/>
              <w:left w:val="nil"/>
              <w:bottom w:val="single" w:sz="4" w:space="0" w:color="auto"/>
              <w:right w:val="single" w:sz="4" w:space="0" w:color="auto"/>
            </w:tcBorders>
            <w:noWrap/>
            <w:vAlign w:val="center"/>
            <w:hideMark/>
          </w:tcPr>
          <w:p w14:paraId="649D9C45" w14:textId="77777777" w:rsidR="00BF5974" w:rsidRDefault="00BF5974">
            <w:pPr>
              <w:spacing w:line="256" w:lineRule="auto"/>
              <w:jc w:val="right"/>
              <w:rPr>
                <w:rFonts w:eastAsia="Times New Roman" w:cs="Arial"/>
                <w:sz w:val="20"/>
                <w:szCs w:val="24"/>
                <w:lang w:val="es-ES" w:eastAsia="en-US"/>
              </w:rPr>
            </w:pPr>
            <w:r>
              <w:rPr>
                <w:rFonts w:cs="Arial"/>
                <w:color w:val="000000"/>
                <w:sz w:val="18"/>
                <w:szCs w:val="18"/>
                <w:lang w:val="es-ES" w:eastAsia="en-US"/>
              </w:rPr>
              <w:t xml:space="preserve">41,364,441 </w:t>
            </w:r>
          </w:p>
        </w:tc>
      </w:tr>
      <w:tr w:rsidR="00BF5974" w14:paraId="542B1455" w14:textId="77777777" w:rsidTr="00BF5974">
        <w:trPr>
          <w:trHeight w:val="20"/>
          <w:jc w:val="center"/>
        </w:trPr>
        <w:tc>
          <w:tcPr>
            <w:tcW w:w="5670" w:type="dxa"/>
            <w:tcBorders>
              <w:top w:val="nil"/>
              <w:left w:val="single" w:sz="4" w:space="0" w:color="auto"/>
              <w:bottom w:val="single" w:sz="4" w:space="0" w:color="auto"/>
              <w:right w:val="single" w:sz="4" w:space="0" w:color="auto"/>
            </w:tcBorders>
            <w:noWrap/>
            <w:vAlign w:val="center"/>
            <w:hideMark/>
          </w:tcPr>
          <w:p w14:paraId="2889E9B3" w14:textId="77777777" w:rsidR="00BF5974" w:rsidRDefault="00BF5974">
            <w:pPr>
              <w:spacing w:line="256" w:lineRule="auto"/>
              <w:rPr>
                <w:rFonts w:eastAsia="Times New Roman" w:cs="Arial"/>
                <w:sz w:val="20"/>
                <w:szCs w:val="24"/>
                <w:lang w:val="es-ES" w:eastAsia="en-US"/>
              </w:rPr>
            </w:pPr>
            <w:r>
              <w:rPr>
                <w:rFonts w:cs="Arial"/>
                <w:color w:val="000000"/>
                <w:sz w:val="20"/>
                <w:szCs w:val="24"/>
                <w:lang w:val="es-ES" w:eastAsia="en-US"/>
              </w:rPr>
              <w:t>Violencia por cuestiones de género.</w:t>
            </w:r>
          </w:p>
        </w:tc>
        <w:tc>
          <w:tcPr>
            <w:tcW w:w="1410" w:type="dxa"/>
            <w:tcBorders>
              <w:top w:val="nil"/>
              <w:left w:val="nil"/>
              <w:bottom w:val="single" w:sz="4" w:space="0" w:color="auto"/>
              <w:right w:val="single" w:sz="4" w:space="0" w:color="auto"/>
            </w:tcBorders>
            <w:noWrap/>
            <w:vAlign w:val="center"/>
            <w:hideMark/>
          </w:tcPr>
          <w:p w14:paraId="4DD73578" w14:textId="77777777" w:rsidR="00BF5974" w:rsidRDefault="00BF5974">
            <w:pPr>
              <w:spacing w:line="256" w:lineRule="auto"/>
              <w:jc w:val="right"/>
              <w:rPr>
                <w:rFonts w:eastAsia="Times New Roman" w:cs="Arial"/>
                <w:sz w:val="20"/>
                <w:szCs w:val="24"/>
                <w:lang w:val="es-ES" w:eastAsia="en-US"/>
              </w:rPr>
            </w:pPr>
            <w:r>
              <w:rPr>
                <w:rFonts w:cs="Arial"/>
                <w:color w:val="000000"/>
                <w:sz w:val="18"/>
                <w:szCs w:val="18"/>
                <w:lang w:val="es-ES" w:eastAsia="en-US"/>
              </w:rPr>
              <w:t xml:space="preserve">11,889,519 </w:t>
            </w:r>
          </w:p>
        </w:tc>
      </w:tr>
      <w:tr w:rsidR="00BF5974" w14:paraId="79AF9E16" w14:textId="77777777" w:rsidTr="00BF5974">
        <w:trPr>
          <w:trHeight w:val="20"/>
          <w:jc w:val="center"/>
        </w:trPr>
        <w:tc>
          <w:tcPr>
            <w:tcW w:w="5670" w:type="dxa"/>
            <w:tcBorders>
              <w:top w:val="nil"/>
              <w:left w:val="single" w:sz="4" w:space="0" w:color="auto"/>
              <w:bottom w:val="single" w:sz="4" w:space="0" w:color="auto"/>
              <w:right w:val="single" w:sz="4" w:space="0" w:color="auto"/>
            </w:tcBorders>
            <w:noWrap/>
            <w:vAlign w:val="center"/>
            <w:hideMark/>
          </w:tcPr>
          <w:p w14:paraId="13B7F59F" w14:textId="77777777" w:rsidR="00BF5974" w:rsidRDefault="00BF5974">
            <w:pPr>
              <w:spacing w:line="256" w:lineRule="auto"/>
              <w:rPr>
                <w:rFonts w:eastAsia="Times New Roman" w:cs="Arial"/>
                <w:sz w:val="20"/>
                <w:szCs w:val="24"/>
                <w:lang w:val="es-ES" w:eastAsia="en-US"/>
              </w:rPr>
            </w:pPr>
            <w:r>
              <w:rPr>
                <w:rFonts w:cs="Arial"/>
                <w:color w:val="000000"/>
                <w:sz w:val="20"/>
                <w:szCs w:val="24"/>
                <w:lang w:val="es-ES" w:eastAsia="en-US"/>
              </w:rPr>
              <w:t>Igualdad sustantiva.</w:t>
            </w:r>
          </w:p>
        </w:tc>
        <w:tc>
          <w:tcPr>
            <w:tcW w:w="1410" w:type="dxa"/>
            <w:tcBorders>
              <w:top w:val="nil"/>
              <w:left w:val="nil"/>
              <w:bottom w:val="single" w:sz="4" w:space="0" w:color="auto"/>
              <w:right w:val="single" w:sz="4" w:space="0" w:color="auto"/>
            </w:tcBorders>
            <w:noWrap/>
            <w:vAlign w:val="center"/>
            <w:hideMark/>
          </w:tcPr>
          <w:p w14:paraId="13568817" w14:textId="77777777" w:rsidR="00BF5974" w:rsidRDefault="00BF5974">
            <w:pPr>
              <w:spacing w:line="256" w:lineRule="auto"/>
              <w:jc w:val="right"/>
              <w:rPr>
                <w:rFonts w:eastAsia="Times New Roman" w:cs="Arial"/>
                <w:sz w:val="20"/>
                <w:szCs w:val="24"/>
                <w:lang w:val="es-ES" w:eastAsia="en-US"/>
              </w:rPr>
            </w:pPr>
            <w:r>
              <w:rPr>
                <w:rFonts w:cs="Arial"/>
                <w:color w:val="000000"/>
                <w:sz w:val="18"/>
                <w:szCs w:val="18"/>
                <w:lang w:val="es-ES" w:eastAsia="en-US"/>
              </w:rPr>
              <w:t xml:space="preserve">10,779,263 </w:t>
            </w:r>
          </w:p>
        </w:tc>
      </w:tr>
      <w:tr w:rsidR="00BF5974" w14:paraId="0BAB44A3" w14:textId="77777777" w:rsidTr="00BF5974">
        <w:trPr>
          <w:trHeight w:val="20"/>
          <w:jc w:val="center"/>
        </w:trPr>
        <w:tc>
          <w:tcPr>
            <w:tcW w:w="5670" w:type="dxa"/>
            <w:tcBorders>
              <w:top w:val="nil"/>
              <w:left w:val="single" w:sz="4" w:space="0" w:color="auto"/>
              <w:bottom w:val="single" w:sz="4" w:space="0" w:color="auto"/>
              <w:right w:val="single" w:sz="4" w:space="0" w:color="auto"/>
            </w:tcBorders>
            <w:noWrap/>
            <w:vAlign w:val="bottom"/>
            <w:hideMark/>
          </w:tcPr>
          <w:p w14:paraId="6150B9FC" w14:textId="77777777" w:rsidR="00BF5974" w:rsidRDefault="00BF5974">
            <w:pPr>
              <w:spacing w:line="256" w:lineRule="auto"/>
              <w:rPr>
                <w:rFonts w:eastAsia="Times New Roman" w:cs="Arial"/>
                <w:sz w:val="20"/>
                <w:szCs w:val="24"/>
                <w:lang w:val="es-ES" w:eastAsia="en-US"/>
              </w:rPr>
            </w:pPr>
            <w:r>
              <w:rPr>
                <w:rFonts w:cs="Arial"/>
                <w:color w:val="000000"/>
                <w:sz w:val="20"/>
                <w:szCs w:val="24"/>
                <w:lang w:val="es-ES" w:eastAsia="en-US"/>
              </w:rPr>
              <w:t>Derechos reproductivos.</w:t>
            </w:r>
          </w:p>
        </w:tc>
        <w:tc>
          <w:tcPr>
            <w:tcW w:w="1410" w:type="dxa"/>
            <w:tcBorders>
              <w:top w:val="nil"/>
              <w:left w:val="nil"/>
              <w:bottom w:val="single" w:sz="4" w:space="0" w:color="auto"/>
              <w:right w:val="single" w:sz="4" w:space="0" w:color="auto"/>
            </w:tcBorders>
            <w:noWrap/>
            <w:vAlign w:val="center"/>
            <w:hideMark/>
          </w:tcPr>
          <w:p w14:paraId="70FBEC75" w14:textId="77777777" w:rsidR="00BF5974" w:rsidRDefault="00BF5974">
            <w:pPr>
              <w:spacing w:line="256" w:lineRule="auto"/>
              <w:jc w:val="right"/>
              <w:rPr>
                <w:rFonts w:eastAsia="Times New Roman" w:cs="Arial"/>
                <w:sz w:val="20"/>
                <w:szCs w:val="24"/>
                <w:lang w:val="es-ES" w:eastAsia="en-US"/>
              </w:rPr>
            </w:pPr>
            <w:r>
              <w:rPr>
                <w:rFonts w:cs="Arial"/>
                <w:color w:val="000000"/>
                <w:sz w:val="18"/>
                <w:szCs w:val="18"/>
                <w:lang w:val="es-ES" w:eastAsia="en-US"/>
              </w:rPr>
              <w:t xml:space="preserve">188,412,264 </w:t>
            </w:r>
          </w:p>
        </w:tc>
      </w:tr>
      <w:tr w:rsidR="00BF5974" w14:paraId="54A27EB7" w14:textId="77777777" w:rsidTr="00BF5974">
        <w:trPr>
          <w:trHeight w:val="20"/>
          <w:jc w:val="center"/>
        </w:trPr>
        <w:tc>
          <w:tcPr>
            <w:tcW w:w="5670" w:type="dxa"/>
            <w:tcBorders>
              <w:top w:val="nil"/>
              <w:left w:val="single" w:sz="4" w:space="0" w:color="auto"/>
              <w:bottom w:val="single" w:sz="4" w:space="0" w:color="auto"/>
              <w:right w:val="single" w:sz="4" w:space="0" w:color="auto"/>
            </w:tcBorders>
            <w:noWrap/>
            <w:vAlign w:val="center"/>
            <w:hideMark/>
          </w:tcPr>
          <w:p w14:paraId="4474C5B4" w14:textId="77777777" w:rsidR="00BF5974" w:rsidRDefault="00BF5974">
            <w:pPr>
              <w:spacing w:line="256" w:lineRule="auto"/>
              <w:jc w:val="center"/>
              <w:rPr>
                <w:rFonts w:eastAsia="Times New Roman" w:cs="Arial"/>
                <w:b/>
                <w:bCs/>
                <w:sz w:val="20"/>
                <w:szCs w:val="24"/>
                <w:lang w:val="es-ES" w:eastAsia="en-US"/>
              </w:rPr>
            </w:pPr>
            <w:r>
              <w:rPr>
                <w:rFonts w:cs="Arial"/>
                <w:b/>
                <w:bCs/>
                <w:color w:val="000000"/>
                <w:sz w:val="20"/>
                <w:szCs w:val="24"/>
                <w:lang w:val="es-ES" w:eastAsia="en-US"/>
              </w:rPr>
              <w:t>Total</w:t>
            </w:r>
          </w:p>
        </w:tc>
        <w:tc>
          <w:tcPr>
            <w:tcW w:w="1410" w:type="dxa"/>
            <w:tcBorders>
              <w:top w:val="nil"/>
              <w:left w:val="nil"/>
              <w:bottom w:val="single" w:sz="4" w:space="0" w:color="auto"/>
              <w:right w:val="single" w:sz="4" w:space="0" w:color="auto"/>
            </w:tcBorders>
            <w:noWrap/>
            <w:vAlign w:val="center"/>
            <w:hideMark/>
          </w:tcPr>
          <w:p w14:paraId="4ED175D6" w14:textId="77777777" w:rsidR="00BF5974" w:rsidRDefault="00BF5974">
            <w:pPr>
              <w:spacing w:line="256" w:lineRule="auto"/>
              <w:jc w:val="right"/>
              <w:rPr>
                <w:rFonts w:eastAsia="Times New Roman" w:cs="Arial"/>
                <w:b/>
                <w:bCs/>
                <w:color w:val="000000"/>
                <w:sz w:val="20"/>
                <w:szCs w:val="24"/>
                <w:lang w:val="es-ES" w:eastAsia="en-US"/>
              </w:rPr>
            </w:pPr>
            <w:r>
              <w:rPr>
                <w:rFonts w:cs="Arial"/>
                <w:b/>
                <w:bCs/>
                <w:color w:val="000000"/>
                <w:sz w:val="18"/>
                <w:szCs w:val="18"/>
                <w:lang w:val="es-ES" w:eastAsia="en-US"/>
              </w:rPr>
              <w:t xml:space="preserve">252,445,487 </w:t>
            </w:r>
          </w:p>
        </w:tc>
      </w:tr>
    </w:tbl>
    <w:p w14:paraId="78E40280" w14:textId="77777777" w:rsidR="00BF5974" w:rsidRDefault="00BF5974" w:rsidP="00BF5974">
      <w:pPr>
        <w:rPr>
          <w:rFonts w:cs="Arial"/>
          <w:b/>
          <w:lang w:val="es-ES"/>
        </w:rPr>
      </w:pPr>
    </w:p>
    <w:p w14:paraId="5E40E867" w14:textId="77777777" w:rsidR="00BF5974" w:rsidRDefault="00BF5974" w:rsidP="00BF5974">
      <w:pPr>
        <w:rPr>
          <w:rFonts w:cs="Arial"/>
          <w:lang w:val="es-ES"/>
        </w:rPr>
      </w:pPr>
      <w:r>
        <w:rPr>
          <w:rFonts w:cs="Arial"/>
          <w:lang w:val="es-ES"/>
        </w:rPr>
        <w:t xml:space="preserve">En el </w:t>
      </w:r>
      <w:bookmarkStart w:id="325" w:name="_Hlk180922566"/>
      <w:r w:rsidRPr="00657B7A">
        <w:rPr>
          <w:rFonts w:cs="Arial"/>
          <w:b/>
          <w:bCs/>
          <w:lang w:val="es-ES"/>
        </w:rPr>
        <w:t>Anexo 14</w:t>
      </w:r>
      <w:r>
        <w:rPr>
          <w:rFonts w:cs="Arial"/>
          <w:lang w:val="es-ES"/>
        </w:rPr>
        <w:t xml:space="preserve"> se detallan las </w:t>
      </w:r>
      <w:bookmarkStart w:id="326" w:name="_Hlk179456516"/>
      <w:r>
        <w:rPr>
          <w:rFonts w:cs="Arial"/>
          <w:lang w:val="es-ES"/>
        </w:rPr>
        <w:t>Erogaciones para la Igualdad entre Mujeres y Hombres</w:t>
      </w:r>
      <w:bookmarkEnd w:id="325"/>
      <w:bookmarkEnd w:id="326"/>
      <w:r>
        <w:rPr>
          <w:rFonts w:cs="Arial"/>
          <w:lang w:val="es-ES"/>
        </w:rPr>
        <w:t>.</w:t>
      </w:r>
    </w:p>
    <w:p w14:paraId="7B2093A7" w14:textId="77777777" w:rsidR="00BF5974" w:rsidRDefault="00BF5974" w:rsidP="00BF5974">
      <w:pPr>
        <w:rPr>
          <w:rFonts w:cs="Arial"/>
          <w:b/>
          <w:lang w:val="es-ES"/>
        </w:rPr>
      </w:pPr>
    </w:p>
    <w:p w14:paraId="2BCD5E83" w14:textId="77777777" w:rsidR="00BF5974" w:rsidRDefault="00BF5974" w:rsidP="00BF5974">
      <w:pPr>
        <w:rPr>
          <w:rFonts w:eastAsia="Times New Roman" w:cs="Arial"/>
        </w:rPr>
      </w:pPr>
      <w:r>
        <w:rPr>
          <w:rFonts w:cs="Arial"/>
          <w:b/>
          <w:lang w:val="es-ES"/>
        </w:rPr>
        <w:t xml:space="preserve">Artículo 92. </w:t>
      </w:r>
      <w:r>
        <w:rPr>
          <w:rFonts w:cs="Arial"/>
          <w:lang w:val="es-ES"/>
        </w:rPr>
        <w:t>En cumplimiento a lo dispuesto por el artículo 4º de la Constitución Política de los Estados Unidos Mexicanos, que señala que en todas las decisiones y actuaciones del Estado se debe priorizar el principio del interés superior de la niñez, garantizando de manera plena sus derechos; así como por lo señalado en la Ley General de los Derechos de Niñas, Niños y Adolescentes, que establece que los programas y políticas públicas tendrán un enfoque integral, transversal y con perspectiva de derechos humanos en su diseño e instrumentación; se identifican las asignaciones presupuestarias para la niñez.</w:t>
      </w:r>
    </w:p>
    <w:p w14:paraId="00AF9059" w14:textId="77777777" w:rsidR="00BF5974" w:rsidRDefault="00BF5974" w:rsidP="00BF5974">
      <w:pPr>
        <w:rPr>
          <w:rFonts w:cs="Arial"/>
          <w:lang w:val="es-ES"/>
        </w:rPr>
      </w:pPr>
    </w:p>
    <w:p w14:paraId="6A41681E" w14:textId="77777777" w:rsidR="00BF5974" w:rsidRDefault="00BF5974" w:rsidP="00BF5974">
      <w:pPr>
        <w:rPr>
          <w:rFonts w:cs="Arial"/>
          <w:lang w:val="es-ES"/>
        </w:rPr>
      </w:pPr>
      <w:r>
        <w:rPr>
          <w:rFonts w:cs="Arial"/>
          <w:lang w:val="es-ES"/>
        </w:rPr>
        <w:t xml:space="preserve">Se identifican y clasifican los Proyectos Presupuestarios de acuerdo a la metodología establecida por el </w:t>
      </w:r>
      <w:r>
        <w:rPr>
          <w:rFonts w:cs="Arial"/>
          <w:bCs/>
          <w:lang w:val="es-ES"/>
        </w:rPr>
        <w:t>Fondo de las Naciones Unidas para la Infancia (UNICEF)</w:t>
      </w:r>
      <w:r>
        <w:rPr>
          <w:rFonts w:cs="Arial"/>
          <w:lang w:val="es-ES"/>
        </w:rPr>
        <w:t xml:space="preserve"> en el Ejercicio Fiscal 2025, en términos de los derechos fundamentales, los cuales son: </w:t>
      </w:r>
    </w:p>
    <w:p w14:paraId="6A44332B" w14:textId="77777777" w:rsidR="00BF5974" w:rsidRDefault="00BF5974" w:rsidP="00BF5974">
      <w:pPr>
        <w:keepNext/>
        <w:keepLines/>
        <w:jc w:val="center"/>
        <w:outlineLvl w:val="1"/>
        <w:rPr>
          <w:rFonts w:eastAsia="Times New Roman" w:cs="Arial"/>
          <w:b/>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589"/>
      </w:tblGrid>
      <w:tr w:rsidR="00BF5974" w14:paraId="28E25796" w14:textId="77777777" w:rsidTr="00BF5974">
        <w:trPr>
          <w:trHeight w:val="20"/>
          <w:tblHeader/>
          <w:jc w:val="center"/>
        </w:trPr>
        <w:tc>
          <w:tcPr>
            <w:tcW w:w="7118" w:type="dxa"/>
            <w:gridSpan w:val="2"/>
            <w:tcBorders>
              <w:top w:val="nil"/>
              <w:left w:val="nil"/>
              <w:bottom w:val="single" w:sz="4" w:space="0" w:color="auto"/>
              <w:right w:val="nil"/>
            </w:tcBorders>
            <w:noWrap/>
            <w:vAlign w:val="center"/>
            <w:hideMark/>
          </w:tcPr>
          <w:p w14:paraId="556BEFFB" w14:textId="77777777" w:rsidR="00BF5974" w:rsidRDefault="00BF5974">
            <w:pPr>
              <w:spacing w:line="256" w:lineRule="auto"/>
              <w:jc w:val="center"/>
              <w:rPr>
                <w:rFonts w:cs="Arial"/>
                <w:b/>
                <w:bCs/>
                <w:sz w:val="20"/>
                <w:lang w:val="es-ES" w:eastAsia="en-US"/>
              </w:rPr>
            </w:pPr>
            <w:bookmarkStart w:id="327" w:name="_Toc22983253"/>
            <w:bookmarkStart w:id="328" w:name="_Toc22022017"/>
            <w:bookmarkStart w:id="329" w:name="_Toc526757547"/>
            <w:r>
              <w:rPr>
                <w:rFonts w:eastAsia="Times New Roman" w:cs="Arial"/>
                <w:b/>
                <w:sz w:val="20"/>
                <w:lang w:val="es-ES" w:eastAsia="en-US"/>
              </w:rPr>
              <w:t xml:space="preserve">Tabla 65. </w:t>
            </w:r>
            <w:r>
              <w:rPr>
                <w:rFonts w:cs="Arial"/>
                <w:b/>
                <w:sz w:val="20"/>
                <w:lang w:val="es-ES" w:eastAsia="en-US"/>
              </w:rPr>
              <w:t>Derechos de Niñas, Niños y Adolescentes</w:t>
            </w:r>
            <w:bookmarkEnd w:id="327"/>
            <w:bookmarkEnd w:id="328"/>
            <w:bookmarkEnd w:id="329"/>
          </w:p>
        </w:tc>
      </w:tr>
      <w:tr w:rsidR="00BF5974" w14:paraId="0C54126C" w14:textId="77777777" w:rsidTr="00BF5974">
        <w:trPr>
          <w:trHeight w:val="20"/>
          <w:tblHeader/>
          <w:jc w:val="center"/>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0E46E272" w14:textId="77777777" w:rsidR="00BF5974" w:rsidRDefault="00BF5974">
            <w:pPr>
              <w:spacing w:line="256" w:lineRule="auto"/>
              <w:jc w:val="center"/>
              <w:rPr>
                <w:rFonts w:cs="Arial"/>
                <w:b/>
                <w:bCs/>
                <w:sz w:val="18"/>
                <w:lang w:val="es-ES" w:eastAsia="en-US"/>
              </w:rPr>
            </w:pPr>
            <w:r>
              <w:rPr>
                <w:rFonts w:cs="Arial"/>
                <w:b/>
                <w:sz w:val="18"/>
                <w:lang w:val="es-ES" w:eastAsia="en-US"/>
              </w:rPr>
              <w:t>Derechos Fundamentales (UNICEF)</w:t>
            </w:r>
          </w:p>
        </w:tc>
        <w:tc>
          <w:tcPr>
            <w:tcW w:w="1589" w:type="dxa"/>
            <w:tcBorders>
              <w:top w:val="single" w:sz="4" w:space="0" w:color="auto"/>
              <w:left w:val="single" w:sz="4" w:space="0" w:color="auto"/>
              <w:bottom w:val="single" w:sz="4" w:space="0" w:color="auto"/>
              <w:right w:val="single" w:sz="4" w:space="0" w:color="auto"/>
            </w:tcBorders>
            <w:vAlign w:val="center"/>
            <w:hideMark/>
          </w:tcPr>
          <w:p w14:paraId="5069F7CB" w14:textId="77777777" w:rsidR="00BF5974" w:rsidRDefault="00BF5974">
            <w:pPr>
              <w:spacing w:line="256" w:lineRule="auto"/>
              <w:jc w:val="center"/>
              <w:rPr>
                <w:rFonts w:cs="Arial"/>
                <w:b/>
                <w:bCs/>
                <w:sz w:val="18"/>
                <w:lang w:val="es-ES" w:eastAsia="en-US"/>
              </w:rPr>
            </w:pPr>
            <w:r>
              <w:rPr>
                <w:rFonts w:cs="Arial"/>
                <w:b/>
                <w:bCs/>
                <w:sz w:val="18"/>
                <w:lang w:val="es-ES" w:eastAsia="en-US"/>
              </w:rPr>
              <w:t>Asignación Presupuestal</w:t>
            </w:r>
          </w:p>
        </w:tc>
      </w:tr>
      <w:tr w:rsidR="00BF5974" w14:paraId="48DAFECA" w14:textId="77777777" w:rsidTr="00BF5974">
        <w:trPr>
          <w:trHeight w:val="20"/>
          <w:jc w:val="center"/>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10536D63" w14:textId="77777777" w:rsidR="00BF5974" w:rsidRDefault="00BF5974">
            <w:pPr>
              <w:spacing w:line="256" w:lineRule="auto"/>
              <w:rPr>
                <w:rFonts w:cs="Arial"/>
                <w:sz w:val="18"/>
                <w:lang w:val="es-ES" w:eastAsia="en-US"/>
              </w:rPr>
            </w:pPr>
            <w:r>
              <w:rPr>
                <w:rFonts w:cs="Arial"/>
                <w:sz w:val="18"/>
                <w:lang w:val="es-ES" w:eastAsia="en-US"/>
              </w:rPr>
              <w:t>Derecho al Desarrollo.</w:t>
            </w:r>
          </w:p>
        </w:tc>
        <w:tc>
          <w:tcPr>
            <w:tcW w:w="1589" w:type="dxa"/>
            <w:tcBorders>
              <w:top w:val="single" w:sz="4" w:space="0" w:color="auto"/>
              <w:left w:val="single" w:sz="4" w:space="0" w:color="auto"/>
              <w:bottom w:val="single" w:sz="4" w:space="0" w:color="auto"/>
              <w:right w:val="single" w:sz="4" w:space="0" w:color="auto"/>
            </w:tcBorders>
            <w:noWrap/>
            <w:vAlign w:val="center"/>
            <w:hideMark/>
          </w:tcPr>
          <w:p w14:paraId="6B98329F"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5,852,014,741</w:t>
            </w:r>
          </w:p>
        </w:tc>
      </w:tr>
      <w:tr w:rsidR="00BF5974" w14:paraId="40466F70" w14:textId="77777777" w:rsidTr="00BF5974">
        <w:trPr>
          <w:trHeight w:val="20"/>
          <w:jc w:val="center"/>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146D5D22" w14:textId="77777777" w:rsidR="00BF5974" w:rsidRDefault="00BF5974">
            <w:pPr>
              <w:spacing w:line="256" w:lineRule="auto"/>
              <w:rPr>
                <w:rFonts w:cs="Arial"/>
                <w:sz w:val="18"/>
                <w:lang w:val="es-ES" w:eastAsia="en-US"/>
              </w:rPr>
            </w:pPr>
            <w:r>
              <w:rPr>
                <w:rFonts w:cs="Arial"/>
                <w:sz w:val="18"/>
                <w:lang w:val="es-ES" w:eastAsia="en-US"/>
              </w:rPr>
              <w:t>Derecho a la Protección.</w:t>
            </w:r>
          </w:p>
        </w:tc>
        <w:tc>
          <w:tcPr>
            <w:tcW w:w="1589" w:type="dxa"/>
            <w:tcBorders>
              <w:top w:val="single" w:sz="4" w:space="0" w:color="auto"/>
              <w:left w:val="single" w:sz="4" w:space="0" w:color="auto"/>
              <w:bottom w:val="single" w:sz="4" w:space="0" w:color="auto"/>
              <w:right w:val="single" w:sz="4" w:space="0" w:color="auto"/>
            </w:tcBorders>
            <w:noWrap/>
            <w:vAlign w:val="center"/>
            <w:hideMark/>
          </w:tcPr>
          <w:p w14:paraId="429A9B59"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219,513,574</w:t>
            </w:r>
          </w:p>
        </w:tc>
      </w:tr>
      <w:tr w:rsidR="00BF5974" w14:paraId="57924CE1" w14:textId="77777777" w:rsidTr="00BF5974">
        <w:trPr>
          <w:trHeight w:val="20"/>
          <w:jc w:val="center"/>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692DE7D0" w14:textId="77777777" w:rsidR="00BF5974" w:rsidRDefault="00BF5974">
            <w:pPr>
              <w:spacing w:line="256" w:lineRule="auto"/>
              <w:rPr>
                <w:rFonts w:cs="Arial"/>
                <w:sz w:val="18"/>
                <w:lang w:val="es-ES" w:eastAsia="en-US"/>
              </w:rPr>
            </w:pPr>
            <w:r>
              <w:rPr>
                <w:rFonts w:cs="Arial"/>
                <w:sz w:val="18"/>
                <w:lang w:val="es-ES" w:eastAsia="en-US"/>
              </w:rPr>
              <w:t>Derecho a la Participación.</w:t>
            </w:r>
          </w:p>
        </w:tc>
        <w:tc>
          <w:tcPr>
            <w:tcW w:w="1589" w:type="dxa"/>
            <w:tcBorders>
              <w:top w:val="single" w:sz="4" w:space="0" w:color="auto"/>
              <w:left w:val="single" w:sz="4" w:space="0" w:color="auto"/>
              <w:bottom w:val="single" w:sz="4" w:space="0" w:color="auto"/>
              <w:right w:val="single" w:sz="4" w:space="0" w:color="auto"/>
            </w:tcBorders>
            <w:noWrap/>
            <w:vAlign w:val="center"/>
            <w:hideMark/>
          </w:tcPr>
          <w:p w14:paraId="21230562"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0</w:t>
            </w:r>
          </w:p>
        </w:tc>
      </w:tr>
      <w:tr w:rsidR="00BF5974" w14:paraId="64DF931B" w14:textId="77777777" w:rsidTr="00BF5974">
        <w:trPr>
          <w:trHeight w:val="20"/>
          <w:jc w:val="center"/>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229C2A22" w14:textId="77777777" w:rsidR="00BF5974" w:rsidRDefault="00BF5974">
            <w:pPr>
              <w:spacing w:line="256" w:lineRule="auto"/>
              <w:rPr>
                <w:rFonts w:cs="Arial"/>
                <w:sz w:val="18"/>
                <w:lang w:val="es-ES" w:eastAsia="en-US"/>
              </w:rPr>
            </w:pPr>
            <w:r>
              <w:rPr>
                <w:rFonts w:cs="Arial"/>
                <w:sz w:val="18"/>
                <w:lang w:val="es-ES" w:eastAsia="en-US"/>
              </w:rPr>
              <w:t>Derecho a la Supervivencia.</w:t>
            </w:r>
          </w:p>
        </w:tc>
        <w:tc>
          <w:tcPr>
            <w:tcW w:w="1589" w:type="dxa"/>
            <w:tcBorders>
              <w:top w:val="single" w:sz="4" w:space="0" w:color="auto"/>
              <w:left w:val="single" w:sz="4" w:space="0" w:color="auto"/>
              <w:bottom w:val="single" w:sz="4" w:space="0" w:color="auto"/>
              <w:right w:val="single" w:sz="4" w:space="0" w:color="auto"/>
            </w:tcBorders>
            <w:noWrap/>
            <w:vAlign w:val="center"/>
            <w:hideMark/>
          </w:tcPr>
          <w:p w14:paraId="5C091E63" w14:textId="77777777" w:rsidR="00BF5974" w:rsidRDefault="00BF5974">
            <w:pPr>
              <w:spacing w:line="256" w:lineRule="auto"/>
              <w:jc w:val="right"/>
              <w:rPr>
                <w:rFonts w:cs="Arial"/>
                <w:sz w:val="20"/>
                <w:szCs w:val="20"/>
                <w:lang w:val="es-ES" w:eastAsia="en-US"/>
              </w:rPr>
            </w:pPr>
            <w:r>
              <w:rPr>
                <w:rFonts w:cs="Arial"/>
                <w:color w:val="000000"/>
                <w:sz w:val="20"/>
                <w:szCs w:val="20"/>
                <w:lang w:val="es-ES" w:eastAsia="en-US"/>
              </w:rPr>
              <w:t>104,055,559</w:t>
            </w:r>
          </w:p>
        </w:tc>
      </w:tr>
      <w:tr w:rsidR="00BF5974" w14:paraId="25A2D167" w14:textId="77777777" w:rsidTr="00BF5974">
        <w:trPr>
          <w:trHeight w:val="20"/>
          <w:jc w:val="center"/>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701B5629" w14:textId="77777777" w:rsidR="00BF5974" w:rsidRDefault="00BF5974">
            <w:pPr>
              <w:spacing w:line="256" w:lineRule="auto"/>
              <w:jc w:val="center"/>
              <w:rPr>
                <w:rFonts w:cs="Arial"/>
                <w:b/>
                <w:sz w:val="18"/>
                <w:lang w:val="es-ES" w:eastAsia="en-US"/>
              </w:rPr>
            </w:pPr>
            <w:r>
              <w:rPr>
                <w:rFonts w:cs="Arial"/>
                <w:b/>
                <w:sz w:val="18"/>
                <w:lang w:val="es-ES" w:eastAsia="en-US"/>
              </w:rPr>
              <w:t>Total</w:t>
            </w:r>
          </w:p>
        </w:tc>
        <w:tc>
          <w:tcPr>
            <w:tcW w:w="1589" w:type="dxa"/>
            <w:tcBorders>
              <w:top w:val="single" w:sz="4" w:space="0" w:color="auto"/>
              <w:left w:val="single" w:sz="4" w:space="0" w:color="auto"/>
              <w:bottom w:val="single" w:sz="4" w:space="0" w:color="auto"/>
              <w:right w:val="single" w:sz="4" w:space="0" w:color="auto"/>
            </w:tcBorders>
            <w:noWrap/>
            <w:vAlign w:val="center"/>
            <w:hideMark/>
          </w:tcPr>
          <w:p w14:paraId="63C55D8D" w14:textId="77777777" w:rsidR="00BF5974" w:rsidRDefault="00BF5974">
            <w:pPr>
              <w:spacing w:line="256" w:lineRule="auto"/>
              <w:jc w:val="right"/>
              <w:rPr>
                <w:rFonts w:cs="Arial"/>
                <w:b/>
                <w:bCs/>
                <w:sz w:val="20"/>
                <w:szCs w:val="20"/>
                <w:lang w:val="es-ES" w:eastAsia="en-US"/>
              </w:rPr>
            </w:pPr>
            <w:r>
              <w:rPr>
                <w:rFonts w:cs="Arial"/>
                <w:b/>
                <w:bCs/>
                <w:color w:val="000000"/>
                <w:sz w:val="20"/>
                <w:szCs w:val="20"/>
                <w:lang w:val="es-ES" w:eastAsia="en-US"/>
              </w:rPr>
              <w:t>6,175,583,874</w:t>
            </w:r>
          </w:p>
        </w:tc>
      </w:tr>
    </w:tbl>
    <w:p w14:paraId="72481476" w14:textId="369B9094" w:rsidR="00BF5974" w:rsidRDefault="00BF5974" w:rsidP="00BF5974">
      <w:pPr>
        <w:rPr>
          <w:rFonts w:cs="Arial"/>
          <w:b/>
          <w:lang w:val="es-ES"/>
        </w:rPr>
      </w:pPr>
    </w:p>
    <w:p w14:paraId="0906457A" w14:textId="77777777" w:rsidR="00105286" w:rsidRDefault="00105286" w:rsidP="00BF5974">
      <w:pPr>
        <w:rPr>
          <w:rFonts w:cs="Arial"/>
          <w:b/>
          <w:lang w:val="es-ES"/>
        </w:rPr>
      </w:pPr>
    </w:p>
    <w:p w14:paraId="5245EDF9" w14:textId="77777777" w:rsidR="00BF5974" w:rsidRDefault="00BF5974" w:rsidP="00BF5974">
      <w:pPr>
        <w:rPr>
          <w:rFonts w:cs="Arial"/>
          <w:lang w:val="es-ES"/>
        </w:rPr>
      </w:pPr>
      <w:r>
        <w:rPr>
          <w:rFonts w:cs="Arial"/>
          <w:b/>
          <w:lang w:val="es-ES"/>
        </w:rPr>
        <w:lastRenderedPageBreak/>
        <w:t>Artículo 93</w:t>
      </w:r>
      <w:r>
        <w:rPr>
          <w:rFonts w:cs="Arial"/>
          <w:lang w:val="es-ES"/>
        </w:rPr>
        <w:t xml:space="preserve">. En materia de enfoque transversal del presupuesto para los derechos de los jóvenes, se deberá atender lo previsto en la Ley de la Juventud del Estado de Colima, la cual tiene por objeto regir las políticas públicas y sociales de la juventud, a efecto de contribuir al desarrollo integral de la misma, mediante su inclusión social plena al proceso de desarrollo económico, educativo y cultural. </w:t>
      </w:r>
    </w:p>
    <w:p w14:paraId="5FC75414" w14:textId="77777777" w:rsidR="00BF5974" w:rsidRDefault="00BF5974" w:rsidP="00BF5974">
      <w:pPr>
        <w:rPr>
          <w:rFonts w:cs="Arial"/>
          <w:lang w:val="es-ES"/>
        </w:rPr>
      </w:pPr>
    </w:p>
    <w:p w14:paraId="7CF16F4F" w14:textId="77777777" w:rsidR="00BF5974" w:rsidRDefault="00BF5974" w:rsidP="00BF5974">
      <w:pPr>
        <w:rPr>
          <w:rFonts w:cs="Arial"/>
          <w:lang w:val="es-ES"/>
        </w:rPr>
      </w:pPr>
      <w:r>
        <w:rPr>
          <w:rFonts w:cs="Arial"/>
          <w:b/>
          <w:lang w:val="es-ES"/>
        </w:rPr>
        <w:t>Artículo 94</w:t>
      </w:r>
      <w:r>
        <w:rPr>
          <w:rFonts w:cs="Arial"/>
          <w:lang w:val="es-ES"/>
        </w:rPr>
        <w:t>. En la priorización de acciones para la atención a grupos vulnerables, se privilegiará la atención a: indígenas, adultos en plenitud, jefas de familia, niñas, niños y adolescentes en situación de riesgo, mujeres víctimas de violencia y personas con discapacidad. Lo anterior, en el marco de lo previsto en la Ley de Desarrollo Social para el Estado de Colima, la cual tiene por objeto promover, proteger y garantizar el pleno ejercicio de los derechos sociales de los habitantes de la Entidad, consagrados en la Constitución Política de los Estados Unidos Mexicanos y la propia del Estado Libre y Soberano de Colima, mediante una Política Estatal de Desarrollo Social orientada a:</w:t>
      </w:r>
    </w:p>
    <w:p w14:paraId="5548270E" w14:textId="77777777" w:rsidR="00BF5974" w:rsidRDefault="00BF5974" w:rsidP="00BF5974">
      <w:pPr>
        <w:rPr>
          <w:rFonts w:cs="Arial"/>
          <w:lang w:val="es-ES"/>
        </w:rPr>
      </w:pPr>
    </w:p>
    <w:p w14:paraId="4C0F1994" w14:textId="77777777" w:rsidR="00BF5974" w:rsidRDefault="00BF5974" w:rsidP="00BF5974">
      <w:pPr>
        <w:numPr>
          <w:ilvl w:val="0"/>
          <w:numId w:val="8"/>
        </w:numPr>
        <w:ind w:hanging="436"/>
        <w:contextualSpacing/>
        <w:rPr>
          <w:rFonts w:eastAsia="Times New Roman" w:cs="Arial"/>
        </w:rPr>
      </w:pPr>
      <w:r>
        <w:rPr>
          <w:rFonts w:eastAsia="Times New Roman" w:cs="Arial"/>
        </w:rPr>
        <w:t xml:space="preserve">Cumplir con la responsabilidad social del Estado y Municipios, asumiendo plenamente las obligaciones constitucionales en materia de desarrollo social, a efecto de garantizar el pleno goce de sus derechos sociales universales; </w:t>
      </w:r>
    </w:p>
    <w:p w14:paraId="7A552644" w14:textId="77777777" w:rsidR="00BF5974" w:rsidRDefault="00BF5974" w:rsidP="00BF5974">
      <w:pPr>
        <w:numPr>
          <w:ilvl w:val="0"/>
          <w:numId w:val="8"/>
        </w:numPr>
        <w:ind w:hanging="436"/>
        <w:contextualSpacing/>
        <w:rPr>
          <w:rFonts w:eastAsia="Times New Roman" w:cs="Arial"/>
        </w:rPr>
      </w:pPr>
      <w:r>
        <w:rPr>
          <w:rFonts w:eastAsia="Times New Roman" w:cs="Arial"/>
        </w:rPr>
        <w:t>Generar las condiciones que aseguren el desarrollo social y el pleno disfrute de los derechos sociales;</w:t>
      </w:r>
    </w:p>
    <w:p w14:paraId="2FAA074C" w14:textId="77777777" w:rsidR="00BF5974" w:rsidRDefault="00BF5974" w:rsidP="00BF5974">
      <w:pPr>
        <w:numPr>
          <w:ilvl w:val="0"/>
          <w:numId w:val="8"/>
        </w:numPr>
        <w:ind w:hanging="436"/>
        <w:contextualSpacing/>
        <w:rPr>
          <w:rFonts w:eastAsia="Times New Roman" w:cs="Arial"/>
        </w:rPr>
      </w:pPr>
      <w:r>
        <w:rPr>
          <w:rFonts w:eastAsia="Times New Roman" w:cs="Arial"/>
        </w:rPr>
        <w:t>Garantizar el derecho igualitario e incondicional de toda persona al desarrollo social y el acceso a sus programas;</w:t>
      </w:r>
    </w:p>
    <w:p w14:paraId="28E6CD8C" w14:textId="77777777" w:rsidR="00BF5974" w:rsidRDefault="00BF5974" w:rsidP="00BF5974">
      <w:pPr>
        <w:numPr>
          <w:ilvl w:val="0"/>
          <w:numId w:val="8"/>
        </w:numPr>
        <w:ind w:hanging="436"/>
        <w:contextualSpacing/>
        <w:rPr>
          <w:rFonts w:eastAsia="Times New Roman" w:cs="Arial"/>
        </w:rPr>
      </w:pPr>
      <w:r>
        <w:rPr>
          <w:rFonts w:eastAsia="Times New Roman" w:cs="Arial"/>
        </w:rPr>
        <w:t>Combatir con eficiencia la pobreza, la marginación y la exclusión social;</w:t>
      </w:r>
    </w:p>
    <w:p w14:paraId="39682CA8" w14:textId="77777777" w:rsidR="00BF5974" w:rsidRDefault="00BF5974" w:rsidP="00BF5974">
      <w:pPr>
        <w:numPr>
          <w:ilvl w:val="0"/>
          <w:numId w:val="8"/>
        </w:numPr>
        <w:ind w:left="709" w:hanging="425"/>
        <w:contextualSpacing/>
        <w:rPr>
          <w:rFonts w:eastAsia="Times New Roman" w:cs="Arial"/>
        </w:rPr>
      </w:pPr>
      <w:r>
        <w:rPr>
          <w:rFonts w:eastAsia="Times New Roman" w:cs="Arial"/>
        </w:rPr>
        <w:t>Implementar acciones que busquen la plena equidad social para todos los grupos excluidos, en condiciones de subordinación o discriminación por razones de su condición socioeconómica, edad, sexo, pertenencia étnica o racial, características físicas, preferencia sexual, origen nacional, práctica religiosa o cualquier otra;</w:t>
      </w:r>
    </w:p>
    <w:p w14:paraId="6C85F6BB" w14:textId="77777777" w:rsidR="00BF5974" w:rsidRDefault="00BF5974" w:rsidP="00BF5974">
      <w:pPr>
        <w:numPr>
          <w:ilvl w:val="0"/>
          <w:numId w:val="8"/>
        </w:numPr>
        <w:ind w:hanging="436"/>
        <w:contextualSpacing/>
        <w:rPr>
          <w:rFonts w:eastAsia="Times New Roman" w:cs="Arial"/>
        </w:rPr>
      </w:pPr>
      <w:r>
        <w:rPr>
          <w:rFonts w:eastAsia="Times New Roman" w:cs="Arial"/>
        </w:rPr>
        <w:t>Establecer las bases para un desarrollo social integral, garantizando la evaluación del impacto de los programas de desarrollo social; y</w:t>
      </w:r>
    </w:p>
    <w:p w14:paraId="6A574BA2" w14:textId="77777777" w:rsidR="00BF5974" w:rsidRDefault="00BF5974" w:rsidP="00BF5974">
      <w:pPr>
        <w:numPr>
          <w:ilvl w:val="0"/>
          <w:numId w:val="8"/>
        </w:numPr>
        <w:ind w:hanging="436"/>
        <w:contextualSpacing/>
        <w:rPr>
          <w:rFonts w:eastAsia="Times New Roman" w:cs="Arial"/>
        </w:rPr>
      </w:pPr>
      <w:r>
        <w:rPr>
          <w:rFonts w:eastAsia="Times New Roman" w:cs="Arial"/>
        </w:rPr>
        <w:t>Garantizar la inclusión social y determinar las bases para la promoción y participación social organizada y para su vinculación con los programas, estrategias y recursos gubernamentales para el desarrollo social.</w:t>
      </w:r>
    </w:p>
    <w:p w14:paraId="31FD6EAD" w14:textId="77777777" w:rsidR="00BF5974" w:rsidRDefault="00BF5974" w:rsidP="00BF5974">
      <w:pPr>
        <w:ind w:left="720"/>
        <w:contextualSpacing/>
        <w:rPr>
          <w:rFonts w:eastAsia="Times New Roman" w:cs="Arial"/>
        </w:rPr>
      </w:pPr>
    </w:p>
    <w:p w14:paraId="628BC11B" w14:textId="77777777" w:rsidR="00BF5974" w:rsidRDefault="00BF5974" w:rsidP="00BF5974">
      <w:pPr>
        <w:rPr>
          <w:rFonts w:cs="Arial"/>
          <w:lang w:val="es-ES"/>
        </w:rPr>
      </w:pPr>
      <w:r>
        <w:rPr>
          <w:rFonts w:cs="Arial"/>
          <w:b/>
          <w:lang w:val="es-ES"/>
        </w:rPr>
        <w:t>Artículo 95</w:t>
      </w:r>
      <w:r>
        <w:rPr>
          <w:rFonts w:cs="Arial"/>
          <w:lang w:val="es-ES"/>
        </w:rPr>
        <w:t>. L</w:t>
      </w:r>
      <w:r>
        <w:rPr>
          <w:rFonts w:eastAsia="Times New Roman" w:cs="Arial"/>
        </w:rPr>
        <w:t>a Administración Pública Centralizada y la Administración Pública Paraestatal</w:t>
      </w:r>
      <w:r>
        <w:rPr>
          <w:rFonts w:cs="Arial"/>
          <w:lang w:val="es-ES"/>
        </w:rPr>
        <w:t xml:space="preserve"> conforme al Presupuesto de Egresos del Estado de Colima para el Ejercicio Fiscal 2025, en el ámbito de sus respectivas competencias y con cargo a sus presupuestos, adoptarán medidas para destinar recursos orientados a atender la mitigación de los efectos del cambio climático en función de lo previsto en la Ley para la Mitigación y Adaptación ante los Efectos del Cambio Climático para el Estado de Colima.</w:t>
      </w:r>
    </w:p>
    <w:p w14:paraId="267C15FB" w14:textId="77777777" w:rsidR="00BF5974" w:rsidRDefault="00BF5974" w:rsidP="00BF5974">
      <w:pPr>
        <w:rPr>
          <w:rFonts w:eastAsia="Times New Roman"/>
          <w:lang w:val="es-ES"/>
        </w:rPr>
      </w:pPr>
    </w:p>
    <w:tbl>
      <w:tblPr>
        <w:tblW w:w="7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4"/>
        <w:gridCol w:w="1491"/>
      </w:tblGrid>
      <w:tr w:rsidR="00BF5974" w14:paraId="75F7E6FF" w14:textId="77777777" w:rsidTr="00BF5974">
        <w:trPr>
          <w:trHeight w:val="20"/>
          <w:tblHeader/>
          <w:jc w:val="center"/>
        </w:trPr>
        <w:tc>
          <w:tcPr>
            <w:tcW w:w="7445" w:type="dxa"/>
            <w:gridSpan w:val="2"/>
            <w:tcBorders>
              <w:top w:val="nil"/>
              <w:left w:val="nil"/>
              <w:bottom w:val="single" w:sz="4" w:space="0" w:color="auto"/>
              <w:right w:val="nil"/>
            </w:tcBorders>
            <w:noWrap/>
            <w:vAlign w:val="center"/>
            <w:hideMark/>
          </w:tcPr>
          <w:p w14:paraId="01640A9D" w14:textId="77777777" w:rsidR="00BF5974" w:rsidRDefault="00BF5974">
            <w:pPr>
              <w:spacing w:line="256" w:lineRule="auto"/>
              <w:jc w:val="center"/>
              <w:rPr>
                <w:rFonts w:eastAsia="Times New Roman" w:cs="Arial"/>
                <w:b/>
                <w:bCs/>
                <w:sz w:val="20"/>
                <w:lang w:val="es-ES" w:eastAsia="en-US"/>
              </w:rPr>
            </w:pPr>
            <w:r>
              <w:rPr>
                <w:rFonts w:eastAsia="Times New Roman" w:cs="Arial"/>
                <w:b/>
                <w:bCs/>
                <w:sz w:val="20"/>
                <w:lang w:val="es-ES" w:eastAsia="en-US"/>
              </w:rPr>
              <w:lastRenderedPageBreak/>
              <w:t>Tabla 66. Mitigación y Adaptación ante los Efectos del Cambio Climático</w:t>
            </w:r>
          </w:p>
        </w:tc>
      </w:tr>
      <w:tr w:rsidR="00BF5974" w14:paraId="7BBA6AA0" w14:textId="77777777" w:rsidTr="00BF5974">
        <w:trPr>
          <w:trHeight w:val="20"/>
          <w:tblHeader/>
          <w:jc w:val="center"/>
        </w:trPr>
        <w:tc>
          <w:tcPr>
            <w:tcW w:w="5954" w:type="dxa"/>
            <w:tcBorders>
              <w:top w:val="single" w:sz="4" w:space="0" w:color="auto"/>
              <w:left w:val="single" w:sz="4" w:space="0" w:color="auto"/>
              <w:bottom w:val="single" w:sz="4" w:space="0" w:color="auto"/>
              <w:right w:val="single" w:sz="4" w:space="0" w:color="auto"/>
            </w:tcBorders>
            <w:noWrap/>
            <w:vAlign w:val="center"/>
            <w:hideMark/>
          </w:tcPr>
          <w:p w14:paraId="4265CD28" w14:textId="77777777" w:rsidR="00BF5974" w:rsidRDefault="00BF5974">
            <w:pPr>
              <w:spacing w:line="256" w:lineRule="auto"/>
              <w:jc w:val="center"/>
              <w:rPr>
                <w:rFonts w:eastAsia="Times New Roman" w:cs="Arial"/>
                <w:b/>
                <w:bCs/>
                <w:sz w:val="18"/>
                <w:lang w:val="es-ES" w:eastAsia="en-US"/>
              </w:rPr>
            </w:pPr>
            <w:r>
              <w:rPr>
                <w:rFonts w:eastAsia="Times New Roman" w:cs="Arial"/>
                <w:b/>
                <w:bCs/>
                <w:sz w:val="18"/>
                <w:lang w:val="es-ES" w:eastAsia="en-US"/>
              </w:rPr>
              <w:t>Concepto</w:t>
            </w:r>
          </w:p>
        </w:tc>
        <w:tc>
          <w:tcPr>
            <w:tcW w:w="1491" w:type="dxa"/>
            <w:tcBorders>
              <w:top w:val="single" w:sz="4" w:space="0" w:color="auto"/>
              <w:left w:val="single" w:sz="4" w:space="0" w:color="auto"/>
              <w:bottom w:val="single" w:sz="4" w:space="0" w:color="auto"/>
              <w:right w:val="single" w:sz="4" w:space="0" w:color="auto"/>
            </w:tcBorders>
            <w:vAlign w:val="center"/>
            <w:hideMark/>
          </w:tcPr>
          <w:p w14:paraId="567C5AF6" w14:textId="77777777" w:rsidR="00BF5974" w:rsidRDefault="00BF5974">
            <w:pPr>
              <w:spacing w:line="256" w:lineRule="auto"/>
              <w:jc w:val="center"/>
              <w:rPr>
                <w:rFonts w:eastAsia="Times New Roman" w:cs="Arial"/>
                <w:b/>
                <w:bCs/>
                <w:sz w:val="18"/>
                <w:lang w:val="es-ES" w:eastAsia="en-US"/>
              </w:rPr>
            </w:pPr>
            <w:r>
              <w:rPr>
                <w:rFonts w:eastAsia="Times New Roman" w:cs="Arial"/>
                <w:b/>
                <w:bCs/>
                <w:sz w:val="18"/>
                <w:lang w:val="es-ES" w:eastAsia="en-US"/>
              </w:rPr>
              <w:t>Asignación Presupuestal</w:t>
            </w:r>
          </w:p>
        </w:tc>
      </w:tr>
      <w:tr w:rsidR="00BF5974" w14:paraId="545E855C" w14:textId="77777777" w:rsidTr="00BF5974">
        <w:trPr>
          <w:trHeight w:val="20"/>
          <w:jc w:val="center"/>
        </w:trPr>
        <w:tc>
          <w:tcPr>
            <w:tcW w:w="5954" w:type="dxa"/>
            <w:tcBorders>
              <w:top w:val="single" w:sz="4" w:space="0" w:color="auto"/>
              <w:left w:val="single" w:sz="4" w:space="0" w:color="auto"/>
              <w:bottom w:val="single" w:sz="4" w:space="0" w:color="auto"/>
              <w:right w:val="single" w:sz="4" w:space="0" w:color="auto"/>
            </w:tcBorders>
            <w:noWrap/>
            <w:vAlign w:val="center"/>
            <w:hideMark/>
          </w:tcPr>
          <w:p w14:paraId="39998578" w14:textId="77777777" w:rsidR="00BF5974" w:rsidRDefault="00BF5974">
            <w:pPr>
              <w:spacing w:line="256" w:lineRule="auto"/>
              <w:rPr>
                <w:rFonts w:eastAsia="Times New Roman" w:cs="Arial"/>
                <w:sz w:val="18"/>
                <w:lang w:val="es-ES" w:eastAsia="en-US"/>
              </w:rPr>
            </w:pPr>
            <w:r>
              <w:rPr>
                <w:rFonts w:cs="Arial"/>
                <w:color w:val="000000"/>
                <w:sz w:val="18"/>
                <w:lang w:val="es-ES" w:eastAsia="en-US"/>
              </w:rPr>
              <w:t>Agua Limpia y Saneamiento.</w:t>
            </w:r>
          </w:p>
        </w:tc>
        <w:tc>
          <w:tcPr>
            <w:tcW w:w="1491" w:type="dxa"/>
            <w:tcBorders>
              <w:top w:val="single" w:sz="4" w:space="0" w:color="auto"/>
              <w:left w:val="single" w:sz="4" w:space="0" w:color="auto"/>
              <w:bottom w:val="single" w:sz="4" w:space="0" w:color="auto"/>
              <w:right w:val="single" w:sz="4" w:space="0" w:color="auto"/>
            </w:tcBorders>
            <w:vAlign w:val="center"/>
            <w:hideMark/>
          </w:tcPr>
          <w:p w14:paraId="51A2247C"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 xml:space="preserve">19,618,348 </w:t>
            </w:r>
          </w:p>
        </w:tc>
      </w:tr>
      <w:tr w:rsidR="00BF5974" w14:paraId="443678BA" w14:textId="77777777" w:rsidTr="00BF5974">
        <w:trPr>
          <w:trHeight w:val="20"/>
          <w:jc w:val="center"/>
        </w:trPr>
        <w:tc>
          <w:tcPr>
            <w:tcW w:w="5954" w:type="dxa"/>
            <w:tcBorders>
              <w:top w:val="single" w:sz="4" w:space="0" w:color="auto"/>
              <w:left w:val="single" w:sz="4" w:space="0" w:color="auto"/>
              <w:bottom w:val="single" w:sz="4" w:space="0" w:color="auto"/>
              <w:right w:val="single" w:sz="4" w:space="0" w:color="auto"/>
            </w:tcBorders>
            <w:noWrap/>
            <w:vAlign w:val="center"/>
            <w:hideMark/>
          </w:tcPr>
          <w:p w14:paraId="492EEBDE" w14:textId="77777777" w:rsidR="00BF5974" w:rsidRDefault="00BF5974">
            <w:pPr>
              <w:spacing w:line="256" w:lineRule="auto"/>
              <w:rPr>
                <w:rFonts w:eastAsia="Times New Roman" w:cs="Arial"/>
                <w:sz w:val="18"/>
                <w:lang w:val="es-ES" w:eastAsia="en-US"/>
              </w:rPr>
            </w:pPr>
            <w:r>
              <w:rPr>
                <w:rFonts w:cs="Arial"/>
                <w:color w:val="000000"/>
                <w:sz w:val="18"/>
                <w:lang w:val="es-ES" w:eastAsia="en-US"/>
              </w:rPr>
              <w:t>Energía Asequible y No Contaminante.</w:t>
            </w:r>
          </w:p>
        </w:tc>
        <w:tc>
          <w:tcPr>
            <w:tcW w:w="1491" w:type="dxa"/>
            <w:tcBorders>
              <w:top w:val="single" w:sz="4" w:space="0" w:color="auto"/>
              <w:left w:val="single" w:sz="4" w:space="0" w:color="auto"/>
              <w:bottom w:val="single" w:sz="4" w:space="0" w:color="auto"/>
              <w:right w:val="single" w:sz="4" w:space="0" w:color="auto"/>
            </w:tcBorders>
            <w:vAlign w:val="center"/>
            <w:hideMark/>
          </w:tcPr>
          <w:p w14:paraId="281B8E7F"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0 </w:t>
            </w:r>
          </w:p>
        </w:tc>
      </w:tr>
      <w:tr w:rsidR="00BF5974" w14:paraId="75020595" w14:textId="77777777" w:rsidTr="00BF5974">
        <w:trPr>
          <w:trHeight w:val="20"/>
          <w:jc w:val="center"/>
        </w:trPr>
        <w:tc>
          <w:tcPr>
            <w:tcW w:w="5954" w:type="dxa"/>
            <w:tcBorders>
              <w:top w:val="single" w:sz="4" w:space="0" w:color="auto"/>
              <w:left w:val="single" w:sz="4" w:space="0" w:color="auto"/>
              <w:bottom w:val="single" w:sz="4" w:space="0" w:color="auto"/>
              <w:right w:val="single" w:sz="4" w:space="0" w:color="auto"/>
            </w:tcBorders>
            <w:noWrap/>
            <w:vAlign w:val="center"/>
            <w:hideMark/>
          </w:tcPr>
          <w:p w14:paraId="78C24232" w14:textId="77777777" w:rsidR="00BF5974" w:rsidRDefault="00BF5974">
            <w:pPr>
              <w:spacing w:line="256" w:lineRule="auto"/>
              <w:rPr>
                <w:rFonts w:eastAsia="Times New Roman" w:cs="Arial"/>
                <w:sz w:val="18"/>
                <w:lang w:val="es-ES" w:eastAsia="en-US"/>
              </w:rPr>
            </w:pPr>
            <w:r>
              <w:rPr>
                <w:rFonts w:cs="Arial"/>
                <w:color w:val="000000"/>
                <w:sz w:val="18"/>
                <w:lang w:val="es-ES" w:eastAsia="en-US"/>
              </w:rPr>
              <w:t>Ciudades y Comunidades Sostenibles.</w:t>
            </w:r>
          </w:p>
        </w:tc>
        <w:tc>
          <w:tcPr>
            <w:tcW w:w="1491" w:type="dxa"/>
            <w:tcBorders>
              <w:top w:val="single" w:sz="4" w:space="0" w:color="auto"/>
              <w:left w:val="single" w:sz="4" w:space="0" w:color="auto"/>
              <w:bottom w:val="single" w:sz="4" w:space="0" w:color="auto"/>
              <w:right w:val="single" w:sz="4" w:space="0" w:color="auto"/>
            </w:tcBorders>
            <w:vAlign w:val="center"/>
            <w:hideMark/>
          </w:tcPr>
          <w:p w14:paraId="4F727512"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 xml:space="preserve">151,723,821 </w:t>
            </w:r>
          </w:p>
        </w:tc>
      </w:tr>
      <w:tr w:rsidR="00BF5974" w14:paraId="75A37125" w14:textId="77777777" w:rsidTr="00BF5974">
        <w:trPr>
          <w:trHeight w:val="20"/>
          <w:jc w:val="center"/>
        </w:trPr>
        <w:tc>
          <w:tcPr>
            <w:tcW w:w="5954" w:type="dxa"/>
            <w:tcBorders>
              <w:top w:val="single" w:sz="4" w:space="0" w:color="auto"/>
              <w:left w:val="single" w:sz="4" w:space="0" w:color="auto"/>
              <w:bottom w:val="single" w:sz="4" w:space="0" w:color="auto"/>
              <w:right w:val="single" w:sz="4" w:space="0" w:color="auto"/>
            </w:tcBorders>
            <w:noWrap/>
            <w:vAlign w:val="center"/>
            <w:hideMark/>
          </w:tcPr>
          <w:p w14:paraId="699D215C" w14:textId="77777777" w:rsidR="00BF5974" w:rsidRDefault="00BF5974">
            <w:pPr>
              <w:spacing w:line="256" w:lineRule="auto"/>
              <w:rPr>
                <w:rFonts w:eastAsia="Times New Roman" w:cs="Arial"/>
                <w:sz w:val="18"/>
                <w:lang w:val="es-ES" w:eastAsia="en-US"/>
              </w:rPr>
            </w:pPr>
            <w:r>
              <w:rPr>
                <w:rFonts w:cs="Arial"/>
                <w:color w:val="000000"/>
                <w:sz w:val="18"/>
                <w:lang w:val="es-ES" w:eastAsia="en-US"/>
              </w:rPr>
              <w:t>Vida de Ecosistemas Terrestres.</w:t>
            </w:r>
          </w:p>
        </w:tc>
        <w:tc>
          <w:tcPr>
            <w:tcW w:w="1491" w:type="dxa"/>
            <w:tcBorders>
              <w:top w:val="single" w:sz="4" w:space="0" w:color="auto"/>
              <w:left w:val="single" w:sz="4" w:space="0" w:color="auto"/>
              <w:bottom w:val="single" w:sz="4" w:space="0" w:color="auto"/>
              <w:right w:val="single" w:sz="4" w:space="0" w:color="auto"/>
            </w:tcBorders>
            <w:vAlign w:val="center"/>
            <w:hideMark/>
          </w:tcPr>
          <w:p w14:paraId="4C15A68E" w14:textId="77777777" w:rsidR="00BF5974" w:rsidRDefault="00BF5974">
            <w:pPr>
              <w:spacing w:line="256" w:lineRule="auto"/>
              <w:jc w:val="right"/>
              <w:rPr>
                <w:rFonts w:eastAsia="Times New Roman" w:cs="Arial"/>
                <w:sz w:val="18"/>
                <w:szCs w:val="18"/>
                <w:lang w:val="es-ES" w:eastAsia="en-US"/>
              </w:rPr>
            </w:pPr>
            <w:r>
              <w:rPr>
                <w:rFonts w:cs="Arial"/>
                <w:color w:val="000000"/>
                <w:sz w:val="18"/>
                <w:szCs w:val="18"/>
                <w:lang w:val="es-ES" w:eastAsia="en-US"/>
              </w:rPr>
              <w:t xml:space="preserve">10,643,121 </w:t>
            </w:r>
          </w:p>
        </w:tc>
      </w:tr>
      <w:tr w:rsidR="00BF5974" w14:paraId="1020A544" w14:textId="77777777" w:rsidTr="00BF5974">
        <w:trPr>
          <w:trHeight w:val="20"/>
          <w:jc w:val="center"/>
        </w:trPr>
        <w:tc>
          <w:tcPr>
            <w:tcW w:w="5954" w:type="dxa"/>
            <w:tcBorders>
              <w:top w:val="single" w:sz="4" w:space="0" w:color="auto"/>
              <w:left w:val="single" w:sz="4" w:space="0" w:color="auto"/>
              <w:bottom w:val="single" w:sz="4" w:space="0" w:color="auto"/>
              <w:right w:val="single" w:sz="4" w:space="0" w:color="auto"/>
            </w:tcBorders>
            <w:noWrap/>
            <w:vAlign w:val="center"/>
            <w:hideMark/>
          </w:tcPr>
          <w:p w14:paraId="1A38974C" w14:textId="77777777" w:rsidR="00BF5974" w:rsidRDefault="00BF5974">
            <w:pPr>
              <w:spacing w:line="256" w:lineRule="auto"/>
              <w:jc w:val="center"/>
              <w:rPr>
                <w:rFonts w:eastAsia="Times New Roman" w:cs="Arial"/>
                <w:b/>
                <w:bCs/>
                <w:sz w:val="18"/>
                <w:lang w:val="es-ES" w:eastAsia="en-US"/>
              </w:rPr>
            </w:pPr>
            <w:r>
              <w:rPr>
                <w:rFonts w:eastAsia="Times New Roman" w:cs="Arial"/>
                <w:b/>
                <w:bCs/>
                <w:sz w:val="18"/>
                <w:lang w:val="es-ES" w:eastAsia="en-US"/>
              </w:rPr>
              <w:t>Total</w:t>
            </w:r>
          </w:p>
        </w:tc>
        <w:tc>
          <w:tcPr>
            <w:tcW w:w="1491" w:type="dxa"/>
            <w:tcBorders>
              <w:top w:val="single" w:sz="4" w:space="0" w:color="auto"/>
              <w:left w:val="single" w:sz="4" w:space="0" w:color="auto"/>
              <w:bottom w:val="single" w:sz="4" w:space="0" w:color="auto"/>
              <w:right w:val="single" w:sz="4" w:space="0" w:color="auto"/>
            </w:tcBorders>
            <w:noWrap/>
            <w:vAlign w:val="center"/>
            <w:hideMark/>
          </w:tcPr>
          <w:p w14:paraId="08110605" w14:textId="19AA2EC9" w:rsidR="00BF5974" w:rsidRDefault="000A7D54">
            <w:pPr>
              <w:spacing w:line="256" w:lineRule="auto"/>
              <w:jc w:val="right"/>
              <w:rPr>
                <w:rFonts w:eastAsia="Times New Roman" w:cs="Arial"/>
                <w:b/>
                <w:bCs/>
                <w:sz w:val="18"/>
                <w:szCs w:val="18"/>
                <w:lang w:val="es-ES" w:eastAsia="en-US"/>
              </w:rPr>
            </w:pPr>
            <w:r w:rsidRPr="000A7D54">
              <w:rPr>
                <w:rFonts w:cs="Arial"/>
                <w:b/>
                <w:bCs/>
                <w:color w:val="000000"/>
                <w:sz w:val="18"/>
                <w:szCs w:val="18"/>
                <w:lang w:val="es-ES" w:eastAsia="en-US"/>
              </w:rPr>
              <w:t>181,985,290</w:t>
            </w:r>
          </w:p>
        </w:tc>
      </w:tr>
    </w:tbl>
    <w:p w14:paraId="4F70E510" w14:textId="77777777" w:rsidR="00BF5974" w:rsidRDefault="00BF5974" w:rsidP="00BF5974">
      <w:pPr>
        <w:rPr>
          <w:rFonts w:cs="Arial"/>
          <w:lang w:val="es-ES"/>
        </w:rPr>
      </w:pPr>
    </w:p>
    <w:p w14:paraId="39107BF7" w14:textId="77777777" w:rsidR="00BF5974" w:rsidRDefault="00BF5974" w:rsidP="00BF5974">
      <w:pPr>
        <w:rPr>
          <w:rFonts w:cs="Arial"/>
          <w:lang w:val="es-ES"/>
        </w:rPr>
      </w:pPr>
      <w:r>
        <w:rPr>
          <w:rFonts w:cs="Arial"/>
          <w:b/>
          <w:lang w:val="es-ES"/>
        </w:rPr>
        <w:t>Artículo 96</w:t>
      </w:r>
      <w:r>
        <w:rPr>
          <w:rFonts w:cs="Arial"/>
          <w:lang w:val="es-ES"/>
        </w:rPr>
        <w:t>. En cumplimiento a lo dispuesto por el artículo 6º, inciso A, de la Constitución Política de los Estados Unidos Mexicanos y artículo 5º de la Constitución Política del Estado Libre y Soberano de Colima, en materia de transparencia y acceso a la información pública, se identifican las asignaciones presupuestarias que las Dependencias de la Administración Pública Centralizada y Entidades de la Administración Pública Paraestatal, para que en el ámbito de sus respectivas competencias y con cargo a sus presupuestos, adopten medidas a fin de destinar recursos para atender esta obligación.</w:t>
      </w:r>
    </w:p>
    <w:p w14:paraId="487094D0" w14:textId="77777777" w:rsidR="00BF5974" w:rsidRDefault="00BF5974" w:rsidP="00BF5974">
      <w:pPr>
        <w:rPr>
          <w:rFonts w:cs="Arial"/>
          <w:lang w:val="es-ES"/>
        </w:rPr>
      </w:pPr>
    </w:p>
    <w:p w14:paraId="2209C07D" w14:textId="2D9F58C9" w:rsidR="00BF5974" w:rsidRDefault="00BF5974" w:rsidP="00BF5974">
      <w:pPr>
        <w:rPr>
          <w:rFonts w:cs="Arial"/>
          <w:lang w:val="es-ES"/>
        </w:rPr>
      </w:pPr>
      <w:r>
        <w:rPr>
          <w:rFonts w:cs="Arial"/>
          <w:b/>
          <w:lang w:val="es-ES"/>
        </w:rPr>
        <w:t>Artículo 97</w:t>
      </w:r>
      <w:r>
        <w:rPr>
          <w:rFonts w:cs="Arial"/>
          <w:lang w:val="es-ES"/>
        </w:rPr>
        <w:t>. En cumplimiento a lo dispuesto por la Ley Sobre los Derechos de las Personas con Discapacidad en el Estado de Colima, el Poder Ejecutivo del Estado, a través de sus Dependencias y Entidades, los Poderes Legislativo y Judicial del Estado, y los Organismos Constitucionalmente Autónomos, deberán considerar en sus propuestas de presupuesto anual, las partidas adecuadas para la implementación de políticas, públicas, acciones y medidas encaminadas al cumplimiento de dicho ordenamiento.</w:t>
      </w:r>
    </w:p>
    <w:p w14:paraId="6B2A357A" w14:textId="77777777" w:rsidR="00BF5974" w:rsidRDefault="00BF5974" w:rsidP="00BF5974">
      <w:pPr>
        <w:rPr>
          <w:rFonts w:cs="Arial"/>
          <w:lang w:val="es-ES"/>
        </w:rPr>
      </w:pPr>
    </w:p>
    <w:p w14:paraId="4D5280C1" w14:textId="77777777" w:rsidR="00BF5974" w:rsidRDefault="00BF5974" w:rsidP="00BF5974">
      <w:pPr>
        <w:jc w:val="center"/>
        <w:rPr>
          <w:rFonts w:eastAsia="Times New Roman" w:cs="Arial"/>
          <w:b/>
          <w:lang w:val="es-ES"/>
        </w:rPr>
      </w:pPr>
      <w:bookmarkStart w:id="330" w:name="_Toc22022019"/>
      <w:bookmarkStart w:id="331" w:name="_Toc22983255"/>
      <w:r>
        <w:rPr>
          <w:rFonts w:eastAsia="Times New Roman" w:cs="Arial"/>
          <w:b/>
          <w:lang w:val="es-ES"/>
        </w:rPr>
        <w:t>TITULO QUINTO</w:t>
      </w:r>
      <w:bookmarkEnd w:id="330"/>
      <w:bookmarkEnd w:id="331"/>
    </w:p>
    <w:p w14:paraId="71225AA1" w14:textId="77777777" w:rsidR="00BF5974" w:rsidRDefault="00BF5974" w:rsidP="00BF5974">
      <w:pPr>
        <w:keepNext/>
        <w:keepLines/>
        <w:jc w:val="center"/>
        <w:outlineLvl w:val="0"/>
        <w:rPr>
          <w:rFonts w:eastAsia="Times New Roman" w:cs="Arial"/>
          <w:b/>
          <w:szCs w:val="32"/>
          <w:lang w:val="es-ES"/>
        </w:rPr>
      </w:pPr>
      <w:bookmarkStart w:id="332" w:name="_Toc22022020"/>
      <w:bookmarkStart w:id="333" w:name="_Toc22983256"/>
      <w:r>
        <w:rPr>
          <w:rFonts w:eastAsia="Times New Roman" w:cs="Arial"/>
          <w:b/>
          <w:szCs w:val="32"/>
          <w:lang w:val="es-ES"/>
        </w:rPr>
        <w:t>DEL GASTO PROGRAMABLE Y NO PROGRAMABLE</w:t>
      </w:r>
      <w:bookmarkEnd w:id="332"/>
      <w:bookmarkEnd w:id="333"/>
    </w:p>
    <w:p w14:paraId="4DFBCF9E" w14:textId="77777777" w:rsidR="00BF5974" w:rsidRDefault="00BF5974" w:rsidP="00BF5974">
      <w:pPr>
        <w:rPr>
          <w:rFonts w:eastAsia="Times New Roman" w:cs="Arial"/>
          <w:lang w:val="es-ES"/>
        </w:rPr>
      </w:pPr>
    </w:p>
    <w:p w14:paraId="5058C76D" w14:textId="77777777" w:rsidR="00BF5974" w:rsidRDefault="00BF5974" w:rsidP="00BF5974">
      <w:pPr>
        <w:jc w:val="center"/>
        <w:rPr>
          <w:rFonts w:cs="Arial"/>
          <w:b/>
          <w:lang w:val="es-ES"/>
        </w:rPr>
      </w:pPr>
      <w:r>
        <w:rPr>
          <w:rFonts w:cs="Arial"/>
          <w:b/>
          <w:lang w:val="es-ES"/>
        </w:rPr>
        <w:t xml:space="preserve">CAPÍTULO ÚNICO </w:t>
      </w:r>
    </w:p>
    <w:p w14:paraId="78E77111" w14:textId="77777777" w:rsidR="00BF5974" w:rsidRDefault="00BF5974" w:rsidP="00BF5974">
      <w:pPr>
        <w:jc w:val="center"/>
        <w:rPr>
          <w:rFonts w:cs="Arial"/>
          <w:b/>
          <w:lang w:val="es-ES"/>
        </w:rPr>
      </w:pPr>
      <w:r>
        <w:rPr>
          <w:rFonts w:cs="Arial"/>
          <w:b/>
          <w:lang w:val="es-ES"/>
        </w:rPr>
        <w:t>CLASIFICACIÓN DE LOS RECURSOS</w:t>
      </w:r>
    </w:p>
    <w:p w14:paraId="61E99C86" w14:textId="77777777" w:rsidR="00BF5974" w:rsidRDefault="00BF5974" w:rsidP="00BF5974">
      <w:pPr>
        <w:tabs>
          <w:tab w:val="left" w:pos="3832"/>
        </w:tabs>
        <w:rPr>
          <w:rFonts w:cs="Arial"/>
          <w:lang w:val="es-ES"/>
        </w:rPr>
      </w:pPr>
    </w:p>
    <w:p w14:paraId="5A26AA8D" w14:textId="525B388F" w:rsidR="00BF5974" w:rsidRDefault="00BF5974" w:rsidP="00BF5974">
      <w:pPr>
        <w:rPr>
          <w:rFonts w:cs="Arial"/>
          <w:lang w:val="es-ES"/>
        </w:rPr>
      </w:pPr>
      <w:r>
        <w:rPr>
          <w:rFonts w:cs="Arial"/>
          <w:b/>
          <w:lang w:val="es-ES"/>
        </w:rPr>
        <w:t>Artículo 98</w:t>
      </w:r>
      <w:r>
        <w:rPr>
          <w:rFonts w:cs="Arial"/>
          <w:lang w:val="es-ES"/>
        </w:rPr>
        <w:t>. La clasificación del Presupuesto de Egresos del Estado de Colima para el Ejercicio Fiscal 2025, ordenada por Gasto Programable y Gasto No Programable, es la siguiente:</w:t>
      </w:r>
    </w:p>
    <w:p w14:paraId="109599F2" w14:textId="77777777" w:rsidR="00105286" w:rsidRDefault="00105286" w:rsidP="00BF5974">
      <w:pPr>
        <w:rPr>
          <w:rFonts w:cs="Arial"/>
          <w:lang w:val="es-ES"/>
        </w:rPr>
      </w:pPr>
    </w:p>
    <w:p w14:paraId="2F4F94E7" w14:textId="7E3F35B6" w:rsidR="00BF5974" w:rsidRDefault="00BF5974" w:rsidP="00BF5974">
      <w:pPr>
        <w:rPr>
          <w:rFonts w:cs="Arial"/>
          <w:lang w:val="es-ES"/>
        </w:rPr>
      </w:pPr>
      <w:r>
        <w:rPr>
          <w:rFonts w:cs="Arial"/>
          <w:lang w:val="es-ES"/>
        </w:rPr>
        <w:t xml:space="preserve">I. La </w:t>
      </w:r>
      <w:r>
        <w:rPr>
          <w:rFonts w:cs="Arial"/>
          <w:bCs/>
          <w:lang w:val="es-ES"/>
        </w:rPr>
        <w:t>Clasificación por Objeto del Gasto</w:t>
      </w:r>
      <w:r>
        <w:rPr>
          <w:rFonts w:cs="Arial"/>
          <w:lang w:val="es-ES"/>
        </w:rPr>
        <w:t>, desglosada a Tercer Nivel, es la siguiente:</w:t>
      </w:r>
    </w:p>
    <w:p w14:paraId="59FC8405" w14:textId="77777777" w:rsidR="00B13BDF" w:rsidRDefault="00B13BDF" w:rsidP="00BF5974">
      <w:pPr>
        <w:rPr>
          <w:rFonts w:cs="Arial"/>
          <w:lang w:val="es-ES"/>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1"/>
        <w:gridCol w:w="3878"/>
        <w:gridCol w:w="1500"/>
        <w:gridCol w:w="1420"/>
        <w:gridCol w:w="1503"/>
      </w:tblGrid>
      <w:tr w:rsidR="00BF5974" w14:paraId="7D95D049" w14:textId="77777777" w:rsidTr="00BF5974">
        <w:trPr>
          <w:trHeight w:val="23"/>
          <w:tblHeader/>
          <w:jc w:val="center"/>
        </w:trPr>
        <w:tc>
          <w:tcPr>
            <w:tcW w:w="9242" w:type="dxa"/>
            <w:gridSpan w:val="5"/>
            <w:tcBorders>
              <w:top w:val="nil"/>
              <w:left w:val="nil"/>
              <w:bottom w:val="single" w:sz="4" w:space="0" w:color="auto"/>
              <w:right w:val="nil"/>
            </w:tcBorders>
            <w:noWrap/>
            <w:vAlign w:val="center"/>
            <w:hideMark/>
          </w:tcPr>
          <w:p w14:paraId="5798013E" w14:textId="36087A0E" w:rsidR="00BF5974" w:rsidRDefault="00B13BDF">
            <w:pPr>
              <w:spacing w:line="256" w:lineRule="auto"/>
              <w:jc w:val="center"/>
              <w:rPr>
                <w:rFonts w:cs="Arial"/>
                <w:b/>
                <w:sz w:val="20"/>
                <w:szCs w:val="16"/>
                <w:lang w:val="es-ES" w:eastAsia="en-US"/>
              </w:rPr>
            </w:pPr>
            <w:r>
              <w:rPr>
                <w:rFonts w:cs="Arial"/>
                <w:lang w:val="es-ES"/>
              </w:rPr>
              <w:br w:type="page"/>
            </w:r>
            <w:r w:rsidR="00BF5974">
              <w:rPr>
                <w:rFonts w:eastAsia="Times New Roman" w:cs="Arial"/>
                <w:b/>
                <w:bCs/>
                <w:sz w:val="20"/>
                <w:szCs w:val="16"/>
                <w:lang w:val="es-ES" w:eastAsia="en-US"/>
              </w:rPr>
              <w:t xml:space="preserve">Tabla 67. </w:t>
            </w:r>
            <w:r w:rsidR="00BF5974">
              <w:rPr>
                <w:rFonts w:cs="Arial"/>
                <w:b/>
                <w:sz w:val="20"/>
                <w:szCs w:val="16"/>
                <w:lang w:val="es-ES" w:eastAsia="en-US"/>
              </w:rPr>
              <w:t>Clasificación por Objeto del Gasto</w:t>
            </w:r>
          </w:p>
          <w:p w14:paraId="7D749C1C" w14:textId="77777777" w:rsidR="00BF5974" w:rsidRDefault="00BF5974">
            <w:pPr>
              <w:spacing w:line="256" w:lineRule="auto"/>
              <w:jc w:val="center"/>
              <w:rPr>
                <w:rFonts w:eastAsia="Times New Roman" w:cs="Arial"/>
                <w:b/>
                <w:bCs/>
                <w:sz w:val="16"/>
                <w:szCs w:val="16"/>
                <w:lang w:val="es-ES" w:eastAsia="en-US"/>
              </w:rPr>
            </w:pPr>
            <w:r>
              <w:rPr>
                <w:rFonts w:cs="Arial"/>
                <w:b/>
                <w:sz w:val="18"/>
                <w:szCs w:val="16"/>
                <w:lang w:val="es-ES" w:eastAsia="en-US"/>
              </w:rPr>
              <w:t>(Gasto Programable, Gasto No Programable)</w:t>
            </w:r>
          </w:p>
        </w:tc>
      </w:tr>
      <w:tr w:rsidR="00BF5974" w14:paraId="2B1A0D10" w14:textId="77777777" w:rsidTr="00BF5974">
        <w:trPr>
          <w:trHeight w:val="23"/>
          <w:tblHeader/>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76472EF" w14:textId="77777777" w:rsidR="00BF5974" w:rsidRDefault="00BF5974">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Capítulo</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39A22BF" w14:textId="77777777" w:rsidR="00BF5974" w:rsidRDefault="00BF5974">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Concepto</w:t>
            </w:r>
          </w:p>
        </w:tc>
        <w:tc>
          <w:tcPr>
            <w:tcW w:w="1500" w:type="dxa"/>
            <w:tcBorders>
              <w:top w:val="single" w:sz="4" w:space="0" w:color="auto"/>
              <w:left w:val="single" w:sz="4" w:space="0" w:color="auto"/>
              <w:bottom w:val="single" w:sz="4" w:space="0" w:color="auto"/>
              <w:right w:val="single" w:sz="4" w:space="0" w:color="auto"/>
            </w:tcBorders>
            <w:vAlign w:val="center"/>
            <w:hideMark/>
          </w:tcPr>
          <w:p w14:paraId="2B33F731" w14:textId="77777777" w:rsidR="00BF5974" w:rsidRDefault="00BF5974">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Gasto Programable</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39EEBAB" w14:textId="77777777" w:rsidR="00BF5974" w:rsidRDefault="00BF5974">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Gasto No Programable</w:t>
            </w:r>
          </w:p>
        </w:tc>
        <w:tc>
          <w:tcPr>
            <w:tcW w:w="1503" w:type="dxa"/>
            <w:tcBorders>
              <w:top w:val="single" w:sz="4" w:space="0" w:color="auto"/>
              <w:left w:val="single" w:sz="4" w:space="0" w:color="auto"/>
              <w:bottom w:val="single" w:sz="4" w:space="0" w:color="auto"/>
              <w:right w:val="single" w:sz="4" w:space="0" w:color="auto"/>
            </w:tcBorders>
            <w:vAlign w:val="center"/>
            <w:hideMark/>
          </w:tcPr>
          <w:p w14:paraId="02C3C2EF" w14:textId="77777777" w:rsidR="00BF5974" w:rsidRDefault="00BF5974">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Asignación Presupuestal</w:t>
            </w:r>
          </w:p>
        </w:tc>
      </w:tr>
      <w:tr w:rsidR="00A41077" w14:paraId="23D6927A"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173E82C"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010000000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69EA3CB"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SERVICIOS PERSONALES.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EFE8B59" w14:textId="005C6FDA"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2,527,759,401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6349EB0" w14:textId="0DE8277D"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BB8991B" w14:textId="0AB4577C"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2,527,759,401 </w:t>
            </w:r>
          </w:p>
        </w:tc>
      </w:tr>
      <w:tr w:rsidR="00A41077" w14:paraId="1BDC963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9BE1AEC"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010100000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D1BD051"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REMUNERACIONES AL PERSONAL DE CARACTER PERMANENTE.</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F135B36" w14:textId="0D0D33DC"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1,050,218,148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49F11C4" w14:textId="4B41D9F0"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5795C75" w14:textId="53738656"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1,050,218,148 </w:t>
            </w:r>
          </w:p>
        </w:tc>
      </w:tr>
      <w:tr w:rsidR="00A41077" w14:paraId="04123AE5"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87BD881"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010101000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22DB7D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Dietas.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EF35B72" w14:textId="130DA8C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9080D2B" w14:textId="32DE026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4EDDBB4" w14:textId="6215828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4877EE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A6A270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010102000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567139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Haberes.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E67C44D" w14:textId="2C2B361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DE29125" w14:textId="0F683D4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7E703BE" w14:textId="7B765C1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7F407AA2"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D1CD09D"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lastRenderedPageBreak/>
              <w:t>010103000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57C0FA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Sueldos base al personal permanente.</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371FE0C" w14:textId="2B8A58E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1,050,218,148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72BCD8E" w14:textId="751E679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6798719" w14:textId="11F2E7D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1,050,218,148 </w:t>
            </w:r>
          </w:p>
        </w:tc>
      </w:tr>
      <w:tr w:rsidR="00A41077" w14:paraId="74E60C8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7AD8DA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010104000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820937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Remuneraciones por adscripción laboral en el extranjero.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4C70F5B" w14:textId="777FAF3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3A4F3F2" w14:textId="2DACCDA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A2F553F" w14:textId="662C081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4FFDBE5"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87C860B"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010200000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C2F218D"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REMUNERACIONES AL PERSONAL DE CARACTER TRANSITORIO.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726D19F" w14:textId="1A66E238"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43,868,844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744B1D5" w14:textId="610F14E4"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166EF86" w14:textId="3A0007B0"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43,868,844 </w:t>
            </w:r>
          </w:p>
        </w:tc>
      </w:tr>
      <w:tr w:rsidR="00A41077" w14:paraId="1110778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6A3AF8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010201000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09228AF"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Honorarios asimilables a salarios.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22F9C76" w14:textId="12C61B5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792415F" w14:textId="5D30663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0E29F93" w14:textId="13AA79A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882512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FC59D6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010202000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B346255"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Sueldos base al personal eventual.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3AD13DF" w14:textId="40D12AB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43,868,844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1E0264E" w14:textId="2EB5CD7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F2A656F" w14:textId="7621D6D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43,868,844 </w:t>
            </w:r>
          </w:p>
        </w:tc>
      </w:tr>
      <w:tr w:rsidR="00A41077" w14:paraId="035C1E6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A6F37EE"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010203000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7C1703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Retribuciones por servicios de carácter social.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2FBB8A4" w14:textId="3357790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DE7354F" w14:textId="42A9D7C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9F4E759" w14:textId="61E19C5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64CFE4A"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006D31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010204000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0DD27B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Retribución a los representantes de los trabajadores y de los patrones en la Junta de Conciliación y Arbitraje.</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F499C2E" w14:textId="744DE6C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5F96C20" w14:textId="601788C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CB5D22D" w14:textId="42FACA5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703E1EAA"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2C40CC4"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010300000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62A714D"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REMUNERACIONES ADICIONALES Y ESPECIALES.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549765B" w14:textId="4654FD9D"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454,974,375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E4E63AA" w14:textId="18990302"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0524C1A" w14:textId="5FFFE4E2"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454,974,375 </w:t>
            </w:r>
          </w:p>
        </w:tc>
      </w:tr>
      <w:tr w:rsidR="00A41077" w14:paraId="6FB4439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A2B59D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010301000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C218B1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Primas por años de servicios efectivos prestados.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DE25F06" w14:textId="51DF0AB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109,167,996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0646FAC" w14:textId="732294A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81D1B7C" w14:textId="70D1DDD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109,167,996 </w:t>
            </w:r>
          </w:p>
        </w:tc>
      </w:tr>
      <w:tr w:rsidR="00A41077" w14:paraId="1AA4D7D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191754E"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010302000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44E2AF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Primas de vacaciones, dominical y gratificación de fin de año.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5D25842" w14:textId="3EAAF10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228,361,528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190CDCB" w14:textId="520CAA4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B33BB4A" w14:textId="72C16F1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228,361,528 </w:t>
            </w:r>
          </w:p>
        </w:tc>
      </w:tr>
      <w:tr w:rsidR="00A41077" w14:paraId="674D611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0F9BB7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010303000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7995B9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Horas extraordinarias.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15C3CEC" w14:textId="3CCC69D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2,200,104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A9A0DFD" w14:textId="0924CF2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3177E18" w14:textId="713F9BB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2,200,104 </w:t>
            </w:r>
          </w:p>
        </w:tc>
      </w:tr>
      <w:tr w:rsidR="00A41077" w14:paraId="5FC01B8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E92B1A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010304000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CB64EFF"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Compensaciones.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9018C16" w14:textId="1399445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115,244,747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B682725" w14:textId="16A9E99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5B299B8" w14:textId="321A094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115,244,747 </w:t>
            </w:r>
          </w:p>
        </w:tc>
      </w:tr>
      <w:tr w:rsidR="00A41077" w14:paraId="39D357B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7ED1BA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010305000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E49C68F" w14:textId="77777777" w:rsidR="00A41077" w:rsidRDefault="00A41077" w:rsidP="00A41077">
            <w:pPr>
              <w:spacing w:line="256" w:lineRule="auto"/>
              <w:rPr>
                <w:rFonts w:eastAsia="Times New Roman" w:cs="Arial"/>
                <w:color w:val="000000"/>
                <w:sz w:val="16"/>
                <w:szCs w:val="16"/>
                <w:lang w:val="es-ES" w:eastAsia="en-US"/>
              </w:rPr>
            </w:pPr>
            <w:proofErr w:type="spellStart"/>
            <w:r>
              <w:rPr>
                <w:rFonts w:eastAsia="Times New Roman" w:cs="Arial"/>
                <w:color w:val="000000"/>
                <w:sz w:val="16"/>
                <w:szCs w:val="16"/>
                <w:lang w:val="es-ES" w:eastAsia="en-US"/>
              </w:rPr>
              <w:t>Sobrehaberes</w:t>
            </w:r>
            <w:proofErr w:type="spellEnd"/>
            <w:r>
              <w:rPr>
                <w:rFonts w:eastAsia="Times New Roman" w:cs="Arial"/>
                <w:color w:val="000000"/>
                <w:sz w:val="16"/>
                <w:szCs w:val="16"/>
                <w:lang w:val="es-ES" w:eastAsia="en-US"/>
              </w:rPr>
              <w:t>.</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F5311F9" w14:textId="5FEB67D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0E555DF" w14:textId="3E2C3A0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91C32BD" w14:textId="6CE0B00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CD6CD6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BD83C1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010306000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18695A0"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Asignaciones de técnico, de mando, por comisión, de vuelo y de técnico especial.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326EF6C" w14:textId="1EEAE90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7BBC2F9" w14:textId="05A0726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933A1E6" w14:textId="70F2544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7930E7F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7936C0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010307000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DA4CA9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Honorarios especiales.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5FD18F0" w14:textId="3AA18C9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9B2826F" w14:textId="7646A24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042AE98" w14:textId="73617F6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770DB9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440CEE4"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010308000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54DF5F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Participaciones por vigilancia en el cumplimiento de las leyes y custodia de valores.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AE0F4B8" w14:textId="59B68B8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3190C56" w14:textId="77DE7C4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2FB22BF" w14:textId="39A63B6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FACDA5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FA61B43"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010400000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2708B2A"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SEGURIDAD SOCIAL.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297C271" w14:textId="3250858B"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194,229,192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30B5060" w14:textId="21C7981E"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4175F39" w14:textId="4AF065CA"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194,229,192 </w:t>
            </w:r>
          </w:p>
        </w:tc>
      </w:tr>
      <w:tr w:rsidR="00A41077" w14:paraId="3D52299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541CE4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010401000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893E90A"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Aportaciones de seguridad social.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D5FFDA5" w14:textId="0F7B776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188,389,860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6929B0E" w14:textId="2131C0E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1532229" w14:textId="6FE1E6B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188,389,860 </w:t>
            </w:r>
          </w:p>
        </w:tc>
      </w:tr>
      <w:tr w:rsidR="00A41077" w14:paraId="10A6517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412E751"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010402000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440D74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Aportaciones a fondos de vivienda.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68EC7BC" w14:textId="5BC93C7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2,055,408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E913916" w14:textId="0AAF14C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447C6E6" w14:textId="794B1A8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2,055,408 </w:t>
            </w:r>
          </w:p>
        </w:tc>
      </w:tr>
      <w:tr w:rsidR="00A41077" w14:paraId="29932E6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78F983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010403000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ACE93D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Aportaciones al sistema para el retiro.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209E171" w14:textId="7A2DCEF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3,231,348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01A7315" w14:textId="4C4CF39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1BDCDF6" w14:textId="43B0108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3,231,348 </w:t>
            </w:r>
          </w:p>
        </w:tc>
      </w:tr>
      <w:tr w:rsidR="00A41077" w14:paraId="0FF4C9B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E68360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010404000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EED9A1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Aportaciones para seguros.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C3E0FC6" w14:textId="72B2C73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552,576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3EFCC1D" w14:textId="767780F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1763C51" w14:textId="2FF4687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552,576 </w:t>
            </w:r>
          </w:p>
        </w:tc>
      </w:tr>
      <w:tr w:rsidR="00A41077" w14:paraId="411270D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CEB4699"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010500000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900429C"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OTRAS PRESTACIONES SOCIALES Y ECONÓMICAS.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A082B26" w14:textId="51A97C78"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606,439,086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66C076D" w14:textId="4D72FB24"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965CA66" w14:textId="1CA92CE9"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606,439,086 </w:t>
            </w:r>
          </w:p>
        </w:tc>
      </w:tr>
      <w:tr w:rsidR="00A41077" w14:paraId="4328396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B7EB98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010501000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7A01AFA"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Cuotas para el fondo de ahorro y fondo de trabajo.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437C5CE" w14:textId="4732A82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14,687,904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AAC59A2" w14:textId="63CB576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0F787F9" w14:textId="2752B8E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14,687,904 </w:t>
            </w:r>
          </w:p>
        </w:tc>
      </w:tr>
      <w:tr w:rsidR="00A41077" w14:paraId="17FF453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92F8F2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010502000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094418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Indemnizaciones.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2A2E13D" w14:textId="259F10E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8,239,932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DA7AB09" w14:textId="61F04E7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4597C38" w14:textId="179A389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8,239,932 </w:t>
            </w:r>
          </w:p>
        </w:tc>
      </w:tr>
      <w:tr w:rsidR="00A41077" w14:paraId="0FA5C09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710074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010503000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CF431F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Prestaciones y haberes de retiro.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F2EB923" w14:textId="5982DED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877,500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E8141DD" w14:textId="60E2BD0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FC8A66F" w14:textId="24E284B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877,500 </w:t>
            </w:r>
          </w:p>
        </w:tc>
      </w:tr>
      <w:tr w:rsidR="00A41077" w14:paraId="5CB7D29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4D98F7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010504000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96257D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Prestaciones contractuales.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CD0E478" w14:textId="05B2E14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306,380,448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4D991C2" w14:textId="390CCC9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9B981DC" w14:textId="55AE259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306,380,448 </w:t>
            </w:r>
          </w:p>
        </w:tc>
      </w:tr>
      <w:tr w:rsidR="00A41077" w14:paraId="403B55C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31642C6"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010505000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80C529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Apoyos a la capacitación de los servidores públicos.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BC92838" w14:textId="2D0A9F2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20,015,696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F18E37B" w14:textId="0452833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8DBB855" w14:textId="41C5381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20,015,696 </w:t>
            </w:r>
          </w:p>
        </w:tc>
      </w:tr>
      <w:tr w:rsidR="00A41077" w14:paraId="473064C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F56259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010509000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6EC95C0"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Otras prestaciones sociales y económicas.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D39D1AD" w14:textId="7597FC1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256,237,606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E2D950A" w14:textId="5FF7EC0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5BB8D81" w14:textId="5B40718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256,237,606 </w:t>
            </w:r>
          </w:p>
        </w:tc>
      </w:tr>
      <w:tr w:rsidR="00A41077" w14:paraId="042A22C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6971B1C"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010600000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DF7BB78"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PREVISIONES.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3DFAA34" w14:textId="656D6113"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60,523,956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6919542" w14:textId="0BAF452F"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A17F54A" w14:textId="6D5242EB"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60,523,956 </w:t>
            </w:r>
          </w:p>
        </w:tc>
      </w:tr>
      <w:tr w:rsidR="00A41077" w14:paraId="24531E4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F85E35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010601000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E6E9A4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Previsiones de carácter laboral, económica y de seguridad social.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42084CE" w14:textId="6F5AA60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60,523,956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E93C0D5" w14:textId="25C6A98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55977BC" w14:textId="594413F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60,523,956 </w:t>
            </w:r>
          </w:p>
        </w:tc>
      </w:tr>
      <w:tr w:rsidR="00A41077" w14:paraId="07648C9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3BE0986"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010700000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C803132"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PAGO DE ESTÍMULOS A SERVIDORES PUBLICOS.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CEC2AFF" w14:textId="06187233"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117,505,800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B3A5EB1" w14:textId="5AB40856"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94F6F10" w14:textId="5E582CB2"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117,505,800 </w:t>
            </w:r>
          </w:p>
        </w:tc>
      </w:tr>
      <w:tr w:rsidR="00A41077" w14:paraId="6EFF3E0A"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7720CD1"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010701000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D627BDA"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Estímulos.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6363070" w14:textId="59C5361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117,505,800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7ED1526" w14:textId="60D7125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D513230" w14:textId="34689BE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117,505,800 </w:t>
            </w:r>
          </w:p>
        </w:tc>
      </w:tr>
      <w:tr w:rsidR="00A41077" w14:paraId="43956967"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0FC075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010702000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FB231E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Recompensas.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2314595" w14:textId="7A3E65F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74736E0" w14:textId="660A815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2110FBB" w14:textId="5F39BFB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401AC3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5F9608B"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020000000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AF9A350"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 xml:space="preserve"> MATERIALES Y SUMINISTROS.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5FB26B4" w14:textId="09AFC0A6"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296,329,937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F089DC8" w14:textId="28FBFED6"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899EC0F" w14:textId="5D91EB80"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296,329,937 </w:t>
            </w:r>
          </w:p>
        </w:tc>
      </w:tr>
      <w:tr w:rsidR="00A41077" w14:paraId="6C53A7D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F39106D"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020100000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B37F9E4"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MATERIALES DE ADMINISTRACIÓN, EMISIÓN DE DOCUMENTOS Y ARTÍCULOS OFICIALES.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D7A86EE" w14:textId="40E5C4C8"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36,381,364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0972FE7" w14:textId="27E95CD1"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31589C9" w14:textId="4AEB3551"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36,381,364 </w:t>
            </w:r>
          </w:p>
        </w:tc>
      </w:tr>
      <w:tr w:rsidR="00A41077" w14:paraId="5D3DC2F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05A589E"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020101000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50685D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Materiales, útiles y equipos menores de oficina.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6490D73" w14:textId="2B8C73A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6,763,740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B95E326" w14:textId="1FFD514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037F1A2" w14:textId="0FFBCD1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6,763,740 </w:t>
            </w:r>
          </w:p>
        </w:tc>
      </w:tr>
      <w:tr w:rsidR="00A41077" w14:paraId="37F5DA45"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56D8C3F"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020102000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6AA12C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Materiales y útiles de impresión y reproducción.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59FE1A4" w14:textId="4C7580A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615,347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1A04000" w14:textId="7EB39E8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BC3F75F" w14:textId="4A673CB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615,347 </w:t>
            </w:r>
          </w:p>
        </w:tc>
      </w:tr>
      <w:tr w:rsidR="00A41077" w14:paraId="7D9B564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DC34BF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lastRenderedPageBreak/>
              <w:t>020103000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846978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Material estadístico y geográfico.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72FEA7D" w14:textId="6A59031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4438C2A" w14:textId="46F667D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E64D70F" w14:textId="1789438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2BD2405"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B4AD1E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020104000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063E74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Materiales, útiles y equipos menores de tecnologías de la información y comunicaciones.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3AC96DC" w14:textId="07F23E3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1,638,446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F2470BA" w14:textId="5AF8C29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405849B" w14:textId="072DED5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1,638,446 </w:t>
            </w:r>
          </w:p>
        </w:tc>
      </w:tr>
      <w:tr w:rsidR="00A41077" w14:paraId="28193DB2"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D1BBB5D"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020105000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BEFE00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Material impreso e información digital.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C729FD9" w14:textId="30AE5D7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190,750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46B14DB" w14:textId="6486A00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B0C0B45" w14:textId="5E54669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190,750 </w:t>
            </w:r>
          </w:p>
        </w:tc>
      </w:tr>
      <w:tr w:rsidR="00A41077" w14:paraId="393A0C6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B60912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020106000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2AD8DE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Material de limpieza.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72A1085" w14:textId="4EA33BD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4,648,589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3C86EF1" w14:textId="02640B1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B550F54" w14:textId="235C6DD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4,648,589 </w:t>
            </w:r>
          </w:p>
        </w:tc>
      </w:tr>
      <w:tr w:rsidR="00A41077" w14:paraId="6CBDC04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2FB24F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020107000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7C4CA4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Materiales y útiles de enseñanza.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390DD63" w14:textId="1D9FCCD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16,500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789F667" w14:textId="08046B1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2BECCA6" w14:textId="39D1079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16,500 </w:t>
            </w:r>
          </w:p>
        </w:tc>
      </w:tr>
      <w:tr w:rsidR="00A41077" w14:paraId="5B6BF26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685C0E1"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020108000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4454FEF"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Materiales para el registro e identificación de bienes y personas.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2182F48" w14:textId="49069A9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22,507,992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4DAC47C" w14:textId="2E64EE5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7B08F08" w14:textId="74F79D4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22,507,992 </w:t>
            </w:r>
          </w:p>
        </w:tc>
      </w:tr>
      <w:tr w:rsidR="00A41077" w14:paraId="56FA764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73F6B14"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020200000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6FBBC4D"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ALIMENTOS Y UTENSILIOS.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273AE3C" w14:textId="256F5755"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62,755,126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AF032F3" w14:textId="3DC62F64"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BDF778F" w14:textId="771F955A"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62,755,126 </w:t>
            </w:r>
          </w:p>
        </w:tc>
      </w:tr>
      <w:tr w:rsidR="00A41077" w14:paraId="54F6942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19846A6"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020201000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9DB4BB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Productos alimenticios para personas.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CF547AF" w14:textId="65179CE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62,311,526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8CBDCFD" w14:textId="3E67BA5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FE9BCA3" w14:textId="3CF373F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62,311,526 </w:t>
            </w:r>
          </w:p>
        </w:tc>
      </w:tr>
      <w:tr w:rsidR="00A41077" w14:paraId="13E006E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29F6FD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020202000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9918D3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Productos alimenticios para animales.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FE3BDEB" w14:textId="564B77B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442,400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EF99DA9" w14:textId="4EF064C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9224C90" w14:textId="7927249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442,400 </w:t>
            </w:r>
          </w:p>
        </w:tc>
      </w:tr>
      <w:tr w:rsidR="00A41077" w14:paraId="52BA6F6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476B167"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020203000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880873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Utensilios para el servicio de alimentación.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5CF6DA4" w14:textId="1266884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1,200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1AE1CAB" w14:textId="1A10A92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F8EC221" w14:textId="1C60DA3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1,200 </w:t>
            </w:r>
          </w:p>
        </w:tc>
      </w:tr>
      <w:tr w:rsidR="00A41077" w14:paraId="36AD357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551000F"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020300000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F7C3563"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MATERIAS PRIMAS Y MATERIALES DE PRODUCCION Y COMERCIALIZACION.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B18ED0E" w14:textId="68C29466"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5,404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64B26FA" w14:textId="79ADE09F"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C230616" w14:textId="765381DA"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5,404 </w:t>
            </w:r>
          </w:p>
        </w:tc>
      </w:tr>
      <w:tr w:rsidR="00A41077" w14:paraId="56F8B36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DE9B86E"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020301000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A551A64"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Productos alimenticios, agropecuarios y forestales adquiridos como materia prima.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DE264A4" w14:textId="0D7B330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13BBA39" w14:textId="2C6B1FE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B6403F5" w14:textId="186D771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CBB57E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E06873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020302000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B7E80A0"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Insumos textiles adquiridos como materia prima.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F19820C" w14:textId="05D82B9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09ECD04" w14:textId="0E3B1F9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72BF74E" w14:textId="159345E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FFD1A8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A2840C3"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020303000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5495ED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Productos de papel, cartón e impresos adquiridos como materia prima.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AC759F0" w14:textId="4996BEB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CD1EFC8" w14:textId="750E221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CE889D9" w14:textId="3E5BCD7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C4C017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BEF9EEE"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020304000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2B1144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Combustibles, lubricantes, aditivos, carbón y sus derivados adquiridos como materia prima.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E63154C" w14:textId="50C210F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A34DEF8" w14:textId="0A35446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95AD28B" w14:textId="18A4017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D95BB7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AE17D23"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020305000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78A7D10"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Productos químicos, farmacéuticos y de laboratorio adquiridos como materia prima.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6EC7E05" w14:textId="2B97AF6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9AB49EE" w14:textId="00E02DF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B3FE736" w14:textId="059AD4B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BB63B95"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4467F1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020306000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F8605D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Productos metálicos y a base de minerales no metálicos adquiridos como materia prima.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39B18AA" w14:textId="2F23B84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00E32DD" w14:textId="3BCFB9F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BC1FA90" w14:textId="44FA624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91032A2"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91891B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020307000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E9B7B2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Productos de cuero, piel, plástico y hule adquiridos como materia prima.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DD0D7FE" w14:textId="65BADC6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5,404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FFB0E07" w14:textId="7757034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D560BD1" w14:textId="4899E3B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5,404 </w:t>
            </w:r>
          </w:p>
        </w:tc>
      </w:tr>
      <w:tr w:rsidR="00A41077" w14:paraId="295C500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D73454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020308000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A36434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Mercancías adquiridas para su comercialización.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EC016DF" w14:textId="669B344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A3A2A45" w14:textId="3F86B11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474A14A" w14:textId="4308108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803D225"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577D717"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020309000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1837B6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Otros productos adquiridos como materia prima.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C22D7EB" w14:textId="52C58DC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FC22B9C" w14:textId="5CCCE74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70FE654" w14:textId="02C9561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257D3E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5A1C709"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020400000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A5D65D5"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MATERIALES Y ARTÍCULOS DE CONSTRUCCIÓN Y DE REPARACIÓN.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C1873BE" w14:textId="7A9E3876"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3,466,445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11D3848" w14:textId="61816D26"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9051086" w14:textId="245E944B"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3,466,445 </w:t>
            </w:r>
          </w:p>
        </w:tc>
      </w:tr>
      <w:tr w:rsidR="00A41077" w14:paraId="147A879A"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E68012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020401000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700372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Productos minerales no metálicos.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E503D10" w14:textId="4E03CEC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74378B0" w14:textId="683F9B6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279C4AB" w14:textId="2FEE7A2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B55DC8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BB0CA4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020402000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84C100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Cemento y productos de concreto.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90EE1E2" w14:textId="1D9180A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75,230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AFC8E0A" w14:textId="6212DDE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5E207E6" w14:textId="65F703C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75,230 </w:t>
            </w:r>
          </w:p>
        </w:tc>
      </w:tr>
      <w:tr w:rsidR="00A41077" w14:paraId="00366EA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7FAA01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020403000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4DCFCF4"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Cal, yeso y productos de yeso.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CE1120F" w14:textId="02860AD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17E6EC4" w14:textId="73D7F49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A6C1A36" w14:textId="3281CC3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60ACC9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33E9DE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020404000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43CA67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Madera y productos de madera.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5CA517C" w14:textId="3C7DF94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121,250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DA4D55E" w14:textId="13B12D5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79A5064" w14:textId="393E0DB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121,250 </w:t>
            </w:r>
          </w:p>
        </w:tc>
      </w:tr>
      <w:tr w:rsidR="00A41077" w14:paraId="63997DC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7589D6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020405000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D9AF6E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Vidrio y productos de vidrio.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CFF7D4C" w14:textId="6C8BA39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076A3F9" w14:textId="5202D47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27D7FB8" w14:textId="2365765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C1BDB6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27AFD2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020406000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34EB46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Material eléctrico y electrónico.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D6BE18E" w14:textId="15CBC52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1,473,718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EB8F461" w14:textId="34021C0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8840760" w14:textId="468EF78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1,473,718 </w:t>
            </w:r>
          </w:p>
        </w:tc>
      </w:tr>
      <w:tr w:rsidR="00A41077" w14:paraId="4532A1B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3BD8724"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020407000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8F63FC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Artículos metálicos para la construcción.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9FA7F80" w14:textId="49E0644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66,590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9FA3E25" w14:textId="100AFD7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02EF9D2" w14:textId="209B11F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66,590 </w:t>
            </w:r>
          </w:p>
        </w:tc>
      </w:tr>
      <w:tr w:rsidR="00A41077" w14:paraId="748C274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273AF3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020408000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B14DB57"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Materiales complementarios.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A2F9211" w14:textId="15AEE04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69,445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E035A96" w14:textId="25D1614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1B7001D" w14:textId="31B4572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69,445 </w:t>
            </w:r>
          </w:p>
        </w:tc>
      </w:tr>
      <w:tr w:rsidR="00A41077" w14:paraId="07948B8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FCBF1B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020409000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E03C295"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Otros materiales y artículos de construcción y reparación.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14C9935" w14:textId="6882449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1,660,212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29E603E" w14:textId="0C88DFA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0DF0A23" w14:textId="393A172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1,660,212 </w:t>
            </w:r>
          </w:p>
        </w:tc>
      </w:tr>
      <w:tr w:rsidR="00A41077" w14:paraId="20E28A82"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8B87C79"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020500000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88C2489"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PRODUCTOS QUÍMICOS, FARMACÉUTICOS Y DE LABORATORIO.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3624D3A" w14:textId="1A7464EB"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38,593,510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D39590C" w14:textId="66B32612"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C1A1D4A" w14:textId="03A3CED6"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38,593,510 </w:t>
            </w:r>
          </w:p>
        </w:tc>
      </w:tr>
      <w:tr w:rsidR="00A41077" w14:paraId="401C5DE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DE862E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020501000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7275BA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Productos químicos básicos.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BF351A2" w14:textId="1EBC3FD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125,928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08F9063" w14:textId="25896B2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EA30C51" w14:textId="6AF94EB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125,928 </w:t>
            </w:r>
          </w:p>
        </w:tc>
      </w:tr>
      <w:tr w:rsidR="00A41077" w14:paraId="5679897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B4B8F5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020502000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CC77C7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Fertilizantes, pesticidas y otros agroquímicos.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BFF8680" w14:textId="51FFF0B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19,600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4D7B418" w14:textId="3C2748A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224BD29" w14:textId="29538DA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19,600 </w:t>
            </w:r>
          </w:p>
        </w:tc>
      </w:tr>
      <w:tr w:rsidR="00A41077" w14:paraId="20D1F13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F9B5D3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020503000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65406A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Medicinas y productos farmacéuticos.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09048A6" w14:textId="4C9E496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19,732,000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A3FFE8A" w14:textId="42B0577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414E640" w14:textId="60E27A7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19,732,000 </w:t>
            </w:r>
          </w:p>
        </w:tc>
      </w:tr>
      <w:tr w:rsidR="00A41077" w14:paraId="689184A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1201EF4"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020504000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8504B2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Materiales, accesorios y suministros médicos.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B603989" w14:textId="3A9DA3D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195,986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58C2E36" w14:textId="37AF5BD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DD5A7C1" w14:textId="1B2D919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195,986 </w:t>
            </w:r>
          </w:p>
        </w:tc>
      </w:tr>
      <w:tr w:rsidR="00A41077" w14:paraId="1EE8787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19B104D"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020505000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4CD29B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Materiales, accesorios y suministros de laboratorio.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DC575B1" w14:textId="0E91CA5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9,509,996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B40F3F2" w14:textId="6C22811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5DB7371" w14:textId="2C267A5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9,509,996 </w:t>
            </w:r>
          </w:p>
        </w:tc>
      </w:tr>
      <w:tr w:rsidR="00A41077" w14:paraId="1A87652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76137F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020506000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7AD631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Fibras sintéticas, hules, plásticos y derivados.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1C01B96" w14:textId="4DCAD91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1EF3158" w14:textId="040CBB5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044CD5D" w14:textId="3C79FB6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8EEFAF7"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740EA2D"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lastRenderedPageBreak/>
              <w:t>020509000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064AC1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Otros productos químicos.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12AF633" w14:textId="0B86D8F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9,010,000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833E881" w14:textId="23EFE48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A6B7EE0" w14:textId="47D43D1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9,010,000 </w:t>
            </w:r>
          </w:p>
        </w:tc>
      </w:tr>
      <w:tr w:rsidR="00A41077" w14:paraId="020F16C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31EBA48"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020600000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CDD5338"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COMBUSTIBLES, LUBRICANTES Y ADITIVOS.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1CE56DF" w14:textId="78366B54"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64,229,268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3E78673" w14:textId="237F7075"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41DB0AA" w14:textId="77CB610D"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64,229,268 </w:t>
            </w:r>
          </w:p>
        </w:tc>
      </w:tr>
      <w:tr w:rsidR="00A41077" w14:paraId="42C54412"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7EA239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020601000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C643A64"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Combustibles, lubricantes y aditivos.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C20D355" w14:textId="3821D38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64,229,268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2586F40" w14:textId="4F905A3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5B09807" w14:textId="3829F7A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64,229,268 </w:t>
            </w:r>
          </w:p>
        </w:tc>
      </w:tr>
      <w:tr w:rsidR="00A41077" w14:paraId="10722D8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4D1463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020602000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B7FD0D4"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Carbón y sus derivados.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17AF982" w14:textId="7D43F63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5C2B550" w14:textId="5568149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9B283AC" w14:textId="0AB13AB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7A6E8B3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748ADC5"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020700000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A3F145E"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VESTUARIO, BLANCOS, PRENDAS DE PROTECCIÓN Y ARTICULOS DEPORTIVOS.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0FD1DA9" w14:textId="6DE1D1FF"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49,991,762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967A91E" w14:textId="009A0122"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8CFE41A" w14:textId="7FFFB817"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49,991,762 </w:t>
            </w:r>
          </w:p>
        </w:tc>
      </w:tr>
      <w:tr w:rsidR="00A41077" w14:paraId="4D04A8A2"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DDEB72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020701000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4256A2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Vestuario y uniformes.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A660DF2" w14:textId="728EDE4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42,479,226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831C41A" w14:textId="6F3C11B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83CBBFC" w14:textId="564FA36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42,479,226 </w:t>
            </w:r>
          </w:p>
        </w:tc>
      </w:tr>
      <w:tr w:rsidR="00A41077" w14:paraId="7853282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6C632E1"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020702000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C9ACE6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Prendas de seguridad y protección personal.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9EC6DFB" w14:textId="751FB8E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6,877,536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E43EAA3" w14:textId="3F8FA1E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E8D2863" w14:textId="20B3009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6,877,536 </w:t>
            </w:r>
          </w:p>
        </w:tc>
      </w:tr>
      <w:tr w:rsidR="00A41077" w14:paraId="3A00D27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937E68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020703000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094008A"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Artículos deportivos.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8E5A81E" w14:textId="606085C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600,000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D6F55A7" w14:textId="20EA5CA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335977A" w14:textId="2C050E9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600,000 </w:t>
            </w:r>
          </w:p>
        </w:tc>
      </w:tr>
      <w:tr w:rsidR="00A41077" w14:paraId="3C987F9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C96694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020704000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151E864"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Productos textiles.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E4D1A1E" w14:textId="0200206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15,000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EEFF046" w14:textId="3A946B6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5E1A58B" w14:textId="3726409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15,000 </w:t>
            </w:r>
          </w:p>
        </w:tc>
      </w:tr>
      <w:tr w:rsidR="00A41077" w14:paraId="10F2AE7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162AEC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020705000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1D6C3C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Blancos y otros productos textiles, excepto prendas de vestir.</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720B24F" w14:textId="614730C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C654975" w14:textId="7C89242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4BFE64B" w14:textId="32C60C0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20,000 </w:t>
            </w:r>
          </w:p>
        </w:tc>
      </w:tr>
      <w:tr w:rsidR="00A41077" w14:paraId="5F36DAB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91B5E80"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020800000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A051D7B"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MATERIALES Y SUMINISTROS PARA SEGURIDAD.</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148CE5F" w14:textId="340A5C0D"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16,835,453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12218C9" w14:textId="441E68EC"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41D9DAD" w14:textId="2878D319"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16,835,453 </w:t>
            </w:r>
          </w:p>
        </w:tc>
      </w:tr>
      <w:tr w:rsidR="00A41077" w14:paraId="5446A72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670F19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020801000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5F15BF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Sustancias y materiales explosivos.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762D7D8" w14:textId="494D4D6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5FF58A2" w14:textId="1716FEC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FF7E631" w14:textId="4084452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B238CC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586D28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020802000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047D665"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Materiales de seguridad pública.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EF8A780" w14:textId="00963AD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186,293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43EA5EE" w14:textId="417C722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270596D" w14:textId="66AD37F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186,293 </w:t>
            </w:r>
          </w:p>
        </w:tc>
      </w:tr>
      <w:tr w:rsidR="00A41077" w14:paraId="70B61FD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DDBA001"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020803000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D9622BF"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Prendas de protección para seguridad pública y nacional.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3BFF82B" w14:textId="75A1B7D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16,649,160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6A049FB" w14:textId="1FD7BA9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E432382" w14:textId="3C122AF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16,649,160 </w:t>
            </w:r>
          </w:p>
        </w:tc>
      </w:tr>
      <w:tr w:rsidR="00A41077" w14:paraId="24AA48F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5F097C9"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020900000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9FBA64D"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HERRAMIENTAS, REFACCIONES Y ACCESORIOS MENORES.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627BF39" w14:textId="60BFAA77"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24,071,605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DDFD316" w14:textId="538ECA48"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EB1C39E" w14:textId="34FCCDFC"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24,071,605 </w:t>
            </w:r>
          </w:p>
        </w:tc>
      </w:tr>
      <w:tr w:rsidR="00A41077" w14:paraId="33B3A05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3BDC09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020901000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1911AD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Herramientas menores.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6BEC136" w14:textId="30A5858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975,479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F06DCB4" w14:textId="61E353B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54DC60D" w14:textId="2FBCA59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975,479 </w:t>
            </w:r>
          </w:p>
        </w:tc>
      </w:tr>
      <w:tr w:rsidR="00A41077" w14:paraId="26668A4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D1AE54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020902000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BD99234"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Refacciones y accesorios menores de edificios.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4CAB972" w14:textId="702D3D7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640,624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0391B1D" w14:textId="69EEB76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9D1F311" w14:textId="4C3A841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640,624 </w:t>
            </w:r>
          </w:p>
        </w:tc>
      </w:tr>
      <w:tr w:rsidR="00A41077" w14:paraId="55E4E5F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6D2802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020903000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48A6BC0"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Refacciones y accesorios menores de mobiliario y equipo de administración, educacional y recreativo.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D545E99" w14:textId="476D80B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156,200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8BDCFC0" w14:textId="75944C3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4D7CD1F" w14:textId="3B0F984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156,200 </w:t>
            </w:r>
          </w:p>
        </w:tc>
      </w:tr>
      <w:tr w:rsidR="00A41077" w14:paraId="5CAB9D4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9572E6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020904000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09C71C0"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Refacciones y accesorios menores de equipo de cómputo y tecnologías de la información.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CC49309" w14:textId="5120EB9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1,082,879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C49BAA1" w14:textId="3D542EF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3897DCA" w14:textId="5A2E659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1,082,879 </w:t>
            </w:r>
          </w:p>
        </w:tc>
      </w:tr>
      <w:tr w:rsidR="00A41077" w14:paraId="62A5913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EBD800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020905000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6E5D1E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Refacciones y accesorios menores de equipo e instrumental médico y de laboratorio.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9B275B1" w14:textId="2AC81C6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E59DAED" w14:textId="70986BD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8305E7C" w14:textId="146A53E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7433A4B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4C0C07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020906000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1A4C57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Refacciones y accesorios menores de equipo de transporte.</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9382219" w14:textId="7A1F324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20,932,529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980F804" w14:textId="42FB28C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3B7909D" w14:textId="1850C34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20,932,529 </w:t>
            </w:r>
          </w:p>
        </w:tc>
      </w:tr>
      <w:tr w:rsidR="00A41077" w14:paraId="0920054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C43A7FF"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020907000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A90CA7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Refacciones y accesorios menores de equipo de defensa y seguridad.</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FB3EF34" w14:textId="2A1631E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4EC6BAB" w14:textId="03B717A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CEB476E" w14:textId="3796643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E5E5395"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C78399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020908000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B46D8F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Refacciones y accesorios menores de maquinaria y otros equipos.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7FE0D31" w14:textId="46B0203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96,670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84CD0A4" w14:textId="1455630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5ECF420" w14:textId="4749494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96,670 </w:t>
            </w:r>
          </w:p>
        </w:tc>
      </w:tr>
      <w:tr w:rsidR="00A41077" w14:paraId="3649BF9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3B93A9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020909000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409AD4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Refacciones y accesorios menores otros bienes muebles.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249C214" w14:textId="20E64EA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187,224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2A75D11" w14:textId="2F117D3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9AA5348" w14:textId="4AA7881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187,224 </w:t>
            </w:r>
          </w:p>
        </w:tc>
      </w:tr>
      <w:tr w:rsidR="00A41077" w14:paraId="041FF3D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6487DF7"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030000000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61552B5"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SERVICIOS GENERALES.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B12CBC2" w14:textId="19438405"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499,488,704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B1FC1CA" w14:textId="1BE792DD"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C5A6D4E" w14:textId="1895754E"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499,488,704 </w:t>
            </w:r>
          </w:p>
        </w:tc>
      </w:tr>
      <w:tr w:rsidR="00A41077" w14:paraId="76B485E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8D998C1"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030100000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EC5F94F"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SERVICIOS BÁSICOS.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BFA1354" w14:textId="00EF9730"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85,658,810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3C4703B" w14:textId="2C72CA57"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21264DE" w14:textId="219EA905"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85,658,810 </w:t>
            </w:r>
          </w:p>
        </w:tc>
      </w:tr>
      <w:tr w:rsidR="00A41077" w14:paraId="040805D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6817597"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030101000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F88DBC7"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Energía eléctrica.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064246E" w14:textId="0E759AA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61,000,000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CD66036" w14:textId="0C2CD05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735BFB3" w14:textId="0E361A8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61,000,000 </w:t>
            </w:r>
          </w:p>
        </w:tc>
      </w:tr>
      <w:tr w:rsidR="00A41077" w14:paraId="56FD402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2D45AA6"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030102000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7A67AD4"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Gas.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8C2FFC3" w14:textId="00503C4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47,000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BDAD97E" w14:textId="0AAC5A7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5D6A824" w14:textId="4547CB8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47,000 </w:t>
            </w:r>
          </w:p>
        </w:tc>
      </w:tr>
      <w:tr w:rsidR="00A41077" w14:paraId="4AF9574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C93C2AF"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030103000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BA0803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Agua.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76403F1" w14:textId="12D3BEA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2,232,000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2F80A59" w14:textId="6CE9742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0B1AAFC" w14:textId="0516204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2,232,000 </w:t>
            </w:r>
          </w:p>
        </w:tc>
      </w:tr>
      <w:tr w:rsidR="00A41077" w14:paraId="215E981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A96B89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030104000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334DC6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Telefonía tradicional.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DF89AA2" w14:textId="4C5BE7C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2,668,788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55127AC" w14:textId="1B2EF68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56BBDD6" w14:textId="40DD922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2,668,788 </w:t>
            </w:r>
          </w:p>
        </w:tc>
      </w:tr>
      <w:tr w:rsidR="00A41077" w14:paraId="4D06A1D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4FE03B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030105000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FE1A7B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Telefonía celular.</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EEC440A" w14:textId="1C29F2F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8FB19AF" w14:textId="0819A18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41537B3" w14:textId="382F7DA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1B7C092"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27CCBA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030106000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89E28E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de telecomunicaciones y satélites.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694E2B7" w14:textId="0A46E8C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500,000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8CA5F6B" w14:textId="4B51DB9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6BB7D03" w14:textId="5CE2969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500,000 </w:t>
            </w:r>
          </w:p>
        </w:tc>
      </w:tr>
      <w:tr w:rsidR="00A41077" w14:paraId="4CBDC26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1636AC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030107000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E03D73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de acceso de Internet, redes y procesamiento de información.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464360B" w14:textId="7122209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15,254,540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37A0E66" w14:textId="482F282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C87470E" w14:textId="0823865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15,254,540 </w:t>
            </w:r>
          </w:p>
        </w:tc>
      </w:tr>
      <w:tr w:rsidR="00A41077" w14:paraId="35AC0D87"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6D87703"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030108000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95A7665"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postales y telegráficos.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E7CE564" w14:textId="508B491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456,482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8793254" w14:textId="5E4824D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C8C83DF" w14:textId="7D46E0A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456,482 </w:t>
            </w:r>
          </w:p>
        </w:tc>
      </w:tr>
      <w:tr w:rsidR="00A41077" w14:paraId="5008CCC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48FD647"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030109000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D1C1A4A"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integrales y otros servicios.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A296112" w14:textId="4ECDC58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3,500,000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07DE7BA" w14:textId="4E6C5A1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92F8B89" w14:textId="3F68F40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3,500,000 </w:t>
            </w:r>
          </w:p>
        </w:tc>
      </w:tr>
      <w:tr w:rsidR="00A41077" w14:paraId="4BC0CE8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CA3D49D"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030200000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4207655"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SERVICIOS DE ARRENDAMIENTO.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C6878EA" w14:textId="4C3FF82B"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30,446,017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EF38146" w14:textId="6E245C95"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EB33338" w14:textId="27252526"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30,446,017 </w:t>
            </w:r>
          </w:p>
        </w:tc>
      </w:tr>
      <w:tr w:rsidR="00A41077" w14:paraId="33DBC57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EC0BD9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lastRenderedPageBreak/>
              <w:t>030201000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335C61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Arrendamiento de terrenos.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0FDF6DD" w14:textId="728F53A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9F45C32" w14:textId="6B2816D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E81C7D3" w14:textId="363F2F0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3B1039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1324716"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030202000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0DDD1F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Arrendamiento de edificios.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8CCA255" w14:textId="2EEDD79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8,323,079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D7C7A2A" w14:textId="174BC08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B674438" w14:textId="010FC85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8,323,079 </w:t>
            </w:r>
          </w:p>
        </w:tc>
      </w:tr>
      <w:tr w:rsidR="00A41077" w14:paraId="2D18E5F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8E2A8D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030203000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A733D4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Arrendamiento de mobiliario y equipo de administración, educacional y recreativo.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202C79A" w14:textId="7847768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8,494,538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FB02D9E" w14:textId="1BFCF2E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4D2FBF7" w14:textId="660724C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8,494,538 </w:t>
            </w:r>
          </w:p>
        </w:tc>
      </w:tr>
      <w:tr w:rsidR="00A41077" w14:paraId="329752F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F3BB151"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030204000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00E2FD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Arrendamiento de equipo e instrumental médico y de laboratorio.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B4D3207" w14:textId="73F4A24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B850CDC" w14:textId="6CD8A50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A4B3759" w14:textId="7641462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F3C21A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256642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030205000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74C521A"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Arrendamiento de equipo de transporte.</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5F6A30F" w14:textId="7F8A2C7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7,900,000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1DA5AC8" w14:textId="2FA07E0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0D96673" w14:textId="7768960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7,900,000 </w:t>
            </w:r>
          </w:p>
        </w:tc>
      </w:tr>
      <w:tr w:rsidR="00A41077" w14:paraId="06B867A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0E4797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030206000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81368C5"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Arrendamiento de maquinaria, otros equipos y herramientas.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BA73869" w14:textId="71EE542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92C208F" w14:textId="3294516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CE9F714" w14:textId="603F8FA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56BBD2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B6E0E2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030207000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8227BE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Arrendamiento de activos intangibles.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DF86FE3" w14:textId="3E98903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5,720,400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EE93401" w14:textId="6C0B47D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37CCA59" w14:textId="3AEECA6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5,720,400 </w:t>
            </w:r>
          </w:p>
        </w:tc>
      </w:tr>
      <w:tr w:rsidR="00A41077" w14:paraId="6BE12A1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145697F"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030208000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EED1A8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Arrendamiento financiero.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91FB4BD" w14:textId="44EFCB8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0658EA0" w14:textId="7837517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31D7368" w14:textId="4D84B30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1E50B5A"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819390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030209000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AADBF0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Otros arrendamientos.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68712B7" w14:textId="6A37B77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8,000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6E5CAC6" w14:textId="1955892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8A0F507" w14:textId="1139BD6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8,000 </w:t>
            </w:r>
          </w:p>
        </w:tc>
      </w:tr>
      <w:tr w:rsidR="00A41077" w14:paraId="6083B93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AF12E32"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030300000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1861E58"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SERVICIOS PROFESIONALES, CIENTÍFICOS, TECNICOS Y OTROS SERVICIOS.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146C8D9" w14:textId="4BD6276A"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30,010,700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393ED20" w14:textId="79DA768D"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CFC9241" w14:textId="035EF4C4"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30,010,700 </w:t>
            </w:r>
          </w:p>
        </w:tc>
      </w:tr>
      <w:tr w:rsidR="00A41077" w14:paraId="45D1FD8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864E7D1"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030301000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21E144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legales, de contabilidad, auditoría y relacionados.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6FD5325" w14:textId="0620081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13,600,000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F6B7A5F" w14:textId="696A76D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94276BD" w14:textId="15CD45E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13,600,000 </w:t>
            </w:r>
          </w:p>
        </w:tc>
      </w:tr>
      <w:tr w:rsidR="00A41077" w14:paraId="6D58340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3F8588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030302000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969BC4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de diseño, arquitectura, ingeniería y actividades relacionadas.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8693D06" w14:textId="4FD1F1A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856D65D" w14:textId="2812DAF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66A76B0" w14:textId="721991A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69E2C7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BD0AE3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030303000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FB813FA"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de consultoría administrativa, procesos, técnica y en tecnologías de la información.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3E326E1" w14:textId="37743D5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150,000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C573D0A" w14:textId="135CE24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9CD5E0F" w14:textId="25A0754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150,000 </w:t>
            </w:r>
          </w:p>
        </w:tc>
      </w:tr>
      <w:tr w:rsidR="00A41077" w14:paraId="30CCEFB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D1D4C0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030304000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7FA0D6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de capacitación.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EE1A527" w14:textId="30DC5A2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13,698,000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189967E" w14:textId="726642E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65F4AFF" w14:textId="2F53CE8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13,698,000 </w:t>
            </w:r>
          </w:p>
        </w:tc>
      </w:tr>
      <w:tr w:rsidR="00A41077" w14:paraId="5C3C1EE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114A8C7"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030305000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09BB2B5"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de investigación científica y desarrollo.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023B07C" w14:textId="6F00B61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43639A5" w14:textId="60551AA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F4E5C69" w14:textId="76849B9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C84956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97A804D"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030306000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B98D18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de apoyo administrativo, traducción, fotocopiado e impresión.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0AB13CA" w14:textId="734C82E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622,300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E230DDD" w14:textId="2660F4C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1D7BD43" w14:textId="7F416A9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622,300 </w:t>
            </w:r>
          </w:p>
        </w:tc>
      </w:tr>
      <w:tr w:rsidR="00A41077" w14:paraId="27D7968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565212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030307000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3B5DBF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de protección y seguridad.</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2C463CE" w14:textId="3C03E52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3359DFD" w14:textId="0A59467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AFAF00B" w14:textId="64ADAB6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F895FF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4B5E221"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030308000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0B0CAD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de vigilancia.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962F63F" w14:textId="580807B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600,000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48D9BB1" w14:textId="401426B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79A8FBE" w14:textId="59383B7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600,000 </w:t>
            </w:r>
          </w:p>
        </w:tc>
      </w:tr>
      <w:tr w:rsidR="00A41077" w14:paraId="1107807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43253F4"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030309000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9CB825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profesionales, científicos y técnicos integrales.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F54477A" w14:textId="427B8B3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1,340,400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F47078A" w14:textId="0930510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2F8E21F" w14:textId="2697112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1,340,400 </w:t>
            </w:r>
          </w:p>
        </w:tc>
      </w:tr>
      <w:tr w:rsidR="00A41077" w14:paraId="16CD28F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7D796AA"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030400000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4BBDE42"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SERVICIOS FINANCIEROS, BANCARIOS Y COMERCIALES.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64A7666" w14:textId="126E2E0F"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56,183,000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1ACFA87" w14:textId="4D9A3462"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413CDDB" w14:textId="2071F11E"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56,183,000 </w:t>
            </w:r>
          </w:p>
        </w:tc>
      </w:tr>
      <w:tr w:rsidR="00A41077" w14:paraId="185E3FA2"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7A986D6"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030401000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DA6AA4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financieros y bancarios.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DDFBDF7" w14:textId="66A5067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16,168,000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B87617B" w14:textId="7A54533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3B380BB" w14:textId="7331209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16,168,000 </w:t>
            </w:r>
          </w:p>
        </w:tc>
      </w:tr>
      <w:tr w:rsidR="00A41077" w14:paraId="02F3405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2BBD814"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030402000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B5D7A3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de cobranza, investigación crediticia y similar.</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C27637B" w14:textId="6741142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E20400C" w14:textId="5C8EE07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645E872" w14:textId="3CB0F90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4903E8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8F75AA3"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030403000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45CF8A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de recaudación, traslado y custodia de valores.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DBD1769" w14:textId="693E892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A37D5B6" w14:textId="491E3CA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B0E744B" w14:textId="1ABAD46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613347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CBBC6B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030404000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AC3361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Seguros de responsabilidad patrimonial y fianzas.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DFFFC5B" w14:textId="2F505C7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08118A2" w14:textId="1D8A3D6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39AD612" w14:textId="3CD3B0D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CDDEE9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9D1E2AD"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030405000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3F1C7F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Seguro de bienes patrimoniales.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D90FC4A" w14:textId="14F1092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40,015,000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E2B6725" w14:textId="6BAEBEF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220BC20" w14:textId="1EBB994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40,015,000 </w:t>
            </w:r>
          </w:p>
        </w:tc>
      </w:tr>
      <w:tr w:rsidR="00A41077" w14:paraId="06BB173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917F8D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030406000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7B14677"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Almacenaje, envase y embalaje.</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6E9034B" w14:textId="54E3EFD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43039B3" w14:textId="4BBEABC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9225F9F" w14:textId="504AA8F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71F72F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275E17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030407000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F572ED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Fletes y maniobras.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EAD49DF" w14:textId="4D16A82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8F7C055" w14:textId="6EC2CF1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39A724A" w14:textId="07C7176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BFC463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C8B92F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030408000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19261B4"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Comisiones por ventas.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7BB0AE8" w14:textId="77A7AF8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D9E6249" w14:textId="4E20B49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02D7C0A" w14:textId="29BD2E7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0FB40B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81EFA8E"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030409000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77F117A"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financieros, bancarios y comerciales integrales.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0CE1A69" w14:textId="1EEB73A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DD8049C" w14:textId="724DC90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335C60B" w14:textId="7D7C8DB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700C52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1EF0A45"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030500000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A69C5B8"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SERVICIOS DE INSTALACIÓN, REPARACIÓN, MANTENIMIENTO Y CONSERVACIÓN.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6D2F6B6" w14:textId="1A2BAD5F"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179,421,559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64FA046" w14:textId="55E8D07F"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7C47671" w14:textId="39BB90A3"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179,421,559 </w:t>
            </w:r>
          </w:p>
        </w:tc>
      </w:tr>
      <w:tr w:rsidR="00A41077" w14:paraId="0C1615D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398965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030501000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FCBE597"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Conservación y mantenimiento menor de inmuebles.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C3399DD" w14:textId="3A1D0F4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8,011,402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2A27C1F" w14:textId="2C576DA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E8053A8" w14:textId="4BF4803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8,011,402 </w:t>
            </w:r>
          </w:p>
        </w:tc>
      </w:tr>
      <w:tr w:rsidR="00A41077" w14:paraId="65BAFDB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64FF633"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030502000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4A4E55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Instalación, reparación y mantenimiento de mobiliario y equipo de administración, educacional y recreativo.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4FFC44D" w14:textId="2420522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6,665,001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31A9B8F" w14:textId="13AEAED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ECE91C4" w14:textId="5662680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6,665,001 </w:t>
            </w:r>
          </w:p>
        </w:tc>
      </w:tr>
      <w:tr w:rsidR="00A41077" w14:paraId="2B50A02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1A45CCD"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030503000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988FFF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Instalación, reparación y mantenimiento de equipo de cómputo y tecnología de la información.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7D051E5" w14:textId="727C9AA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13,385,181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DE26348" w14:textId="6B37466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107979F" w14:textId="47B294B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13,385,181 </w:t>
            </w:r>
          </w:p>
        </w:tc>
      </w:tr>
      <w:tr w:rsidR="00A41077" w14:paraId="59B2E36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F1BE50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lastRenderedPageBreak/>
              <w:t>030504000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C2D6174"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Instalación, reparación y mantenimiento de equipo e instrumental médico y de laboratorio.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4009646" w14:textId="0D2C582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2,800,000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591F470" w14:textId="4D2A804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B5B5403" w14:textId="43900F5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2,800,000 </w:t>
            </w:r>
          </w:p>
        </w:tc>
      </w:tr>
      <w:tr w:rsidR="00A41077" w14:paraId="2CB635A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ECC0C31"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030505000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4FC78B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Reparación y mantenimiento de equipo de transporte.</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4B0A255" w14:textId="5493CFC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13,469,466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7506F26" w14:textId="637D702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3C4B73C" w14:textId="21CFB80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13,469,466 </w:t>
            </w:r>
          </w:p>
        </w:tc>
      </w:tr>
      <w:tr w:rsidR="00A41077" w14:paraId="6F160E6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5349AEF"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030506000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E28B22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Reparación y mantenimiento de equipo de defensa y seguridad.</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A47F250" w14:textId="43ADD04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527C6F8" w14:textId="7D30E6C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209051D" w14:textId="6CCC1CD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C228AB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C32D88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030507000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5A9E14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Instalación, reparación y mantenimiento de maquinaria, otros equipos y herramienta.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1333A27" w14:textId="39E23F0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87,299,504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54AC536" w14:textId="6E271F6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07C5055" w14:textId="1C50CA8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87,299,504 </w:t>
            </w:r>
          </w:p>
        </w:tc>
      </w:tr>
      <w:tr w:rsidR="00A41077" w14:paraId="3FF4F652"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42FA2E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030508000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288983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de limpieza y manejo de desechos.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D45115B" w14:textId="61A2354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44,841,006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DB7CEEA" w14:textId="540B531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F89AE6A" w14:textId="78EA29B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44,841,006 </w:t>
            </w:r>
          </w:p>
        </w:tc>
      </w:tr>
      <w:tr w:rsidR="00A41077" w14:paraId="3F2FCB2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39A6B27"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030509000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60D75F5"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de jardinería y fumigación.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D731A17" w14:textId="47BC8FA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2,949,999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3BC8EEB" w14:textId="63293FE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3C38771" w14:textId="0485697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2,949,999 </w:t>
            </w:r>
          </w:p>
        </w:tc>
      </w:tr>
      <w:tr w:rsidR="00A41077" w14:paraId="38A0277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79052A2"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030600000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6BED9AE"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SERVICIOS DE COMUNICACIÓN SOCIAL Y PUBLICIDAD.</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2B1D754" w14:textId="71F89803"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21,582,401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B9E99AB" w14:textId="55EDC209"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E79FB07" w14:textId="4A4DEA5A"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21,582,401 </w:t>
            </w:r>
          </w:p>
        </w:tc>
      </w:tr>
      <w:tr w:rsidR="00A41077" w14:paraId="5DE04472"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315E31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030601000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9B6607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Difusión por radio, televisión y otros medios de mensajes sobre programas y actividades gubernamentales.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49FB788" w14:textId="4D404A2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21,545,405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E50B161" w14:textId="7D09278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8B188F7" w14:textId="03D89CB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21,545,405 </w:t>
            </w:r>
          </w:p>
        </w:tc>
      </w:tr>
      <w:tr w:rsidR="00A41077" w14:paraId="5C7BD197"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FAEA5A6"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030602000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A15C225"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Difusión por radio, televisión y otros medios de mensajes comerciales para promover la venta de bienes o servicios.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FC5F48F" w14:textId="3B0BB35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843FA19" w14:textId="4B1458C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2DE7D5A" w14:textId="5FB7CE8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C3DF1D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5247D47"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030603000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3E6C417"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de creatividad, preproducción y producción de publicidad, excepto Internet.</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6FD8225" w14:textId="119F5B7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36,996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6768C79" w14:textId="069C213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CF7DF49" w14:textId="02051A2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36,996 </w:t>
            </w:r>
          </w:p>
        </w:tc>
      </w:tr>
      <w:tr w:rsidR="00A41077" w14:paraId="116187A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F73F54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030604000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E94E69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de revelado de fotografías.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15F8513" w14:textId="0105645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8810FA7" w14:textId="3603947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A426D21" w14:textId="238C26B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31728D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59E8E8D"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030605000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ECF927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de la industria fílmica, del sonido y del video.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C338207" w14:textId="17E6C06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F101E5B" w14:textId="31DF2E4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86984C4" w14:textId="56DBADD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BDC55A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A86D7E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030606000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215DFA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 de creación y difusión de contenido exclusivamente a través de Internet.</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C312976" w14:textId="0379F7E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5106504" w14:textId="3918DC1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100196E" w14:textId="1750AFA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05814C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ECF709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030609000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7201BA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Otros servicios de información.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5D22080" w14:textId="13EC46F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9359CF4" w14:textId="02AB8A2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8D2F6EF" w14:textId="6E223C6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025C0C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E22DE7A"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030700000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ABDDEA4"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SERVICIOS DE TRASLADO Y VÍATICOS.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1130627" w14:textId="07EA27B1"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5,114,372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1DFF86F" w14:textId="795E99A5"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84A943C" w14:textId="571498DA"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5,114,372 </w:t>
            </w:r>
          </w:p>
        </w:tc>
      </w:tr>
      <w:tr w:rsidR="00A41077" w14:paraId="05D6F7C7"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3624DBE"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030701000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D4D40A0"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Pasajes aéreos.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7B5025B" w14:textId="36B8FF7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1,938,727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6283ACB" w14:textId="3BDB12B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0646080" w14:textId="32492F8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1,938,727 </w:t>
            </w:r>
          </w:p>
        </w:tc>
      </w:tr>
      <w:tr w:rsidR="00A41077" w14:paraId="6E7C088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2EC48A3"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030702000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DAB69A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Pasajes terrestres.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4014712" w14:textId="7D46A83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777,834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0104CBE" w14:textId="4E2F26B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C5CC846" w14:textId="2475D23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777,834 </w:t>
            </w:r>
          </w:p>
        </w:tc>
      </w:tr>
      <w:tr w:rsidR="00A41077" w14:paraId="7B7EC7D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7613BB4"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030703000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83C35A4"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Pasajes marítimos, lacustres y fluviales.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8E2B8D6" w14:textId="71A8992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CD99E91" w14:textId="46BE67E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3A4FCB0" w14:textId="000EA1F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3D29B9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9C6B15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030704000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68E5635"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Autotransporte.</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D8E15E7" w14:textId="4C6F859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EEB3946" w14:textId="54847CA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1012419" w14:textId="6510AB3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EC8479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1A8A94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030705000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E73016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Viáticos en el país.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D0A9D5E" w14:textId="3C984E2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2,153,239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B441922" w14:textId="7B13B4C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E84FC1B" w14:textId="49A4B80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2,153,239 </w:t>
            </w:r>
          </w:p>
        </w:tc>
      </w:tr>
      <w:tr w:rsidR="00A41077" w14:paraId="2481EAE2"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470278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030706000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DA9498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Viáticos en el extranjero.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2776217" w14:textId="3810896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8FAEB36" w14:textId="1393E25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D1E752C" w14:textId="09E56CF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6D69E7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71CA80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030707000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167232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Gastos de instalación y traslado de menaje.</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CBB9C3B" w14:textId="417562E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46544DA" w14:textId="195B3F4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C0F0243" w14:textId="13774AB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986DB82"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28A9BDE"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030708000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A8A5C8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integrales de traslado y viáticos.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90D834F" w14:textId="1510582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67351BA" w14:textId="064293F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1133937" w14:textId="0BBE59D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D64C72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59FCC9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030709000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E797A54"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Otros servicios de traslado y hospedaje.</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556B371" w14:textId="57A8A54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244,572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A2EE877" w14:textId="386E501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4990514" w14:textId="1F35B3B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244,572 </w:t>
            </w:r>
          </w:p>
        </w:tc>
      </w:tr>
      <w:tr w:rsidR="00A41077" w14:paraId="1CBE13B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E39ED61"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030800000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F546885"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SERVICIOS OFICIALES.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43A9EB1" w14:textId="011C4258"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6,612,036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7E6C71E" w14:textId="45776C35"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B718312" w14:textId="51A04118"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6,612,036 </w:t>
            </w:r>
          </w:p>
        </w:tc>
      </w:tr>
      <w:tr w:rsidR="00A41077" w14:paraId="289D2C2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3074CF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030801000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A1F7DE4"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Gastos de ceremonial.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52D3A1D" w14:textId="499AD2C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1,501,120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31B63C4" w14:textId="402D534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CCF5283" w14:textId="30A3AB6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1,501,120 </w:t>
            </w:r>
          </w:p>
        </w:tc>
      </w:tr>
      <w:tr w:rsidR="00A41077" w14:paraId="1F6D3BF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0B4AA3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030802000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DF2E117"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Gastos de orden social y cultural.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9B1F26C" w14:textId="1AD4C03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4,148,000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AADBC28" w14:textId="7D34527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617F05F" w14:textId="0B69642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4,148,000 </w:t>
            </w:r>
          </w:p>
        </w:tc>
      </w:tr>
      <w:tr w:rsidR="00A41077" w14:paraId="7725B19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CA12E5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030803000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E7BBCB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Congresos y convenciones.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C045F2D" w14:textId="0805229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316,916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EC403E3" w14:textId="59837BF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0D5DA55" w14:textId="5F74BDA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316,916 </w:t>
            </w:r>
          </w:p>
        </w:tc>
      </w:tr>
      <w:tr w:rsidR="00A41077" w14:paraId="63125A0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C19D47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030804000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5F92D35"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Exposiciones.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347F87C" w14:textId="66C888E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B1489A9" w14:textId="54EC09C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DF1DF5B" w14:textId="15F8E79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F1B57B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215CD8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030805000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97AE3A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Gastos de representación.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A7D34B1" w14:textId="32BE713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646,000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05B6A20" w14:textId="34E7FAE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E03492F" w14:textId="3CF4C0A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646,000 </w:t>
            </w:r>
          </w:p>
        </w:tc>
      </w:tr>
      <w:tr w:rsidR="00A41077" w14:paraId="556E1A9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700871B"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030900000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A4BF42C"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OTROS SERVICIOS GENERALES.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EE2FBE5" w14:textId="4FC921D7"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84,459,809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4E67E13" w14:textId="6EED8E19"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97F585F" w14:textId="5601C45F"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84,459,809 </w:t>
            </w:r>
          </w:p>
        </w:tc>
      </w:tr>
      <w:tr w:rsidR="00A41077" w14:paraId="7A33E835"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BFDEF4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030901000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7D1AFB7"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Servicios funerarios y de cementerios.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24EE469" w14:textId="0E26240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7,810,004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79D5D52" w14:textId="03E574E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B11F012" w14:textId="0F75873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7,810,004 </w:t>
            </w:r>
          </w:p>
        </w:tc>
      </w:tr>
      <w:tr w:rsidR="00A41077" w14:paraId="73EFE31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4603B41"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030902000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ACE0C25"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Impuestos y derechos.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DB4D7FB" w14:textId="508BBD6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6,697,000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DCEB1CB" w14:textId="224009B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D878B18" w14:textId="2BE9542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6,697,000 </w:t>
            </w:r>
          </w:p>
        </w:tc>
      </w:tr>
      <w:tr w:rsidR="00A41077" w14:paraId="21CCC8C5"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4E80594"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030903000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42AF454"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Impuestos y derechos de importación.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EEC1421" w14:textId="4B736D7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1CD191F" w14:textId="505ED1A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44979A6" w14:textId="7A839FC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F0FE7A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83F03E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030904000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484D88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Sentencias y resoluciones por autoridad competente.</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773B4AB" w14:textId="765B4A4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20,000,000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CE6E71A" w14:textId="05C7A33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13CA843" w14:textId="049EDC9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20,000,000 </w:t>
            </w:r>
          </w:p>
        </w:tc>
      </w:tr>
      <w:tr w:rsidR="00A41077" w14:paraId="374F6F7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037FA2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030905000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E84218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Penas, multas, accesorios y actualizaciones.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E07FC55" w14:textId="61BC476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368281D" w14:textId="6CD6E85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DD7B534" w14:textId="0554B6E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57F35A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D7437C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030906000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E8D417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Otros gastos por responsabilidades.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C160AB0" w14:textId="6CEF7ED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650,000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4A4D748" w14:textId="00214A6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2E3BABA" w14:textId="7F8178B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650,000 </w:t>
            </w:r>
          </w:p>
        </w:tc>
      </w:tr>
      <w:tr w:rsidR="00A41077" w14:paraId="6E9208B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C3B325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lastRenderedPageBreak/>
              <w:t>030907000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6065305"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Utilidades.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BABE1DA" w14:textId="0B1AF42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C04256A" w14:textId="6CFCB8D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61C1658" w14:textId="4B9A180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4C66625"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364E051"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030908000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FFE783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Impuesto sobre nóminas y otros que se deriven de una relación laboral.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0579CE4" w14:textId="626EAC7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43,987,404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C2AC3DA" w14:textId="76C55EF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FA840B0" w14:textId="0AD5A3B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43,987,404 </w:t>
            </w:r>
          </w:p>
        </w:tc>
      </w:tr>
      <w:tr w:rsidR="00A41077" w14:paraId="274CF437"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A497AD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030909000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FFAB5C4"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Otros servicios generales.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01BFF5D" w14:textId="63930BB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5,315,401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D20607C" w14:textId="47A7E66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E225CC0" w14:textId="008B97C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5,315,401 </w:t>
            </w:r>
          </w:p>
        </w:tc>
      </w:tr>
      <w:tr w:rsidR="00A41077" w14:paraId="73ECA9C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E4199E0"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040000000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5B9138C"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TRANSFERENCIAS, ASIGNACIONES, SUBSIDIOS Y OTRAS AYUDAS.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82FAE49" w14:textId="17C43B32"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12,619,436,673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83E0ADA" w14:textId="7DA04FFD"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2,242,524,237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F3308FD" w14:textId="7988B2C3"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14,861,960,910 </w:t>
            </w:r>
          </w:p>
        </w:tc>
      </w:tr>
      <w:tr w:rsidR="00A41077" w14:paraId="042049F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93AF9C8"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040100000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68D6577"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TRANSFERENCIAS INTERNAS Y ASIGNACIONES AL SECTOR PÚBLICO.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97A7114" w14:textId="621AA004"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9,830,842,153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950E6DB" w14:textId="00C06BA2"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164,312,698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FB52A31" w14:textId="6EEB265E"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9,995,154,851 </w:t>
            </w:r>
          </w:p>
        </w:tc>
      </w:tr>
      <w:tr w:rsidR="00A41077" w14:paraId="6788B5A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5C2F427"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040101000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31D716F"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Asignaciones presupuestarias al Poder Ejecutivo.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B956D11" w14:textId="046B67E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2,126,646,439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E85F26E" w14:textId="795E42B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3B23ADC" w14:textId="2CB651C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2,126,646,439 </w:t>
            </w:r>
          </w:p>
        </w:tc>
      </w:tr>
      <w:tr w:rsidR="00A41077" w14:paraId="4241232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2AEB10D"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040102000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2CAF53A"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Asignaciones presupuestarias al Poder Legislativo.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F2E59B6" w14:textId="6D10E3F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125,000,000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03468F6" w14:textId="4A0F4D3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5AB935D" w14:textId="5316E45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125,000,000 </w:t>
            </w:r>
          </w:p>
        </w:tc>
      </w:tr>
      <w:tr w:rsidR="00A41077" w14:paraId="543BAC1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7EDD313"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040103000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9C7662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Asignaciones presupuestarias al Poder Judicial.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1A7CA3A" w14:textId="16ECB32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271,481,600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D05F2E8" w14:textId="2E2810E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8446DF8" w14:textId="2CBA4D2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271,481,600 </w:t>
            </w:r>
          </w:p>
        </w:tc>
      </w:tr>
      <w:tr w:rsidR="00A41077" w14:paraId="6FB22AC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044F46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040104000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05FC57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Asignaciones presupuestarias a Órganos Autónomos.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5264D3A" w14:textId="5FAECFC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590,858,419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96D875C" w14:textId="7CC147A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161,918,061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9EE8D5F" w14:textId="515AE8E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752,776,480 </w:t>
            </w:r>
          </w:p>
        </w:tc>
      </w:tr>
      <w:tr w:rsidR="00A41077" w14:paraId="30B81F2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120407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040105000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D56720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Transferencias internas otorgadas a entidades paraestatales no empresariales y no financieras.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861F527" w14:textId="32BF298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6,666,355,695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1069509" w14:textId="02B1E80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4905922" w14:textId="79D3772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6,666,355,695 </w:t>
            </w:r>
          </w:p>
        </w:tc>
      </w:tr>
      <w:tr w:rsidR="00A41077" w14:paraId="72D5F98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290F98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040106000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EC1BDB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Transferencias internas otorgadas a entidades paraestatales empresariales y no financieras.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9989B47" w14:textId="323BDCE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E89E5A8" w14:textId="463A0ED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B3C4955" w14:textId="03140B3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CB4592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5D36E7E"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040107000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B428A5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Transferencias internas otorgadas a fideicomisos públicos empresariales y no financieros.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2C26979" w14:textId="6841AF2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7552B96" w14:textId="11E3A95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975F13D" w14:textId="2CA0A11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87D748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DCDC6A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040108000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A4B9E95"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Transferencias internas otorgadas a instituciones paraestatales públicas financieras.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20F9BC3" w14:textId="70EE7C6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BD75551" w14:textId="5C511D3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EF0D739" w14:textId="1F340CE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E87E637"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FEC628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040109000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A8D3FD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Transferencias internas otorgadas a fideicomisos públicos financieros.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7D80B88" w14:textId="686F63C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50,500,000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63F18C1" w14:textId="66DFC9F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2,394,637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DA56E5E" w14:textId="3CB65D4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52,894,637 </w:t>
            </w:r>
          </w:p>
        </w:tc>
      </w:tr>
      <w:tr w:rsidR="00A41077" w14:paraId="2BA54E6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E978C32"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040200000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6EA2732"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TRANSFERENCIAS AL RESTO DEL SECTOR PÚBLICO.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FEE5226" w14:textId="1A22EAF0"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378,672,104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4D2635B" w14:textId="1BEA7181"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63A74F3" w14:textId="07890F7A"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378,672,104 </w:t>
            </w:r>
          </w:p>
        </w:tc>
      </w:tr>
      <w:tr w:rsidR="00A41077" w14:paraId="70F3BE9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FBE24ED"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040201000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C9B91E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Transferencias otorgadas a entidades paraestatales no empresariales y no financieras.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73A3ECA" w14:textId="5C66A25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087915D" w14:textId="2C867A4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BE08FA6" w14:textId="3E7CA5E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D09BC3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1E3F7F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040202000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1AD308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Transferencias otorgadas para entidades paraestatales empresariales y no financieras.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C2B6470" w14:textId="601E7B3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7B8FBC6" w14:textId="5B60205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E9FA1A9" w14:textId="5965F94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0B86D0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986726E"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040203000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5E0C7B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Transferencias otorgadas para instituciones paraestatales públicas financieras.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B5B9F6F" w14:textId="1786FDE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500563F" w14:textId="459C1C8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8F9582B" w14:textId="0788ECF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7FB89A4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E3C2FE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040204000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606F395"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Transferencias otorgadas a entidades federativas y municipios.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3BB7139" w14:textId="7EB3182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378,672,104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8F3663C" w14:textId="74A7F82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CA5CD0E" w14:textId="5A4314C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378,672,104 </w:t>
            </w:r>
          </w:p>
        </w:tc>
      </w:tr>
      <w:tr w:rsidR="00A41077" w14:paraId="1D411F2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80484DD"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040205000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06A0D1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Transferencias a fideicomisos de entidades federativas y municipios.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F852065" w14:textId="22DBF3B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13891E4" w14:textId="2A8F384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241B172" w14:textId="666C98C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6787ED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6560D76"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040300000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E4F5B56"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SUBSIDIOS Y SUBVENCIONES.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56FA233" w14:textId="5DBE4F6F"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2,037,667,181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6AE3B97" w14:textId="60C231FF"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531117C" w14:textId="7AC1F42C"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2,037,667,181 </w:t>
            </w:r>
          </w:p>
        </w:tc>
      </w:tr>
      <w:tr w:rsidR="00A41077" w14:paraId="31BE757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7A5D751"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040301000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0420B87"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Subsidios a la producción.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0C1105D" w14:textId="79C4487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3,500,000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99D7CDA" w14:textId="37527CE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9CB9276" w14:textId="770FF5E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3,500,000 </w:t>
            </w:r>
          </w:p>
        </w:tc>
      </w:tr>
      <w:tr w:rsidR="00A41077" w14:paraId="545AFFF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2ADEDD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040302000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58B0CA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Subsidios a la distribución.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2705222" w14:textId="20F9F7C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A0BAD6D" w14:textId="1FB160E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D092EF4" w14:textId="0C67B02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DD6613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21A587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040303000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7C157E7"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Subsidios a la inversión.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F55FE01" w14:textId="6C56449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0FE31F9" w14:textId="4A32A3D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2CFED7A" w14:textId="68388B3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3B0B09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45CA3F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040304000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10A4565"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Subsidios a la prestación de servicios públicos.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214FC4C" w14:textId="7D3B20B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A1FC9D3" w14:textId="011EF33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08E71CD" w14:textId="227C393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E99808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C74940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040305000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F5EFF2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Subsidios para cubrir diferenciales de tasas de interés.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A700AC8" w14:textId="371199E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75A85A7" w14:textId="6EDE6AB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6C64032" w14:textId="5CC7EB4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C79BFF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1E57883"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040306000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B4D2AE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Subsidios a la vivienda.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A72EC28" w14:textId="5B69721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5DA7C05" w14:textId="316653B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9D49C36" w14:textId="470461E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86A573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5C7878F"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040307000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2A83E6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Subvenciones al consumo.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B6F043C" w14:textId="7BB9784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D022D37" w14:textId="32C4DDA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78D7265" w14:textId="55498BD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1A46C05"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2A1DB76"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040308000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66D13F7"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Subsidios a entidades federativas y municipios.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1A392E5" w14:textId="1BB9930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B471C75" w14:textId="16F1826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21B7000" w14:textId="47D13E3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7E044B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BD0C23F"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040309000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2B8E13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Otros subsidios.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9A43419" w14:textId="551E6D8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2,034,167,181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B6F8383" w14:textId="2EA1B33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0153007" w14:textId="36B137B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2,034,167,181 </w:t>
            </w:r>
          </w:p>
        </w:tc>
      </w:tr>
      <w:tr w:rsidR="00A41077" w14:paraId="68B6D33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1B85DCC"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040400000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8F31BA0"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AYUDAS SOCIALES.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1778BA9" w14:textId="3E4BCD19"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372,255,235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235B7A0" w14:textId="37F80FAD"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461,009,658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1D237E3" w14:textId="7F7226DD"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833,264,893 </w:t>
            </w:r>
          </w:p>
        </w:tc>
      </w:tr>
      <w:tr w:rsidR="00A41077" w14:paraId="1238941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8D2817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040401000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EBE3FF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Ayudas sociales a personas.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3A909B2" w14:textId="052D3BB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320,027,360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6E5F47D" w14:textId="61AE810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422,597,834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EE13EF2" w14:textId="3A99B65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742,625,194 </w:t>
            </w:r>
          </w:p>
        </w:tc>
      </w:tr>
      <w:tr w:rsidR="00A41077" w14:paraId="5BBBF5C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F962FD1"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lastRenderedPageBreak/>
              <w:t>040402000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FB5294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Becas y otras ayudas para programas de capacitación.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3FCBBFE" w14:textId="39F106B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500,000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1C4D225" w14:textId="34B44D2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6BEAB3D" w14:textId="2B761D5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500,000 </w:t>
            </w:r>
          </w:p>
        </w:tc>
      </w:tr>
      <w:tr w:rsidR="00A41077" w14:paraId="165D4C7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4D1FE4F"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040403000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715FD0F"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Ayudas sociales a instituciones de enseñanza.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199F28E" w14:textId="2C5DD4E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26,384,189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9FAFDB6" w14:textId="6FFC8EA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5,000,000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CE41DF0" w14:textId="6CF3579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31,384,189 </w:t>
            </w:r>
          </w:p>
        </w:tc>
      </w:tr>
      <w:tr w:rsidR="00A41077" w14:paraId="080DA6FA"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44B47A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040404000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707892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Ayudas sociales a actividades científicas o académicas.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725C109" w14:textId="3FC5847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E6B59A0" w14:textId="463E2EB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75A236B" w14:textId="313D16B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7EF1C65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ECB75E7"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040405000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E76D16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Ayudas sociales a instituciones sin fines de lucro.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F4CE00C" w14:textId="7A87174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33BEE98" w14:textId="7156F8B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21,545,226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D3D2CF1" w14:textId="4CD5F8A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21,545,226 </w:t>
            </w:r>
          </w:p>
        </w:tc>
      </w:tr>
      <w:tr w:rsidR="00A41077" w14:paraId="5D12C7B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C5382B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040406000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ACAE22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Ayudas sociales a cooperativas.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453B28F" w14:textId="79D05CE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9F60C76" w14:textId="26289D8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F48F603" w14:textId="7BF2FCD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AB397B5"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4840C8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040407000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8E22DA0"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Ayudas sociales a entidades de interés público.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7FD3A01" w14:textId="4BB2012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8A6FAE6" w14:textId="2A0C23C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8F42EC8" w14:textId="0CABBD8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E7E71D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6CFC7B4"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040408000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C2D332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Ayudas por desastres naturales y otros siniestros.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D0F8B05" w14:textId="3C2A6F1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25,343,686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8553FB1" w14:textId="6C8415D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11,866,598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9795353" w14:textId="337BE7C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37,210,284 </w:t>
            </w:r>
          </w:p>
        </w:tc>
      </w:tr>
      <w:tr w:rsidR="00A41077" w14:paraId="47D4B2C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3E13085"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040500000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10F571A"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PENSIONES Y JUBILACIONES.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48D52CA" w14:textId="63A74BEF"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CAE0120" w14:textId="6D4433D9"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1,256,591,433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A6DF81F" w14:textId="6935D8E1"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1,256,591,433 </w:t>
            </w:r>
          </w:p>
        </w:tc>
      </w:tr>
      <w:tr w:rsidR="00A41077" w14:paraId="0BC5E2C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5DA426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040501000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13203F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Pensiones.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6CE19ED" w14:textId="6C68955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BC59016" w14:textId="6C2D155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351,624,108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535608E" w14:textId="5E6925E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351,624,108 </w:t>
            </w:r>
          </w:p>
        </w:tc>
      </w:tr>
      <w:tr w:rsidR="00A41077" w14:paraId="28CBBCC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199D92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040502000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62CF72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Jubilaciones.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61347CC" w14:textId="106DC04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CB63DC4" w14:textId="72E393C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904,967,325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66C6E2F" w14:textId="5416A31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904,967,325 </w:t>
            </w:r>
          </w:p>
        </w:tc>
      </w:tr>
      <w:tr w:rsidR="00A41077" w14:paraId="3695CB02"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B1688A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040509000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A85E88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Otras pensiones y jubilaciones.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E3760A9" w14:textId="4C5832F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D83FB66" w14:textId="5B241C1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B50673F" w14:textId="6517799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0C0134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B99CD84"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040600000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66E06DC"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TRANSFERENCIAS A FIDEICOMISOS, MANDATOS Y OTROS ANÁLOGOS.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60A11D3" w14:textId="48767BB0"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B5A6E58" w14:textId="70BE090B"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74803A1" w14:textId="24CDD650"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r>
      <w:tr w:rsidR="00A41077" w14:paraId="10B4CDA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3B051D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040601000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E3FECF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Transferencias a fideicomisos del Poder Ejecutivo.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5735797" w14:textId="23FF93D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4F3FFBE" w14:textId="6FF0E75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FA6E53B" w14:textId="5EA08E8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2DA930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342ECA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040602000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97E23E7"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Transferencias a fideicomisos del Poder Legislativo.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7342F36" w14:textId="0AECCA5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803F060" w14:textId="7B1DE7E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A2970D5" w14:textId="437E6F8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97044D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647C39F"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040603000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A286E3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Transferencias a fideicomisos del Poder Judicial.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C186048" w14:textId="726F209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E32AE8E" w14:textId="78921AB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95F55EE" w14:textId="48A0ACA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90939B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30E64A4"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040604000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A37D4A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Transferencias a fideicomisos públicos de entidades paraestatales no empresariales y no financieras.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AE6B64E" w14:textId="7801F05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FECB6C8" w14:textId="31A593F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72D1EF4" w14:textId="42E1286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A62A54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1F777A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040605000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DB6CDB0"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Transferencias a fideicomisos públicos de entidades paraestatales empresariales y no financieras.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8FDA85D" w14:textId="45797B7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630BFF2" w14:textId="6927E3B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7405752" w14:textId="3875B67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E99C1C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56C63DF"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040606000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A40473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Transferencias a fideicomisos de instituciones públicas financieras.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EF9D836" w14:textId="6D14BE7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1E85C6B" w14:textId="2E3C155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A2E55AE" w14:textId="34F53CF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14B5847"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BAB2F9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040609000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14E180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Otras transferencias a fideicomisos.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BFC08AD" w14:textId="4299804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EE5A9BD" w14:textId="77B4D9B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BADB024" w14:textId="45138AC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385255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28677BB"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040700000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BAC15E8"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TRANSFERENCIAS A LA SEGURIDAD SOCIAL.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3D11801" w14:textId="1777E62D"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792DD71" w14:textId="6238B933"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360,610,448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846144B" w14:textId="04085BAF"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360,610,448 </w:t>
            </w:r>
          </w:p>
        </w:tc>
      </w:tr>
      <w:tr w:rsidR="00A41077" w14:paraId="7F305E6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5F7296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040701000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5FBBB8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Transferencias por obligación de ley.</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55691A5" w14:textId="7AA38A7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51E5218" w14:textId="63FEB94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360,610,448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7400C9B" w14:textId="68BB287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360,610,448 </w:t>
            </w:r>
          </w:p>
        </w:tc>
      </w:tr>
      <w:tr w:rsidR="00A41077" w14:paraId="16221EE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DA1F220"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040800000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8D2A0B3"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DONATIVOS.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36BBC3B" w14:textId="72901781"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7210F07" w14:textId="3DF6E007"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A4A7973" w14:textId="0AB58170"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r>
      <w:tr w:rsidR="00A41077" w14:paraId="45A0615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6091E2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040801000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6D7610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Donativos a instituciones sin fines de lucro.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FB29B6A" w14:textId="7FC7B13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2012917" w14:textId="5CE2ECA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19253A9" w14:textId="358F325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734D1CE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4C35CD6"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040802000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5CD5ED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Donativos a entidades federativas.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2BC9441" w14:textId="332F73A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7907142" w14:textId="38CD4F8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B55BD55" w14:textId="0F5783F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5F7E0F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059A3A6"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040803000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9E8154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Donativos a fideicomisos privados.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7846BDB" w14:textId="44F413C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E2A7318" w14:textId="00AB14D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D8E44F2" w14:textId="5B944A3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A32733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17E3087"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040804000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118B237"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Donativos a fideicomisos estatales.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B79B587" w14:textId="33E99BE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735FC2D" w14:textId="5E77280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D17EED7" w14:textId="71B4A6C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47D041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C79E46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040805000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B3C602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Donativos internacionales.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6422B29" w14:textId="299EE4C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37EA00F" w14:textId="0F1A3E4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BCF22F5" w14:textId="61B50D1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1A4D54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B12E68E"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040900000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F23CD9E"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 xml:space="preserve"> TRANSFERENCIAS AL EXTERIOR.</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B942627" w14:textId="7D3C88BF"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D887478" w14:textId="21DC93D9"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6E8F251" w14:textId="5043E090"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r>
      <w:tr w:rsidR="00A41077" w14:paraId="46D39AF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B970C6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040901000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CC40F8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Transferencias para gobiernos extranjeros.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893BAC3" w14:textId="570EC34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670CCC5" w14:textId="1177F72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06C53B2" w14:textId="678E154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27763B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EEDFF7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040902000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B6ED92A"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Transferencias para organismos internacionales.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68E0509" w14:textId="75C5B7D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1640FDF" w14:textId="7DDEEDC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6C1C38A" w14:textId="7A2F9DE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7906097"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9385FF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040903000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2C7027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Transferencias para el sector privado externo.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7B75B3D" w14:textId="56A463A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034073B" w14:textId="474E4B9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7064BA2" w14:textId="5A7CDE3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E9A3262"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8D6596C"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050000000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231528A"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BIENES MUEBLES, INMUEBLES E INTANGIBLES.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938247E" w14:textId="7F10D31C"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154,654,542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9DCBDA1" w14:textId="1BFF3B66"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463AABF" w14:textId="0CB05AAC"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154,654,542 </w:t>
            </w:r>
          </w:p>
        </w:tc>
      </w:tr>
      <w:tr w:rsidR="00A41077" w14:paraId="0A936A27"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C8BC101"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050100000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8781051"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MOBILIARIO Y EQUIPO DE ADMINISTRACIÓN.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116BBD0" w14:textId="002C49F6"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17,089,843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02FB982" w14:textId="2352AFFB"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1EC8ABE" w14:textId="4EB321D0"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17,089,843 </w:t>
            </w:r>
          </w:p>
        </w:tc>
      </w:tr>
      <w:tr w:rsidR="00A41077" w14:paraId="1566ABB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45C0673"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050101000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9705107"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Muebles de oficina y estantería.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4E15EED" w14:textId="2CE54F1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3,261,950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503545C" w14:textId="2F64E27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BC811FC" w14:textId="588E008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3,261,950 </w:t>
            </w:r>
          </w:p>
        </w:tc>
      </w:tr>
      <w:tr w:rsidR="00A41077" w14:paraId="2C953CB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ED75E8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050102000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7525E5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Muebles, excepto de oficina y estantería.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DF9649A" w14:textId="40354AE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395489B" w14:textId="048A341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10F21ED" w14:textId="3E06D8A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3EA0BD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4480EF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050103000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B73716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Bienes artísticos, culturales y científicos.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6D140B8" w14:textId="14C015A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4ACD2AD" w14:textId="52701D4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51AE5AD" w14:textId="73D2DE4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A2921F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4D529D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050104000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0B23AA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Objetos de valor.</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080D895" w14:textId="272931E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A01A3A5" w14:textId="2683AD6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BEFD0C7" w14:textId="4CCE306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35BFB8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709832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050105000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2F981BA"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Equipo de cómputo y de tecnologías de la información.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8F2A17F" w14:textId="7A1A5D9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13,433,353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F2A78C0" w14:textId="068DFA1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B674201" w14:textId="413A5FD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13,433,353 </w:t>
            </w:r>
          </w:p>
        </w:tc>
      </w:tr>
      <w:tr w:rsidR="00A41077" w14:paraId="4C1F0DE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ACE2C3D"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050109000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283D5B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Otros mobiliarios y equipos de administración.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6AB6244" w14:textId="778A717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394,540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7E5A3F2" w14:textId="02B3E6B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FCF3B33" w14:textId="59A258C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394,540 </w:t>
            </w:r>
          </w:p>
        </w:tc>
      </w:tr>
      <w:tr w:rsidR="00A41077" w14:paraId="671E9C5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E6488C4"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050200000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1DFB619"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MOBILIARIO Y EQUIPO EDUCACIONAL Y RECREATIVO.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E59B055" w14:textId="35DC57BE"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5,000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1CE58CA" w14:textId="7BB1BC48"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43101CC" w14:textId="11FA3CDE"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5,000 </w:t>
            </w:r>
          </w:p>
        </w:tc>
      </w:tr>
      <w:tr w:rsidR="00A41077" w14:paraId="3A1E7C1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C6190E7"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lastRenderedPageBreak/>
              <w:t>050201000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6009DB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Equipos y aparatos audiovisuales.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0AF97B3" w14:textId="6C515D3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B5B9189" w14:textId="764E3DA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2EAF0A2" w14:textId="3698652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5,000 </w:t>
            </w:r>
          </w:p>
        </w:tc>
      </w:tr>
      <w:tr w:rsidR="00A41077" w14:paraId="514F42AA"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E8ABD3E"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050202000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B8AD34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Aparatos deportivos.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7D8503D" w14:textId="4E45D67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08B2154" w14:textId="3EF15CB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48A864F" w14:textId="3771389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4EE2A4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8BD55E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050203000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295C9E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Cámaras fotográficas y de video.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76F58DF" w14:textId="19FD7D9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5B10E18" w14:textId="61F3F37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4769992" w14:textId="429B807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933D7A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FD83D5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050209000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5B5BC6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Otro mobiliario y equipo educacional y recreativo.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80A4D35" w14:textId="05D03FB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E40B927" w14:textId="1339884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40BF145" w14:textId="11DC490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1FD8BF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4E6128B"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050300000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9621A4A"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EQUIPO E INSTRUMENTAL MÉDICO Y DE LABORATORIO.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39760C6" w14:textId="720E3C22"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3,350,000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168683E" w14:textId="72C99866"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D73E3F9" w14:textId="01B9D513"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3,350,000 </w:t>
            </w:r>
          </w:p>
        </w:tc>
      </w:tr>
      <w:tr w:rsidR="00A41077" w14:paraId="170D5C6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6EE772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050301000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55D6AB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Equipo médico y de laboratorio.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BD3784B" w14:textId="35A71FF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3,350,000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ABACD95" w14:textId="613CFBE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B6D9C2D" w14:textId="5959D3C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3,350,000 </w:t>
            </w:r>
          </w:p>
        </w:tc>
      </w:tr>
      <w:tr w:rsidR="00A41077" w14:paraId="2BA422D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69E2D56"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050302000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D3E213F"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Instrumental médico y de laboratorio.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38E4208" w14:textId="148FFFC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3880612" w14:textId="1954EC3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45DC039" w14:textId="42BAB0D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A6B165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2D8C381"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050400000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0D1174F"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VEHÍCULOS Y EQUIPO DE TRANSPORTE.</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0781DAC" w14:textId="0F6CD347"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119,151,080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B171F82" w14:textId="4B49E803"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12097C4" w14:textId="2FEC657E"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119,151,080 </w:t>
            </w:r>
          </w:p>
        </w:tc>
      </w:tr>
      <w:tr w:rsidR="00A41077" w14:paraId="05CB321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945D7A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050401000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76F3B1F"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Vehículos y equipo terrestre.</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13BEE19" w14:textId="2CCA9E0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119,151,080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32A2D1E" w14:textId="15F0741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411B14A" w14:textId="059CFD1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119,151,080 </w:t>
            </w:r>
          </w:p>
        </w:tc>
      </w:tr>
      <w:tr w:rsidR="00A41077" w14:paraId="565F075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F4E27E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050402000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45E7B1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Carrocerías y remolques.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7A468C9" w14:textId="6B6AE6D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954BB8B" w14:textId="6C84132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2AB72C7" w14:textId="44A8C80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DC9F32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6AAA181"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050403000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B028B1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Equipo aeroespacial.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B9F8252" w14:textId="46C7B50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15752C3" w14:textId="23A80FB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E0EEDEA" w14:textId="2045CC6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C5755F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7816A5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050404000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AD989A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Equipo ferroviario.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681F99F" w14:textId="2407AAB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3522692" w14:textId="3AB21E6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19E98C4" w14:textId="0B728C2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AAFCA4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D8AD35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050405000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1DB1AF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Embarcaciones.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DA6EF9D" w14:textId="1C7DA33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8435179" w14:textId="5C5374A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999571E" w14:textId="617D401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A69504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4F0D2D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050409000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5D5B7B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Otros equipos de transporte.</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2F6662A" w14:textId="12099FA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1BA1BF2" w14:textId="0082F0D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BCEDFB7" w14:textId="2809BD3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018098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539F470"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050500000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B632016"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EQUIPO DE DEFENSA Y SEGURIDAD.</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4D2DD0F" w14:textId="5149D49D"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5,000,000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8776609" w14:textId="5E5474B8"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7923C16" w14:textId="6F21D79F"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5,000,000 </w:t>
            </w:r>
          </w:p>
        </w:tc>
      </w:tr>
      <w:tr w:rsidR="00A41077" w14:paraId="0FECE6D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531A12F"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050501000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C01638F"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Equipo de defensa y seguridad.</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C555CD7" w14:textId="15148CC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5,000,000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1D74932" w14:textId="718034A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B1FD9A1" w14:textId="2ADE568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5,000,000 </w:t>
            </w:r>
          </w:p>
        </w:tc>
      </w:tr>
      <w:tr w:rsidR="00A41077" w14:paraId="08EB3A9A"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E6132A8"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050600000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1E11B5E"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MAQUINARIA, OTROS EQUIPOS Y HERRAMIENTAS.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3E3B1CC" w14:textId="7F19CE89"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2,500,000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128D859" w14:textId="7813EA09"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7007DEA" w14:textId="1FFEB928"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2,500,000 </w:t>
            </w:r>
          </w:p>
        </w:tc>
      </w:tr>
      <w:tr w:rsidR="00A41077" w14:paraId="5C086A4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333D497"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050601000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66F6E40"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Maquinaria y equipo agropecuario.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BE550AF" w14:textId="6B792DA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75535B2" w14:textId="16CFF7F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AF9CBB2" w14:textId="05C1A9F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AB8B37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9E2983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050602000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4F5343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Maquinaria y equipo industrial.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DE10676" w14:textId="59AC741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CC1A698" w14:textId="3B48D4D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C210B3C" w14:textId="1FE6D16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FEF65B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ACAD98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050603000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3086B2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Maquinaria y equipo de construcción.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502D5AF" w14:textId="5F06CAF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8CC8EB6" w14:textId="55B6457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A8BCACA" w14:textId="597618A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F127E2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E1E48D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050604000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ADD49C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Sistemas de aire acondicionado, calefacción y de refrigeración industrial y comercial.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6634F4C" w14:textId="60DA8BE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150,000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AE5FCD0" w14:textId="3250B27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420881D" w14:textId="51A7C30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150,000 </w:t>
            </w:r>
          </w:p>
        </w:tc>
      </w:tr>
      <w:tr w:rsidR="00A41077" w14:paraId="3463216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37D774D"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050605000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F56B17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Equipo de comunicación y telecomunicación.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BE32309" w14:textId="7AEB9A5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3C3CCF7" w14:textId="33DA1BE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99AD827" w14:textId="62FC2EC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7C5B70A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A04CF4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050606000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590710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Equipos de generación eléctrica, aparatos y accesorios eléctricos.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14C9653" w14:textId="2BAE3E4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2,050,000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22FA8E5" w14:textId="36033B5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96F429E" w14:textId="33515C9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2,050,000 </w:t>
            </w:r>
          </w:p>
        </w:tc>
      </w:tr>
      <w:tr w:rsidR="00A41077" w14:paraId="302C2C7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AFE8F6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050607000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2D0A50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Herramientas y máquinas-herramienta.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9570CDA" w14:textId="370BB95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300,000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B94D9D8" w14:textId="3422C68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875F45C" w14:textId="20FA4C5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300,000 </w:t>
            </w:r>
          </w:p>
        </w:tc>
      </w:tr>
      <w:tr w:rsidR="00A41077" w14:paraId="24D6B67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9B1955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050609000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CB9E2A0"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Otros equipos.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237CF52" w14:textId="4031F6C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219434C" w14:textId="1459B42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E379187" w14:textId="2FBFB6A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06B7FD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C23E06E"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050700000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765C1F0"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ACTIVOS BIOLÓGICOS.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5CDF632" w14:textId="7ED78C1B"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96AA61F" w14:textId="23F0603D"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B73B173" w14:textId="003A8723"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r>
      <w:tr w:rsidR="00A41077" w14:paraId="14C474A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71426A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050701000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B1AF24A"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Bovinos.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3CDD33A" w14:textId="3982973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A2D49D0" w14:textId="2347778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6758035" w14:textId="050FA39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A42F92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FBD01C4"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050702000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0F98BC7"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Porcinos.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0742763" w14:textId="2DFAC63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317CF7E" w14:textId="2B9B472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37FD609" w14:textId="0BB71FA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57BA482"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65C230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050703000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7B7CA2A"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Aves.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0D356D8" w14:textId="20EED44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6B76F0A" w14:textId="7422C7C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62BB2EB" w14:textId="06BA7A0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8C92B9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362DF7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050704000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324136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Ovinos y caprinos.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A092637" w14:textId="5378128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C0BF70D" w14:textId="046BF1A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2119D37" w14:textId="316862F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2E7F30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89AD757"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050705000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743EC0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Peces y acuicultura.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3C20CE6" w14:textId="4E764DD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675BD48" w14:textId="6D30C66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DEB31F3" w14:textId="42C3511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865561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761F18F"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050706000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37CDB6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Equinos.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7F90FAC" w14:textId="4B354C7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8DB27DC" w14:textId="2AC5663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A94C563" w14:textId="765E191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D204EB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2A44BC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050707000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3FBFD90"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Especies menores y de zoológico.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53B6937" w14:textId="087CB4E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3401CBF" w14:textId="1054F6D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D9BCD4F" w14:textId="2D13B2C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303C63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B7824B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050708000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B2615D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Árboles y plantas.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F21A9C2" w14:textId="26051C1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97A5596" w14:textId="0680007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5323ABA" w14:textId="3346BE8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9722AA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2D8F5BE"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050709000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8583CD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Otros activos biológicos.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C239EA8" w14:textId="0F240CB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D8A91F5" w14:textId="0F8625F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80E58D1" w14:textId="2C270DA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553B47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BDB5BFA"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050800000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96463B6"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BIENES INMUEBLES.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B51E115" w14:textId="518BC402"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F34C3A9" w14:textId="54FE3E59"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6430CEC" w14:textId="0810082D"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r>
      <w:tr w:rsidR="00A41077" w14:paraId="171ECF4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73F274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050801000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CD3884A"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Terrenos.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A207E7C" w14:textId="78E7E9A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BA141C6" w14:textId="0D7DE03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46523E4" w14:textId="1233491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161F46A"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4037EE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050802000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528847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Viviendas.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E6F9310" w14:textId="71055DD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969BCFA" w14:textId="32E6699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883BFCC" w14:textId="11669E3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734BFB3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5EA514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050803000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93D4200"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Edificios no residenciales.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E19C3BB" w14:textId="6FA34FC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D76AC95" w14:textId="52D520A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CC7AD30" w14:textId="6FE6E63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366B27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4F0E1E4"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050809000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816C62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Otros bienes inmuebles.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CBD0708" w14:textId="22C599F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AC3AC94" w14:textId="2EC5345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FC0681C" w14:textId="63B9BCE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5AB378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5D882B2"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050900000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E1AEB37"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ACTIVOS INTANGIBLES.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9BE5CE5" w14:textId="29957DB6"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7,558,619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6FE94B5" w14:textId="3420CF83"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F9BC395" w14:textId="5FE12235"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7,558,619 </w:t>
            </w:r>
          </w:p>
        </w:tc>
      </w:tr>
      <w:tr w:rsidR="00A41077" w14:paraId="79319C6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47EB89E"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050901000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C7D7F87"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Software.</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5926118" w14:textId="684105F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1,453,619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BA3A3B7" w14:textId="0EA018D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FCCA70E" w14:textId="16A7DC9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1,453,619 </w:t>
            </w:r>
          </w:p>
        </w:tc>
      </w:tr>
      <w:tr w:rsidR="00A41077" w14:paraId="1B554A0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F4AE15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050902000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6B43F4A"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Patentes.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BECF4FD" w14:textId="0CE1999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C7F7888" w14:textId="341991B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13FE587" w14:textId="0DE4E7D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6142DB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204D9A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050903000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F1F054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Marcas.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41B642A" w14:textId="7C29BFF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9DE8F94" w14:textId="509C3C0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A36DEF5" w14:textId="5853EBC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33D246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F2A1DE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lastRenderedPageBreak/>
              <w:t>050904000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DCA9DC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Derechos.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114D514" w14:textId="62F57BE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73F5A2C" w14:textId="1B4DBAD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4733821" w14:textId="4113A7B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FB1C92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BAB4CA7"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050905000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5A88174"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Concesiones.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C7B105E" w14:textId="523AB4B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82F95BB" w14:textId="539391B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48FE786" w14:textId="1022746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35AB49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27FF12F"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050906000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1545B2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Franquicias.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C3916FF" w14:textId="52CF560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53400D7" w14:textId="1DBA26B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7110787" w14:textId="7DCDCBD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C5D6FF2"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9CDCF1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050907000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78E1925"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Licencias informáticas e intelectuales.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16762FA" w14:textId="7FD2FE9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6,105,000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64CF60C" w14:textId="0B23A5D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1881368" w14:textId="4FC5361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6,105,000 </w:t>
            </w:r>
          </w:p>
        </w:tc>
      </w:tr>
      <w:tr w:rsidR="00A41077" w14:paraId="79DF35C2"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79C77B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050908000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8A9C1C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Licencias industriales, comerciales y otras.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37B093E" w14:textId="40927BB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21E5A61" w14:textId="6AE2473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17E0053" w14:textId="25D6392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643F4C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31E49DE"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050909000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C047CD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Otros activos intangibles.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33586D2" w14:textId="14533C8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781DA71" w14:textId="34685C4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BA5E4B7" w14:textId="2C21BD0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2DFEC9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8126E41"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060000000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61C8609"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INVERSION PÚBLICA.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F4ED99D" w14:textId="7ED9E903"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401,328,829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EFF4DC8" w14:textId="3D6C3AF7"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3579AF0" w14:textId="47C5BDA3"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401,328,829 </w:t>
            </w:r>
          </w:p>
        </w:tc>
      </w:tr>
      <w:tr w:rsidR="00A41077" w14:paraId="07858617"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3850D96"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060100000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2672970"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OBRA PÚBLICA EN BIENES DE DOMINIO PÚBLICO.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AAD4E0E" w14:textId="5924E3CF"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392,328,829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5985AE8" w14:textId="1690EDAF"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0E475BB" w14:textId="497FEE41"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392,328,829 </w:t>
            </w:r>
          </w:p>
        </w:tc>
      </w:tr>
      <w:tr w:rsidR="00A41077" w14:paraId="0C1C6B6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875DD46"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060101000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CB693C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Edificación habitacional.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34F3E57" w14:textId="0A0F885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217404F" w14:textId="24D0780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10AF316" w14:textId="72DB4D0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8DD425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9515B8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060102000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130653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Edificación no habitacional.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8A6CFE9" w14:textId="7110904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69,453,439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282DF94" w14:textId="11D76E6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1C83671" w14:textId="6580DFB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69,453,439 </w:t>
            </w:r>
          </w:p>
        </w:tc>
      </w:tr>
      <w:tr w:rsidR="00A41077" w14:paraId="053D595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B46499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060103000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282CF3F"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Construcción de obras para el abastecimiento de agua, petróleo, gas, electricidad y telecomunicaciones.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F557B2D" w14:textId="4A8694A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D635EA5" w14:textId="77F9049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83285A2" w14:textId="38783DB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76D0005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D992F0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060104000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8AD0F6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División de terrenos y construcción de obras de urbanización.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233EA29" w14:textId="31649FD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CAAEC47" w14:textId="435086E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4374147" w14:textId="61167BE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F20A33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4A997E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060105000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935E08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Construcción de vías de comunicación.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2F33977" w14:textId="0005F40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322,875,390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7F05A55" w14:textId="076170D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AC62906" w14:textId="1653017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322,875,390 </w:t>
            </w:r>
          </w:p>
        </w:tc>
      </w:tr>
      <w:tr w:rsidR="00A41077" w14:paraId="5D0A823A"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2228597"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060106000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16BE16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Otras construcciones de ingeniería civil u obra pesada.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2B3D7E9" w14:textId="35EC380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86EB9CC" w14:textId="7B51210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ADA8AC4" w14:textId="53B596D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595FD3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732E32D"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060107000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6423C1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Instalaciones y equipamiento en construcciones.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60748CA" w14:textId="09A7966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0806DE3" w14:textId="7D6FA81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A0464A6" w14:textId="51B00BE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7FDFD6F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61FD057"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060109000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D887DA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Trabajos de acabados en edificaciones y otros trabajos especializados.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8489C80" w14:textId="2F792E2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4A89C83" w14:textId="525FBC2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3892867" w14:textId="515DBC6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968D22A"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94618D2"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060200000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1330389"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OBRA PÚBLICA EN BIENES PROPIOS.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D1B710B" w14:textId="78FB19D7"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9,000,000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0CC7767" w14:textId="32E26A85"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F0DA467" w14:textId="0245F9A7"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9,000,000 </w:t>
            </w:r>
          </w:p>
        </w:tc>
      </w:tr>
      <w:tr w:rsidR="00A41077" w14:paraId="116D7D0A"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55391C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060201000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20CC7E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Edificación habitacional.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F5CBFF4" w14:textId="48BB608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43CDCD8" w14:textId="02BBBDD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DF0FED8" w14:textId="1810C36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CCECB5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062909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060202000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05103C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Edificación no habitacional.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F0A17B2" w14:textId="5A6441A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9,000,000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13BE8EC" w14:textId="1207BF3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26376BC" w14:textId="6CFFB08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9,000,000 </w:t>
            </w:r>
          </w:p>
        </w:tc>
      </w:tr>
      <w:tr w:rsidR="00A41077" w14:paraId="6EA092D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45B6F3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060203000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2C5B08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Construcción de obras para el abastecimiento de agua, petróleo, gas, electricidad y telecomunicaciones.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512CD78" w14:textId="1B7FCD2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D612992" w14:textId="32165E8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384899F" w14:textId="2BA1224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5781BB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12D580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060204000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39616C5"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División de terrenos y construcción de obras de urbanización.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FF47FCD" w14:textId="1A205E7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1D79518" w14:textId="796FB20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67F8758" w14:textId="7DCFD1D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7C19EE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BCB8EF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060205000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B38C45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Construcción de vías de comunicación.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BD12E5F" w14:textId="4A3EB8E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2ECDA84" w14:textId="6ED6EA3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387B1EC" w14:textId="442AC30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5316D4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9F8D6AE"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060206000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A50D33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Otras construcciones de ingeniería civil u obra pesada.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9C39E26" w14:textId="1F69C4F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097085A" w14:textId="37EA7F9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D28116E" w14:textId="607AB54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C2CF1F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43AC94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060207000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E47E23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Instalaciones y equipamiento en construcciones.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6BE0768" w14:textId="49BA602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32F2029" w14:textId="653F7BA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1F196A4" w14:textId="5AEE969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2214322"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34A4E4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060209000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4AA5F60"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Trabajos de acabados en edificaciones y otros trabajos especializados.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719AE54" w14:textId="594B51C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F41BF29" w14:textId="4F8C0ED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84F37EC" w14:textId="7C3D343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5714AB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119467F"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060300000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1B23322"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PROYECTOS PRODUCTIVOS Y ACCIONES DE FOMENTO.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C604D47" w14:textId="2CC288E1"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581AA43" w14:textId="1AD04CF5"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A6D7D6B" w14:textId="5B11D2E1"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r>
      <w:tr w:rsidR="00A41077" w14:paraId="0D30D4DA"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64CF87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060301000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1E4FC3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Estudios, formulación y evaluación de proyectos productivos no incluidos en conceptos anteriores de este capítulo.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8ABD384" w14:textId="3FE87CE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2DE688F" w14:textId="6104232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95E2EA8" w14:textId="0B55063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CD8BB52"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5625F4D"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060302000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9EED7FA"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Ejecución de proyectos productivos no incluidos en conceptos anteriores de este capítulo.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AE064D7" w14:textId="0F8A71F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D896FD6" w14:textId="1C6FA63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C943597" w14:textId="3F76F72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7D6A5C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1970DFB"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070000000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B00442D"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INVERSIONES FINANCIERAS Y OTRAS PROVISIONES.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4446510" w14:textId="368BB2B2"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3,000,000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EE5F43F" w14:textId="171D1D35"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1,800,000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6D80222" w14:textId="49E3497E"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4,800,000 </w:t>
            </w:r>
          </w:p>
        </w:tc>
      </w:tr>
      <w:tr w:rsidR="00A41077" w14:paraId="70BAEFA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0A17099"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070100000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C6959BF"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INVERSIONES PARA EL FOMENTO DE ACTIVIDADES PRODUCTIVAS.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0A4EF1F" w14:textId="733C7367"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276401D" w14:textId="12EBFF22"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D86A028" w14:textId="6DAC7D2A"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r>
      <w:tr w:rsidR="00A41077" w14:paraId="1D18165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E89B52F"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lastRenderedPageBreak/>
              <w:t>070101000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3F8B74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Créditos otorgados por entidades federativas y municipios al sector social y privado para el fomento de actividades productivas.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79CB5AD" w14:textId="0689B51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1F28A3C" w14:textId="1E39987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0ADF837" w14:textId="3D1DE5B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2951F3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01E08EF"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070102000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B497FE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Créditos otorgados por las entidades federativas a municipios para el fomento de actividades productivas.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DBDB5C3" w14:textId="65FFEAD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1F2CDAF" w14:textId="670C48E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AC9963B" w14:textId="3A5A161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76D2E50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DDC3DC8"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070200000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53AD43B"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ACCIONES Y PARTICIPACIONES DE CAPITAL.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CECCC93" w14:textId="05E84529"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37107E2" w14:textId="5389D341"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24832D6" w14:textId="1558502C"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r>
      <w:tr w:rsidR="00A41077" w14:paraId="3B205E5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3A91A9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070201000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96E76D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Acciones y participaciones de capital en entidades paraestatales no empresariales y no financieras con fines de política económica.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DD2CBDB" w14:textId="75F3F52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AE38D04" w14:textId="40E2DE1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6A5A10E" w14:textId="66D3A47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303221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3CF272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070202000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D1E32A7"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Acciones y participaciones de capital en entidades paraestatales empresariales y no financieras con fines de política económica.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A89F395" w14:textId="4FC4419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952567A" w14:textId="316E184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6CC3467" w14:textId="6E72B8E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41E3CA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A3FC1E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070203000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AFF2DF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Acciones y participaciones de capital en instituciones paraestatales públicas financieras con fines de política económica.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A93FFAD" w14:textId="135668E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AC4759A" w14:textId="3E46B64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DE0620B" w14:textId="6CB280E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CA075F7"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70A9C4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070204000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D1A2B0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Acciones y participaciones de capital en el sector privado con fines de política económica.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FF29B11" w14:textId="405583B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933B2FE" w14:textId="7B7FC8B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F668F9E" w14:textId="23C885E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0E2BF7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2DA6F3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070205000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0E8FC00"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Acciones y participaciones de capital en organismos internacionales con fines de política económica.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5186B3B" w14:textId="575CA5C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4D6B177" w14:textId="76A3868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B6305CF" w14:textId="1532CBD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F8FA5D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5D866BE"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070206000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9EA3C1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Acciones y participaciones de capital en el sector externo con fines de política económica.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A0F6F75" w14:textId="35A8546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D33AB27" w14:textId="69A6CE2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239D43B" w14:textId="3593C38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21C4C77"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4D9EABD"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070207000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70F595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Acciones y participaciones de capital en el sector público con fines de gestión de liquidez.</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2E3EC46" w14:textId="109CBF3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CEC08B5" w14:textId="6264339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616C1F9" w14:textId="7D6975A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197896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2AE575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070208000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55A2E0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Acciones y participaciones de capital en el sector privado con fines de gestión de liquidez.</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FA39E13" w14:textId="435108C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2F42434" w14:textId="76E933C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B1DCEE9" w14:textId="5966496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516BB2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D7EF63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070209000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AB8152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Acciones y participaciones de capital en el sector externo con fines de gestión de liquidez.</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310B1CA" w14:textId="75E5FE5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28181CE" w14:textId="47FF41D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D5D7323" w14:textId="45EAAA9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413720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4161B1C"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070300000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F1AE281"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COMPRA DE TITULOS Y VALORES.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57046D5" w14:textId="2B8561F7"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F5A164C" w14:textId="62ACAF84"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E162EEF" w14:textId="58D61D56"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r>
      <w:tr w:rsidR="00A41077" w14:paraId="03C7FF97"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90B0D8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070301000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811CADA"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Bonos.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DA007DB" w14:textId="3C17442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F5A1D4C" w14:textId="37DCD3D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F22C40D" w14:textId="75629C9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592544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AA507A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070302000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823ED5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Valores representativos de deuda adquiridos con fines de política económica.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555ABC7" w14:textId="2B937C9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2ABC477" w14:textId="533B08F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29CD48A" w14:textId="6DECFDF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76E576F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9B8E13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070303000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4A50A9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Valores representativos de deuda adquiridos con fines de gestión de liquidez.</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A95311A" w14:textId="0119CCD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889AD41" w14:textId="2EEC2ED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4C8655C" w14:textId="47EEA99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8A611A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C11442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070304000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D6FAFEF"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Obligaciones negociables adquiridas con fines de política económica.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0BD26A9" w14:textId="673B969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380FC22" w14:textId="4F26F75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6557CEB" w14:textId="06796D6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65A2AB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600C63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070305000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6C0A71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Obligaciones negociables adquiridas con fines de gestión de liquidez.</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7D7BE6E" w14:textId="1B1E39E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AB152F6" w14:textId="7EEEC34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FC86868" w14:textId="0B7EF5A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7F7D8C3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C2636AD"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070309000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10C7684"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Otros valores.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62BA6D5" w14:textId="3DDE7C7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3ABFD0A" w14:textId="378D7BC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817434D" w14:textId="3541694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888667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E789FAE"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070400000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4928232"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CONCESION DE PRÉSTAMOS.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399838B" w14:textId="559F56D3"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3583AFE" w14:textId="1A007956"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ADC17C3" w14:textId="4D881FB1"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r>
      <w:tr w:rsidR="00A41077" w14:paraId="592D5F9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3D08A4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070401000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2566AF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Concesión de préstamos a entidades paraestatales no empresariales y no financieras con fines de política económica.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8533C9B" w14:textId="51B97E5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C48F833" w14:textId="07D0B34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66699F6" w14:textId="5932D76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97E775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CB9DD9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070402000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17664E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Concesión de préstamos a entidades paraestatales empresariales y no financieras con fines de política económica.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60A18EE" w14:textId="214F0FD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C6B5DF0" w14:textId="790FB72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DFFCD94" w14:textId="6DAEB2A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825743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3B41C0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070403000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FA3AB2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Concesión de préstamos a instituciones paraestatales públicas financieras con fines de política económica.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4E8FD7C" w14:textId="1997A25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951587D" w14:textId="3EAFB38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0BC701B" w14:textId="7560B21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A2CC092"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FE8CCA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lastRenderedPageBreak/>
              <w:t>070404000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1001EF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Concesión de préstamos a entidades federativas y municipios con fines de política económica.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CB11D68" w14:textId="36F69E6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1C20EA7" w14:textId="33D71CC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CB8D769" w14:textId="5704CD6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DC530F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1E46A51"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070405000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2CF97FF"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Concesión de préstamos al sector privado con fines de política económica.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106BAB3" w14:textId="29379C7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A352D2F" w14:textId="24FDD9C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5133AD8" w14:textId="572CC5D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E1CC5C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0F4F61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070406000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09168D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Concesión de préstamos al sector externo con fines de política económica.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570829C" w14:textId="40EB75D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84F6779" w14:textId="4689863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9416DC3" w14:textId="1944921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504B24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0DB56E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070407000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9A0C07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Concesión de préstamos al sector público con fines de gestión de liquidez.</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7038CA4" w14:textId="2118F0B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E371E08" w14:textId="5BFF0DE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3880A6D" w14:textId="6630F26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0EE3C1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037BD2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070408000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5609B4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Concesión de préstamos al sector privado con fines de gestión de liquidez.</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6327E70" w14:textId="36E0AE5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A2961A1" w14:textId="7DDA7C2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093609D" w14:textId="5789796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6FD546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E83AB5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070409000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C5063B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Concesión de préstamos al sector externo con fines de gestión de liquidez.</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30F7300" w14:textId="47812AA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2BB8DF4" w14:textId="18C0D56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041CA5F" w14:textId="4098B42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4369EE5"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F9B2472"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070500000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DD1F205"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INVERSIONES EN FIDEICOMISOS, MANDATOS Y OTROS ANALOGOS.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A3E8409" w14:textId="231CCC70"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B5BF50F" w14:textId="5D8EB33F"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1D5053C" w14:textId="20D6170F"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r>
      <w:tr w:rsidR="00A41077" w14:paraId="4E535C15"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E7A97B3"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070501000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01A861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Inversiones en fideicomisos del Poder Ejecutivo.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496246D" w14:textId="2A2411A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F0032CE" w14:textId="18B466D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5A9CE12" w14:textId="6B27F35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C81F31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F007FC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070502000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132A93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Inversiones en fideicomisos del Poder Legislativo.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F929E8A" w14:textId="5C74B0B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6D8DBC5" w14:textId="63F9840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873C60E" w14:textId="229F94E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8CA8FC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057C65F"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070503000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261FE8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Inversiones en fideicomisos del Poder Judicial.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46D8C75" w14:textId="1C66720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9B22611" w14:textId="265168A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26B4889" w14:textId="07EDFB9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3AD7F3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DF9ACB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070504000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E64AF64"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Inversiones en fideicomisos públicos no empresariales y no financieros.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7A97C5A" w14:textId="48CEBC4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C144743" w14:textId="6B1FFAE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0FEA285" w14:textId="6C6260B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E8D760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1F7267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070505000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18BA53B"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Inversiones en fideicomisos públicos empresariales y no financieros.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54EA7E4" w14:textId="3BD1920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58BBF66" w14:textId="381320B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D3AA9B6" w14:textId="73142AE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78CF19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3F6766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070506000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1298200"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Inversiones en fideicomisos públicos financieros.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06CE409" w14:textId="172344A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C750349" w14:textId="2B09922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00C00F2" w14:textId="7D9D6C6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34EA51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51E32F6"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070507000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295C4C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Inversiones en fideicomisos de entidades federativas.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6AC10F1" w14:textId="216A127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212BBED" w14:textId="77CD923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3C04CCA" w14:textId="00C61F7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255334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B21518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070508000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8419BE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Inversiones en fideicomisos de municipios.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805FFE6" w14:textId="16F67B0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936E962" w14:textId="3E1E6D4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AA40B60" w14:textId="060700E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C9A7B6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99BDBC4"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070509000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B4ACCEA"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Otras inversiones en fideicomisos.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FA3F742" w14:textId="7858A2F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0519F68" w14:textId="5B73E51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65D1925" w14:textId="408F7B8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494E9A2"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D7D1A46"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070600000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365D2F0"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OTRAS INVERSIONES FINANCIERAS.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459FD0F" w14:textId="64E67C12"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B4DE0F2" w14:textId="25D5C9DC"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5BB7C1B" w14:textId="4606EBB0"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r>
      <w:tr w:rsidR="00A41077" w14:paraId="144730E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FD3ACD1"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070601000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69993E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Depósitos a largo plazo en moneda nacional.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CCC1E26" w14:textId="37FE8E4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DAD5CBD" w14:textId="27E5E4F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ECB9CB1" w14:textId="22513D5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F33F34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A2CF36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070602000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982813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Depósitos a largo plazo en moneda extranjera.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EA33FA5" w14:textId="199BB89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7CD66BE" w14:textId="054AC03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DEB8402" w14:textId="4BB368B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59CCE35"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709C21E"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070900000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C68B72B"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PROVISIONES PARA CONTINGENCIAS Y OTRAS EROGACIONES ESPECIALES.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8479DED" w14:textId="17F896D6"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3,000,000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E825481" w14:textId="66D25B5A"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1,800,000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8F0B6AC" w14:textId="4E0D998E"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4,800,000 </w:t>
            </w:r>
          </w:p>
        </w:tc>
      </w:tr>
      <w:tr w:rsidR="00A41077" w14:paraId="585F7F4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B9FAC67"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070901000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7A5F3D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Contingencias por fenómenos naturales.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4893648" w14:textId="033EABE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3,000,000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EF44F8F" w14:textId="08E81B3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D9CEDE7" w14:textId="1291364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3,000,000 </w:t>
            </w:r>
          </w:p>
        </w:tc>
      </w:tr>
      <w:tr w:rsidR="00A41077" w14:paraId="39ACE73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2A3724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070902000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3640EA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Contingencias socioeconómicas.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093A026" w14:textId="0583E05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A73861A" w14:textId="18E9433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CEC8B68" w14:textId="4391B2A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32C367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92E883D"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070909000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92D578A"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Otras erogaciones especiales.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B8418A1" w14:textId="66131B6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5B1CDFA" w14:textId="019D06D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1,800,000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137C277" w14:textId="4380B6E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1,800,000 </w:t>
            </w:r>
          </w:p>
        </w:tc>
      </w:tr>
      <w:tr w:rsidR="00A41077" w14:paraId="7A5E06A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232F210"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080000000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77D206F"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PARTICIPACIONES Y APORTACIONES.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6522D3F" w14:textId="517026CD"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99EAB71" w14:textId="09B1A35B"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3,334,416,398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723FAEC" w14:textId="3E5A2F02"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3,334,416,398 </w:t>
            </w:r>
          </w:p>
        </w:tc>
      </w:tr>
      <w:tr w:rsidR="00A41077" w14:paraId="6AA2D8D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432031F"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080100000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DAE76A2"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PARTICIPACIONES.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909EB6E" w14:textId="7A7FDED5"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C99DF36" w14:textId="59A53546"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2,169,346,883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614E506" w14:textId="539A8F77"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2,169,346,883 </w:t>
            </w:r>
          </w:p>
        </w:tc>
      </w:tr>
      <w:tr w:rsidR="00A41077" w14:paraId="61FB2FE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464A844"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080101000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497E01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Fondo general de participaciones.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17DA734" w14:textId="74757A3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C845A97" w14:textId="315B0C2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1,201,913,008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C9457DA" w14:textId="50CE0BD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1,201,913,008 </w:t>
            </w:r>
          </w:p>
        </w:tc>
      </w:tr>
      <w:tr w:rsidR="00A41077" w14:paraId="54413CE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C6A2F9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080102000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0B0E9A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Fondo de fomento municipal.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DFFB8CD" w14:textId="104411C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6617F38" w14:textId="7F36574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380,010,350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55A4CCD" w14:textId="5C3FC13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380,010,350 </w:t>
            </w:r>
          </w:p>
        </w:tc>
      </w:tr>
      <w:tr w:rsidR="00A41077" w14:paraId="6C2FEC2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5CB0B84"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080103000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985A25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Participaciones de las entidades federativas a los municipios.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6B2BAB3" w14:textId="0BA114F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1B15AF7" w14:textId="5654546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587,423,525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BFB8BD3" w14:textId="40D997C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587,423,525 </w:t>
            </w:r>
          </w:p>
        </w:tc>
      </w:tr>
      <w:tr w:rsidR="00A41077" w14:paraId="1F72139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58461F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080104000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2AF6F6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Otros conceptos participables de la Federación a entidades federativas.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F511250" w14:textId="0F5A59B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4386FBD" w14:textId="225D9E6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42375FC" w14:textId="38568B6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BB7A9D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666A042"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080105000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A1EEF5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Otros conceptos participables de la Federación a municipios.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FD10E68" w14:textId="2309A4E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222AD42" w14:textId="08E227A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75D9205" w14:textId="298B23A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DA9F80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FFCCAF7"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080106000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00368C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Convenios de colaboración administrativa.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DD78EA8" w14:textId="190D889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188A03F" w14:textId="3D64BAF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17842DD" w14:textId="20D0AD1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C2CF99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C9D9D15"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080300000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59FF55D"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APORTACIONES.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494B63E" w14:textId="43CCEA55"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82050F9" w14:textId="5C129452"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1,165,069,515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ACF423D" w14:textId="1EEADF4A"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1,165,069,515 </w:t>
            </w:r>
          </w:p>
        </w:tc>
      </w:tr>
      <w:tr w:rsidR="00A41077" w14:paraId="566B037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46F46F5"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080301000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C01F494"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Aportaciones de la Federación a las entidades federativas.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210A7DB" w14:textId="09C6E89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4047173" w14:textId="5091007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9810A0B" w14:textId="3232E5D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C26F75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271B4CA"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080302000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F31962E"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Aportaciones de la Federación a municipios.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C5B32A8" w14:textId="11A7881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1B34FF8" w14:textId="7B4350E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1,165,069,515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70F9729" w14:textId="3B141B0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1,165,069,515 </w:t>
            </w:r>
          </w:p>
        </w:tc>
      </w:tr>
      <w:tr w:rsidR="00A41077" w14:paraId="16D9C4E5"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DEB56E3"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lastRenderedPageBreak/>
              <w:t>080303000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8712897"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Aportaciones de las entidades federativas a los municipios.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82F18CD" w14:textId="693EEC7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1D73230" w14:textId="230DBF3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7AD1A62" w14:textId="5CD4F07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E1AF5D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B634DDF"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080304000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BAF453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Aportaciones previstas en leyes y decretos al sistema de protección social.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DFE5932" w14:textId="5D61A96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1B09852" w14:textId="1A779A8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ED074BA" w14:textId="2D0EA0C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7051A9DA"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B55ECA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080305000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A64C1A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Aportaciones previstas en leyes y decretos compensatorias a entidades federativas y municipios.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666B8C0" w14:textId="31FC669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DCA92B7" w14:textId="781796C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F6B3EB7" w14:textId="776CB83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7C6503F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7EDF2F4"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080500000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E8E3DB3"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CONVENIOS.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1E1EBAC" w14:textId="6E7DBDFB"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31AF1B1" w14:textId="16A7C5F5"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BB6BC5D" w14:textId="71B49DF7"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r>
      <w:tr w:rsidR="00A41077" w14:paraId="4584AF2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A550B51"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080501000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BA00974"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Convenios de reasignación.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597779E" w14:textId="2B40D61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ED49F06" w14:textId="5936917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DE56C9D" w14:textId="6E2C4F0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5637FD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E406F7F"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080502000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902061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Convenios de descentralización.</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DAFBD73" w14:textId="5117364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A03C79C" w14:textId="1AFC251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E0D758E" w14:textId="35F4FFD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241815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52AFD04"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080503000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D3973F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Otros convenios.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022D20D" w14:textId="7F831F9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2E1185C" w14:textId="4BE57A6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07060E1" w14:textId="33F8708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1CF430A"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60AB15B"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090000000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342BAFD"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DEUDA PÚBLICA.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20C47F6" w14:textId="2BED159B"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366,858,099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C319038" w14:textId="00B87C68"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556,533,459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47684BE" w14:textId="6ECC7FD4"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923,391,558 </w:t>
            </w:r>
          </w:p>
        </w:tc>
      </w:tr>
      <w:tr w:rsidR="00A41077" w14:paraId="0A533BF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74BC48D"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090100000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0C040F8"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AMORTIZACION DE LA DEUDA PÚBLICA.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A894B93" w14:textId="586B03C8"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72,774,280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0252C4F" w14:textId="7E7E25A9"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250,000,000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D21875F" w14:textId="33E96856"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322,774,280 </w:t>
            </w:r>
          </w:p>
        </w:tc>
      </w:tr>
      <w:tr w:rsidR="00A41077" w14:paraId="035F66A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62FBD9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090101000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089C577"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Amortización de la deuda interna con instituciones de crédito.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0693E20" w14:textId="6E9F898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72,774,280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0810794" w14:textId="487EB8E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250,000,000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10C63D9" w14:textId="43F64A5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322,774,280 </w:t>
            </w:r>
          </w:p>
        </w:tc>
      </w:tr>
      <w:tr w:rsidR="00A41077" w14:paraId="2DE3D2F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DF30756"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090102000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F6D5E2F"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Amortización de la deuda interna por emisión de títulos y valores.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1C3194C" w14:textId="52004A1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4AE6BED" w14:textId="2FCCC4A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26F2B7A" w14:textId="0C81D88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E4686F5"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82234DD"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090103000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352CCE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Amortización de arrendamientos financieros nacionales.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A8C038D" w14:textId="1F76CA8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8710A44" w14:textId="17115C9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3A3CEF0" w14:textId="272D7C8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5C60C5F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2B44091"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090104000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81DD32A"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Amortización de la deuda externa con instituciones de crédito.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B3ADFF4" w14:textId="5160C76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CAE6A7B" w14:textId="22BFCE7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A37DE87" w14:textId="1E9D930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085FF2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797AEA3"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090105000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1135A2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Amortización de deuda externa con organismos financieros internacionales.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E75D006" w14:textId="5D7C4CC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8BA51D1" w14:textId="20322EC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EE19E63" w14:textId="64457E8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1430BA97"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F9B389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090106000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0D5D6A4"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Amortización de la deuda bilateral.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697FB63" w14:textId="5220F1E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F93EC71" w14:textId="7BA3E764"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8E27F0C" w14:textId="08A1AD2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2C0C01C"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C72F46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090107000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117843D"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Amortización de la deuda externa por emisión de títulos y valores.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E38EA0F" w14:textId="718E13A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8780962" w14:textId="2A24B42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00CB676" w14:textId="1623688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D665A1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796B3B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090108000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B7A0AA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Amortización de arrendamientos financieros internacionales.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3F7EDA7" w14:textId="5F20B0E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9650DF7" w14:textId="59C6A51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4D57E99" w14:textId="421DF70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0546DFE"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A9B327F"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090200000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EECFB92"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INTERESES DE LA DEUDA PÚBLICA.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47BC3D2" w14:textId="64951ECC"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294,083,819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B13F01C" w14:textId="602A50E5"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146,552,316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6EF2B13" w14:textId="69E6F30F"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440,636,135 </w:t>
            </w:r>
          </w:p>
        </w:tc>
      </w:tr>
      <w:tr w:rsidR="00A41077" w14:paraId="3F40EEDA"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20C66F1"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090201000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0D5F1D5"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Intereses de la deuda interna con instituciones de crédito.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AAB6F24" w14:textId="253BE39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294,083,819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DD38E2B" w14:textId="69CB870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146,552,316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801FC83" w14:textId="197130C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440,636,135 </w:t>
            </w:r>
          </w:p>
        </w:tc>
      </w:tr>
      <w:tr w:rsidR="00A41077" w14:paraId="00C8CF3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918030D"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090202000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939EC1A"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Intereses derivados de la colocación de títulos y valores.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E238E3D" w14:textId="07C5197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514B078" w14:textId="6320B8C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5C2E49A" w14:textId="11A8F4C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735EC9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2C1968B"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090203000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7B9231F"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Intereses por arrendamientos financieros nacionales.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4852C53" w14:textId="7FCFFC5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4023609" w14:textId="175EE16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3DFAE7F" w14:textId="11AE8F6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ED0501F"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2AC24E6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090204000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B457377"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Intereses de la deuda externa con instituciones de crédito.</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26B9E15" w14:textId="45D5A6D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59C5D39" w14:textId="78AAA36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AB14C7E" w14:textId="7B36C4B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1D11722"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89E80A3"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090205000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3B9E31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Intereses de la deuda con organismos financieros Internacionales.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D494564" w14:textId="6AF25F6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1EF7DFFA" w14:textId="7A28640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6583AB6" w14:textId="7F87BEA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66E51D3"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D7143F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090206000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D499262"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Intereses de la deuda bilateral.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A8174DE" w14:textId="4E03982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36D5C7D" w14:textId="2A0EB02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581FA5C" w14:textId="4AF9E11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60A42C7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5145BA2F"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090207000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B046F3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Intereses derivados de la colocación de títulos y valores en el exterior.</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42AADFF" w14:textId="7939447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46211F0" w14:textId="5DD99D4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156F93B" w14:textId="088B924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0D0BF1E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54BB25F"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090208000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4069CC3"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Intereses por arrendamientos financieros internacionales.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CB8ABCC" w14:textId="0E6FBDBF"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3A38B79" w14:textId="7580FDD9"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42A7D0C" w14:textId="7979C2A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B2777D5"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E4BFBC5"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090300000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40667AA"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COMISIONES DE LA DEUDA PÚBLICA.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4C3E050" w14:textId="094C3EE6"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9814B0F" w14:textId="51D10D20"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0294ACE" w14:textId="55013591"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r>
      <w:tr w:rsidR="00A41077" w14:paraId="502F323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42D0CA8"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090301000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F4B6EF0"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Comisiones de la deuda pública interna.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BEBA1DC" w14:textId="46CD0E57"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9AD695B" w14:textId="364E4A71"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CAFD29B" w14:textId="0649645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71303F7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DA73543"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090302000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2B322C8"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Comisiones de la deuda pública externa.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D4A2B86" w14:textId="67E978C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174777D" w14:textId="6B86277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C18DF02" w14:textId="40B1827B"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7091A31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2FECB95"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090400000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3D504F1"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GASTOS DE LA DEUDA PÚBLICA.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E2B8E61" w14:textId="6DF4DDF7"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802109A" w14:textId="65DC99BA"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2,620,000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3243DD68" w14:textId="06B71395"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2,620,000 </w:t>
            </w:r>
          </w:p>
        </w:tc>
      </w:tr>
      <w:tr w:rsidR="00A41077" w14:paraId="3907AAD0"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1E2B828D"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090401000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63C2E2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Gastos de la deuda pública interna.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DC40462" w14:textId="4536A74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3E8F87E" w14:textId="4171245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2,620,000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B91F242" w14:textId="6AA9F75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2,620,000 </w:t>
            </w:r>
          </w:p>
        </w:tc>
      </w:tr>
      <w:tr w:rsidR="00A41077" w14:paraId="700B9209"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7630C96C"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090402000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8AC289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Gastos de la deuda pública externa.</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F9E52DF" w14:textId="4A50E34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7DDEDF5" w14:textId="57921ED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27FEABA5" w14:textId="57C0DAB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C56D1A6"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06EE4CD9"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lastRenderedPageBreak/>
              <w:t>090500000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F06D1C2"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COSTO POR COBERTURAS.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3A9F0C5" w14:textId="0CE453FB"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986819E" w14:textId="129FB725"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6827723F" w14:textId="3BD637E4"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r>
      <w:tr w:rsidR="00A41077" w14:paraId="450D8A08"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9B5A353"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090501000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8476EB6"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Costos por coberturas.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76F0180" w14:textId="2256E10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8996CFC" w14:textId="594EC0F6"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0F6BF15" w14:textId="634716D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35ADBA6D"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375230F"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090600000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FCEBB3C"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APOYOS FINANCIEROS.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8F1BCE6" w14:textId="2E8794DF"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CE87DB3" w14:textId="65472AD0"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E2B1411" w14:textId="6D124E87"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r>
      <w:tr w:rsidR="00A41077" w14:paraId="4106AE5A"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64D5B0CD"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090601000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4EC9411"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Apoyos a intermediarios financieros.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2F94A16" w14:textId="3D10F8F2"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09BF5DA" w14:textId="473004FE"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1A336717" w14:textId="5FC806A3"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43BCF9E7"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385B9A19"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090602000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D337E09"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Apoyos a ahorradores y deudores del Sistema Financiero Nacional.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B76E7A7" w14:textId="5AD7E92C"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BA1B6FB" w14:textId="64A1B8ED"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55F56F55" w14:textId="5DF6D518"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r>
      <w:tr w:rsidR="00A41077" w14:paraId="2EFD48CB"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3CBED95"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090900000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1663EBB" w14:textId="77777777" w:rsidR="00A41077" w:rsidRDefault="00A41077" w:rsidP="00A41077">
            <w:pPr>
              <w:spacing w:line="256" w:lineRule="auto"/>
              <w:rPr>
                <w:rFonts w:eastAsia="Times New Roman" w:cs="Arial"/>
                <w:b/>
                <w:bCs/>
                <w:color w:val="000000"/>
                <w:sz w:val="16"/>
                <w:szCs w:val="16"/>
                <w:lang w:val="es-ES" w:eastAsia="en-US"/>
              </w:rPr>
            </w:pPr>
            <w:r>
              <w:rPr>
                <w:rFonts w:eastAsia="Times New Roman" w:cs="Arial"/>
                <w:b/>
                <w:bCs/>
                <w:color w:val="000000"/>
                <w:sz w:val="16"/>
                <w:szCs w:val="16"/>
                <w:lang w:val="es-ES" w:eastAsia="en-US"/>
              </w:rPr>
              <w:t xml:space="preserve"> ADEUDOS DE EJERCICIOS FISCALES ANTERIORES (ADEFAS).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A8137FE" w14:textId="4F019C04"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5A4DDD9F" w14:textId="0B84C606"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157,361,143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783BF39A" w14:textId="3FD542B8" w:rsidR="00A41077" w:rsidRDefault="00A41077" w:rsidP="00A41077">
            <w:pPr>
              <w:spacing w:line="256" w:lineRule="auto"/>
              <w:jc w:val="right"/>
              <w:rPr>
                <w:rFonts w:eastAsia="Times New Roman" w:cs="Arial"/>
                <w:b/>
                <w:bCs/>
                <w:color w:val="000000"/>
                <w:sz w:val="16"/>
                <w:szCs w:val="16"/>
                <w:lang w:val="es-ES" w:eastAsia="en-US"/>
              </w:rPr>
            </w:pPr>
            <w:r>
              <w:rPr>
                <w:rFonts w:cs="Arial"/>
                <w:b/>
                <w:bCs/>
                <w:color w:val="000000"/>
                <w:sz w:val="16"/>
                <w:szCs w:val="16"/>
              </w:rPr>
              <w:t xml:space="preserve">157,361,143 </w:t>
            </w:r>
          </w:p>
        </w:tc>
      </w:tr>
      <w:tr w:rsidR="00A41077" w14:paraId="7394D8D1"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vAlign w:val="center"/>
            <w:hideMark/>
          </w:tcPr>
          <w:p w14:paraId="45DE5250" w14:textId="77777777" w:rsidR="00A41077" w:rsidRDefault="00A41077" w:rsidP="00A41077">
            <w:pPr>
              <w:spacing w:line="256" w:lineRule="auto"/>
              <w:jc w:val="center"/>
              <w:rPr>
                <w:rFonts w:eastAsia="Times New Roman" w:cs="Arial"/>
                <w:color w:val="000000"/>
                <w:sz w:val="16"/>
                <w:szCs w:val="16"/>
                <w:lang w:val="es-ES" w:eastAsia="en-US"/>
              </w:rPr>
            </w:pPr>
            <w:r>
              <w:rPr>
                <w:rFonts w:eastAsia="Times New Roman" w:cs="Arial"/>
                <w:color w:val="000000"/>
                <w:sz w:val="16"/>
                <w:szCs w:val="16"/>
                <w:lang w:val="es-ES" w:eastAsia="en-US"/>
              </w:rPr>
              <w:t>090901000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D08943C" w14:textId="77777777" w:rsidR="00A41077" w:rsidRDefault="00A41077" w:rsidP="00A41077">
            <w:pPr>
              <w:spacing w:line="256" w:lineRule="auto"/>
              <w:rPr>
                <w:rFonts w:eastAsia="Times New Roman" w:cs="Arial"/>
                <w:color w:val="000000"/>
                <w:sz w:val="16"/>
                <w:szCs w:val="16"/>
                <w:lang w:val="es-ES" w:eastAsia="en-US"/>
              </w:rPr>
            </w:pPr>
            <w:r>
              <w:rPr>
                <w:rFonts w:eastAsia="Times New Roman" w:cs="Arial"/>
                <w:color w:val="000000"/>
                <w:sz w:val="16"/>
                <w:szCs w:val="16"/>
                <w:lang w:val="es-ES" w:eastAsia="en-US"/>
              </w:rPr>
              <w:t>ADEFAS.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D2BC572" w14:textId="481D0CD5"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0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34285CD" w14:textId="2269C83A"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157,361,143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4A13C5B7" w14:textId="77F04070" w:rsidR="00A41077" w:rsidRDefault="00A41077" w:rsidP="00A41077">
            <w:pPr>
              <w:spacing w:line="256" w:lineRule="auto"/>
              <w:jc w:val="right"/>
              <w:rPr>
                <w:rFonts w:eastAsia="Times New Roman" w:cs="Arial"/>
                <w:color w:val="000000"/>
                <w:sz w:val="16"/>
                <w:szCs w:val="16"/>
                <w:lang w:val="es-ES" w:eastAsia="en-US"/>
              </w:rPr>
            </w:pPr>
            <w:r>
              <w:rPr>
                <w:rFonts w:cs="Arial"/>
                <w:color w:val="000000"/>
                <w:sz w:val="16"/>
                <w:szCs w:val="16"/>
              </w:rPr>
              <w:t xml:space="preserve">157,361,143 </w:t>
            </w:r>
          </w:p>
        </w:tc>
      </w:tr>
      <w:tr w:rsidR="00A41077" w14:paraId="44CC40F4" w14:textId="77777777" w:rsidTr="00BF5974">
        <w:trPr>
          <w:trHeight w:val="23"/>
          <w:jc w:val="center"/>
        </w:trPr>
        <w:tc>
          <w:tcPr>
            <w:tcW w:w="941" w:type="dxa"/>
            <w:tcBorders>
              <w:top w:val="single" w:sz="4" w:space="0" w:color="auto"/>
              <w:left w:val="single" w:sz="4" w:space="0" w:color="auto"/>
              <w:bottom w:val="single" w:sz="4" w:space="0" w:color="auto"/>
              <w:right w:val="single" w:sz="4" w:space="0" w:color="auto"/>
            </w:tcBorders>
            <w:noWrap/>
          </w:tcPr>
          <w:p w14:paraId="304EB3E0" w14:textId="77777777" w:rsidR="00A41077" w:rsidRDefault="00A41077" w:rsidP="00A41077">
            <w:pPr>
              <w:spacing w:line="256" w:lineRule="auto"/>
              <w:jc w:val="center"/>
              <w:rPr>
                <w:rFonts w:eastAsia="Times New Roman" w:cs="Arial"/>
                <w:color w:val="000000"/>
                <w:sz w:val="16"/>
                <w:szCs w:val="16"/>
                <w:lang w:val="es-ES" w:eastAsia="en-US"/>
              </w:rPr>
            </w:pPr>
          </w:p>
        </w:tc>
        <w:tc>
          <w:tcPr>
            <w:tcW w:w="3878" w:type="dxa"/>
            <w:tcBorders>
              <w:top w:val="single" w:sz="4" w:space="0" w:color="auto"/>
              <w:left w:val="single" w:sz="4" w:space="0" w:color="auto"/>
              <w:bottom w:val="single" w:sz="4" w:space="0" w:color="auto"/>
              <w:right w:val="single" w:sz="4" w:space="0" w:color="auto"/>
            </w:tcBorders>
            <w:hideMark/>
          </w:tcPr>
          <w:p w14:paraId="56576C38" w14:textId="77777777" w:rsidR="00A41077" w:rsidRDefault="00A41077" w:rsidP="00A41077">
            <w:pPr>
              <w:spacing w:line="256" w:lineRule="auto"/>
              <w:jc w:val="center"/>
              <w:rPr>
                <w:rFonts w:eastAsia="Times New Roman" w:cs="Arial"/>
                <w:b/>
                <w:bCs/>
                <w:color w:val="000000"/>
                <w:sz w:val="16"/>
                <w:szCs w:val="16"/>
                <w:lang w:val="es-ES" w:eastAsia="en-US"/>
              </w:rPr>
            </w:pPr>
            <w:r>
              <w:rPr>
                <w:rFonts w:eastAsia="Times New Roman" w:cs="Arial"/>
                <w:b/>
                <w:bCs/>
                <w:color w:val="000000"/>
                <w:sz w:val="16"/>
                <w:szCs w:val="16"/>
                <w:lang w:val="es-ES" w:eastAsia="en-US"/>
              </w:rPr>
              <w:t>Total</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2DF83FF" w14:textId="29C6F945" w:rsidR="00A41077" w:rsidRDefault="00A41077" w:rsidP="00A41077">
            <w:pPr>
              <w:spacing w:line="256" w:lineRule="auto"/>
              <w:jc w:val="right"/>
              <w:rPr>
                <w:rFonts w:eastAsia="Times New Roman" w:cs="Arial"/>
                <w:color w:val="000000"/>
                <w:sz w:val="16"/>
                <w:szCs w:val="16"/>
                <w:lang w:val="es-ES" w:eastAsia="en-US"/>
              </w:rPr>
            </w:pPr>
            <w:r>
              <w:rPr>
                <w:rFonts w:cs="Arial"/>
                <w:b/>
                <w:bCs/>
                <w:color w:val="000000"/>
                <w:sz w:val="16"/>
                <w:szCs w:val="16"/>
              </w:rPr>
              <w:t xml:space="preserve">16,868,856,185 </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3D7BDCF" w14:textId="5A18D180" w:rsidR="00A41077" w:rsidRDefault="00A41077" w:rsidP="00A41077">
            <w:pPr>
              <w:spacing w:line="256" w:lineRule="auto"/>
              <w:jc w:val="right"/>
              <w:rPr>
                <w:rFonts w:eastAsia="Times New Roman" w:cs="Arial"/>
                <w:color w:val="000000"/>
                <w:sz w:val="16"/>
                <w:szCs w:val="16"/>
                <w:lang w:val="es-ES" w:eastAsia="en-US"/>
              </w:rPr>
            </w:pPr>
            <w:r>
              <w:rPr>
                <w:rFonts w:cs="Arial"/>
                <w:b/>
                <w:bCs/>
                <w:color w:val="000000"/>
                <w:sz w:val="16"/>
                <w:szCs w:val="16"/>
              </w:rPr>
              <w:t xml:space="preserve">6,135,274,094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14:paraId="06995E88" w14:textId="379BA66C" w:rsidR="00A41077" w:rsidRDefault="00A41077" w:rsidP="00A41077">
            <w:pPr>
              <w:spacing w:line="256" w:lineRule="auto"/>
              <w:jc w:val="right"/>
              <w:rPr>
                <w:rFonts w:eastAsia="Times New Roman" w:cs="Arial"/>
                <w:color w:val="000000"/>
                <w:sz w:val="16"/>
                <w:szCs w:val="16"/>
                <w:lang w:val="es-ES" w:eastAsia="en-US"/>
              </w:rPr>
            </w:pPr>
            <w:r>
              <w:rPr>
                <w:rFonts w:cs="Arial"/>
                <w:b/>
                <w:bCs/>
                <w:color w:val="000000"/>
                <w:sz w:val="16"/>
                <w:szCs w:val="16"/>
              </w:rPr>
              <w:t xml:space="preserve">23,004,130,279 </w:t>
            </w:r>
          </w:p>
        </w:tc>
      </w:tr>
    </w:tbl>
    <w:p w14:paraId="3246D971" w14:textId="77777777" w:rsidR="00B13BDF" w:rsidRDefault="00B13BDF" w:rsidP="00BF5974"/>
    <w:p w14:paraId="5E8D2376" w14:textId="3371B972" w:rsidR="00BF5974" w:rsidRDefault="00BF5974" w:rsidP="00BF5974">
      <w:pPr>
        <w:rPr>
          <w:rFonts w:cs="Arial"/>
          <w:lang w:val="es-ES"/>
        </w:rPr>
      </w:pPr>
      <w:r>
        <w:rPr>
          <w:rFonts w:cs="Arial"/>
          <w:lang w:val="es-ES"/>
        </w:rPr>
        <w:t xml:space="preserve">II. La </w:t>
      </w:r>
      <w:r>
        <w:rPr>
          <w:rFonts w:cs="Arial"/>
          <w:bCs/>
          <w:lang w:val="es-ES"/>
        </w:rPr>
        <w:t>Clasificación Administrativa</w:t>
      </w:r>
      <w:r>
        <w:rPr>
          <w:rFonts w:cs="Arial"/>
          <w:lang w:val="es-ES"/>
        </w:rPr>
        <w:t>, desglosando únicamente la estructura del sector público de la Entidad Federativa y a nivel del Quinto Dígito, es la siguiente:</w:t>
      </w:r>
    </w:p>
    <w:p w14:paraId="0B58B59D" w14:textId="77777777" w:rsidR="00B13BDF" w:rsidRDefault="00B13BDF" w:rsidP="00BF5974">
      <w:pPr>
        <w:jc w:val="center"/>
        <w:rPr>
          <w:rFonts w:eastAsia="Times New Roman" w:cs="Arial"/>
          <w:b/>
          <w:lang w:val="es-ES"/>
        </w:rPr>
      </w:pP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3681"/>
        <w:gridCol w:w="1523"/>
        <w:gridCol w:w="1416"/>
        <w:gridCol w:w="1392"/>
      </w:tblGrid>
      <w:tr w:rsidR="00BF5974" w14:paraId="7B2FD53B" w14:textId="77777777" w:rsidTr="00BF5974">
        <w:trPr>
          <w:trHeight w:val="20"/>
          <w:tblHeader/>
          <w:jc w:val="center"/>
        </w:trPr>
        <w:tc>
          <w:tcPr>
            <w:tcW w:w="8716" w:type="dxa"/>
            <w:gridSpan w:val="5"/>
            <w:tcBorders>
              <w:top w:val="nil"/>
              <w:left w:val="nil"/>
              <w:bottom w:val="single" w:sz="4" w:space="0" w:color="auto"/>
              <w:right w:val="nil"/>
            </w:tcBorders>
            <w:vAlign w:val="center"/>
            <w:hideMark/>
          </w:tcPr>
          <w:p w14:paraId="0CEB33D7" w14:textId="77777777" w:rsidR="00BF5974" w:rsidRDefault="00BF5974">
            <w:pPr>
              <w:keepNext/>
              <w:keepLines/>
              <w:spacing w:line="256" w:lineRule="auto"/>
              <w:jc w:val="center"/>
              <w:outlineLvl w:val="1"/>
              <w:rPr>
                <w:rFonts w:eastAsia="Times New Roman" w:cs="Arial"/>
                <w:b/>
                <w:sz w:val="20"/>
                <w:szCs w:val="16"/>
                <w:lang w:val="es-ES" w:eastAsia="en-US"/>
              </w:rPr>
            </w:pPr>
            <w:bookmarkStart w:id="334" w:name="_Toc22983258"/>
            <w:bookmarkStart w:id="335" w:name="_Toc22022023"/>
            <w:r>
              <w:rPr>
                <w:rFonts w:eastAsia="Times New Roman" w:cs="Arial"/>
                <w:b/>
                <w:sz w:val="20"/>
                <w:szCs w:val="16"/>
                <w:lang w:val="es-ES" w:eastAsia="en-US"/>
              </w:rPr>
              <w:t>Tabla 68. Clasificación Administrativa</w:t>
            </w:r>
            <w:bookmarkEnd w:id="334"/>
            <w:bookmarkEnd w:id="335"/>
          </w:p>
          <w:p w14:paraId="36306F6F" w14:textId="77777777" w:rsidR="00BF5974" w:rsidRDefault="00BF5974">
            <w:pPr>
              <w:spacing w:line="256" w:lineRule="auto"/>
              <w:jc w:val="center"/>
              <w:rPr>
                <w:rFonts w:eastAsia="Times New Roman" w:cs="Arial"/>
                <w:b/>
                <w:bCs/>
                <w:sz w:val="16"/>
                <w:szCs w:val="16"/>
                <w:lang w:val="es-ES" w:eastAsia="en-US"/>
              </w:rPr>
            </w:pPr>
            <w:r>
              <w:rPr>
                <w:rFonts w:eastAsia="Times New Roman" w:cs="Arial"/>
                <w:b/>
                <w:sz w:val="18"/>
                <w:szCs w:val="16"/>
                <w:lang w:val="es-ES" w:eastAsia="en-US"/>
              </w:rPr>
              <w:t>(Quinto Digito)</w:t>
            </w:r>
          </w:p>
        </w:tc>
      </w:tr>
      <w:tr w:rsidR="00BF5974" w14:paraId="2020576F" w14:textId="77777777" w:rsidTr="00BF5974">
        <w:trPr>
          <w:trHeight w:val="20"/>
          <w:tblHeade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5142574" w14:textId="77777777" w:rsidR="00BF5974" w:rsidRDefault="00BF5974">
            <w:pPr>
              <w:spacing w:line="256" w:lineRule="auto"/>
              <w:jc w:val="center"/>
              <w:rPr>
                <w:rFonts w:eastAsia="Times New Roman" w:cs="Arial"/>
                <w:b/>
                <w:bCs/>
                <w:sz w:val="16"/>
                <w:szCs w:val="16"/>
                <w:lang w:val="es-ES" w:eastAsia="en-US"/>
              </w:rPr>
            </w:pPr>
            <w:r>
              <w:rPr>
                <w:rFonts w:eastAsia="Times New Roman" w:cs="Arial"/>
                <w:b/>
                <w:bCs/>
                <w:sz w:val="16"/>
                <w:szCs w:val="16"/>
                <w:lang w:val="es-ES" w:eastAsia="en-US"/>
              </w:rPr>
              <w:t>Clave</w:t>
            </w:r>
          </w:p>
        </w:tc>
        <w:tc>
          <w:tcPr>
            <w:tcW w:w="3681" w:type="dxa"/>
            <w:tcBorders>
              <w:top w:val="single" w:sz="4" w:space="0" w:color="auto"/>
              <w:left w:val="single" w:sz="4" w:space="0" w:color="auto"/>
              <w:bottom w:val="single" w:sz="4" w:space="0" w:color="auto"/>
              <w:right w:val="single" w:sz="4" w:space="0" w:color="auto"/>
            </w:tcBorders>
            <w:vAlign w:val="center"/>
            <w:hideMark/>
          </w:tcPr>
          <w:p w14:paraId="20EDB812" w14:textId="77777777" w:rsidR="00BF5974" w:rsidRDefault="00BF5974">
            <w:pPr>
              <w:spacing w:line="256" w:lineRule="auto"/>
              <w:jc w:val="center"/>
              <w:rPr>
                <w:rFonts w:eastAsia="Times New Roman" w:cs="Arial"/>
                <w:b/>
                <w:bCs/>
                <w:sz w:val="16"/>
                <w:szCs w:val="16"/>
                <w:lang w:val="es-ES" w:eastAsia="en-US"/>
              </w:rPr>
            </w:pPr>
            <w:r>
              <w:rPr>
                <w:rFonts w:eastAsia="Times New Roman" w:cs="Arial"/>
                <w:b/>
                <w:bCs/>
                <w:sz w:val="16"/>
                <w:szCs w:val="16"/>
                <w:lang w:val="es-ES" w:eastAsia="en-US"/>
              </w:rPr>
              <w:t>Concepto</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ABB57CA" w14:textId="77777777" w:rsidR="00BF5974" w:rsidRDefault="00BF5974">
            <w:pPr>
              <w:spacing w:line="256" w:lineRule="auto"/>
              <w:jc w:val="center"/>
              <w:rPr>
                <w:rFonts w:eastAsia="Times New Roman" w:cs="Arial"/>
                <w:b/>
                <w:bCs/>
                <w:sz w:val="16"/>
                <w:szCs w:val="16"/>
                <w:lang w:val="es-ES" w:eastAsia="en-US"/>
              </w:rPr>
            </w:pPr>
            <w:r>
              <w:rPr>
                <w:rFonts w:cs="Arial"/>
                <w:b/>
                <w:sz w:val="16"/>
                <w:szCs w:val="16"/>
                <w:lang w:val="es-ES" w:eastAsia="en-US"/>
              </w:rPr>
              <w:t>Gasto Programable</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023C4A3" w14:textId="77777777" w:rsidR="00BF5974" w:rsidRDefault="00BF5974">
            <w:pPr>
              <w:spacing w:line="256" w:lineRule="auto"/>
              <w:jc w:val="center"/>
              <w:rPr>
                <w:rFonts w:eastAsia="Times New Roman" w:cs="Arial"/>
                <w:b/>
                <w:bCs/>
                <w:sz w:val="16"/>
                <w:szCs w:val="16"/>
                <w:lang w:val="es-ES" w:eastAsia="en-US"/>
              </w:rPr>
            </w:pPr>
            <w:r>
              <w:rPr>
                <w:rFonts w:cs="Arial"/>
                <w:b/>
                <w:sz w:val="16"/>
                <w:szCs w:val="16"/>
                <w:lang w:val="es-ES" w:eastAsia="en-US"/>
              </w:rPr>
              <w:t>Gasto No Programable</w:t>
            </w:r>
          </w:p>
        </w:tc>
        <w:tc>
          <w:tcPr>
            <w:tcW w:w="1392" w:type="dxa"/>
            <w:tcBorders>
              <w:top w:val="single" w:sz="4" w:space="0" w:color="auto"/>
              <w:left w:val="single" w:sz="4" w:space="0" w:color="auto"/>
              <w:bottom w:val="single" w:sz="4" w:space="0" w:color="auto"/>
              <w:right w:val="single" w:sz="4" w:space="0" w:color="auto"/>
            </w:tcBorders>
            <w:vAlign w:val="center"/>
            <w:hideMark/>
          </w:tcPr>
          <w:p w14:paraId="573B7C67" w14:textId="77777777" w:rsidR="00BF5974" w:rsidRDefault="00BF5974">
            <w:pPr>
              <w:spacing w:line="256" w:lineRule="auto"/>
              <w:jc w:val="center"/>
              <w:rPr>
                <w:rFonts w:eastAsia="Times New Roman" w:cs="Arial"/>
                <w:b/>
                <w:bCs/>
                <w:sz w:val="16"/>
                <w:szCs w:val="16"/>
                <w:lang w:val="es-ES" w:eastAsia="en-US"/>
              </w:rPr>
            </w:pPr>
            <w:r>
              <w:rPr>
                <w:rFonts w:eastAsia="Times New Roman" w:cs="Arial"/>
                <w:b/>
                <w:bCs/>
                <w:sz w:val="16"/>
                <w:szCs w:val="16"/>
                <w:lang w:val="es-ES" w:eastAsia="en-US"/>
              </w:rPr>
              <w:t>Asignación Presupuestal</w:t>
            </w:r>
          </w:p>
        </w:tc>
      </w:tr>
      <w:tr w:rsidR="00A41077" w14:paraId="68E4C02B" w14:textId="77777777" w:rsidTr="00BF5974">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3C6F2E7" w14:textId="77777777" w:rsidR="00A41077" w:rsidRDefault="00A41077" w:rsidP="00A41077">
            <w:pPr>
              <w:spacing w:line="256" w:lineRule="auto"/>
              <w:jc w:val="center"/>
              <w:rPr>
                <w:rFonts w:eastAsia="Times New Roman" w:cs="Arial"/>
                <w:b/>
                <w:bCs/>
                <w:sz w:val="16"/>
                <w:szCs w:val="16"/>
                <w:lang w:val="es-ES" w:eastAsia="en-US"/>
              </w:rPr>
            </w:pPr>
            <w:r>
              <w:rPr>
                <w:rFonts w:eastAsia="Times New Roman" w:cs="Arial"/>
                <w:b/>
                <w:bCs/>
                <w:sz w:val="16"/>
                <w:szCs w:val="16"/>
                <w:lang w:val="es-ES" w:eastAsia="en-US"/>
              </w:rPr>
              <w:t>20000</w:t>
            </w:r>
          </w:p>
        </w:tc>
        <w:tc>
          <w:tcPr>
            <w:tcW w:w="3681" w:type="dxa"/>
            <w:tcBorders>
              <w:top w:val="single" w:sz="4" w:space="0" w:color="auto"/>
              <w:left w:val="single" w:sz="4" w:space="0" w:color="auto"/>
              <w:bottom w:val="single" w:sz="4" w:space="0" w:color="auto"/>
              <w:right w:val="single" w:sz="4" w:space="0" w:color="auto"/>
            </w:tcBorders>
            <w:vAlign w:val="center"/>
            <w:hideMark/>
          </w:tcPr>
          <w:p w14:paraId="52613686" w14:textId="77777777" w:rsidR="00A41077" w:rsidRDefault="00A41077" w:rsidP="00A41077">
            <w:pPr>
              <w:spacing w:line="256" w:lineRule="auto"/>
              <w:rPr>
                <w:rFonts w:eastAsia="Times New Roman" w:cs="Arial"/>
                <w:b/>
                <w:bCs/>
                <w:sz w:val="16"/>
                <w:szCs w:val="16"/>
                <w:lang w:val="es-ES" w:eastAsia="en-US"/>
              </w:rPr>
            </w:pPr>
            <w:r>
              <w:rPr>
                <w:rFonts w:eastAsia="Times New Roman" w:cs="Arial"/>
                <w:b/>
                <w:bCs/>
                <w:sz w:val="16"/>
                <w:szCs w:val="16"/>
                <w:lang w:val="es-ES" w:eastAsia="en-US"/>
              </w:rPr>
              <w:t>Sector Público de las Entidades Federativas.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6758BC4" w14:textId="6A9DB556" w:rsidR="00A41077" w:rsidRDefault="00A41077" w:rsidP="00A41077">
            <w:pPr>
              <w:spacing w:line="256" w:lineRule="auto"/>
              <w:jc w:val="right"/>
              <w:rPr>
                <w:rFonts w:cs="Arial"/>
                <w:b/>
                <w:bCs/>
                <w:sz w:val="16"/>
                <w:szCs w:val="16"/>
                <w:lang w:val="es-ES" w:eastAsia="en-US"/>
              </w:rPr>
            </w:pPr>
            <w:r>
              <w:rPr>
                <w:rFonts w:cs="Arial"/>
                <w:b/>
                <w:bCs/>
                <w:color w:val="000000"/>
                <w:sz w:val="16"/>
                <w:szCs w:val="16"/>
              </w:rPr>
              <w:t xml:space="preserve">16,868,856,185 </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67FDD49" w14:textId="796C6970" w:rsidR="00A41077" w:rsidRDefault="00A41077" w:rsidP="00A41077">
            <w:pPr>
              <w:spacing w:line="256" w:lineRule="auto"/>
              <w:jc w:val="right"/>
              <w:rPr>
                <w:rFonts w:cs="Arial"/>
                <w:b/>
                <w:bCs/>
                <w:sz w:val="16"/>
                <w:szCs w:val="16"/>
                <w:lang w:val="es-ES" w:eastAsia="en-US"/>
              </w:rPr>
            </w:pPr>
            <w:r>
              <w:rPr>
                <w:rFonts w:cs="Arial"/>
                <w:b/>
                <w:bCs/>
                <w:color w:val="000000"/>
                <w:sz w:val="16"/>
                <w:szCs w:val="16"/>
              </w:rPr>
              <w:t xml:space="preserve">6,135,274,094 </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4258EF65" w14:textId="16D2BB79" w:rsidR="00A41077" w:rsidRDefault="00A41077" w:rsidP="00A41077">
            <w:pPr>
              <w:spacing w:line="256" w:lineRule="auto"/>
              <w:jc w:val="right"/>
              <w:rPr>
                <w:rFonts w:cs="Arial"/>
                <w:b/>
                <w:bCs/>
                <w:sz w:val="16"/>
                <w:szCs w:val="16"/>
                <w:lang w:val="es-ES" w:eastAsia="en-US"/>
              </w:rPr>
            </w:pPr>
            <w:r>
              <w:rPr>
                <w:rFonts w:cs="Arial"/>
                <w:b/>
                <w:bCs/>
                <w:color w:val="000000"/>
                <w:sz w:val="16"/>
                <w:szCs w:val="16"/>
              </w:rPr>
              <w:t xml:space="preserve">23,004,130,279 </w:t>
            </w:r>
          </w:p>
        </w:tc>
      </w:tr>
      <w:tr w:rsidR="00A41077" w14:paraId="74D9ACAD" w14:textId="77777777" w:rsidTr="00BF5974">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AAD2097" w14:textId="77777777" w:rsidR="00A41077" w:rsidRDefault="00A41077" w:rsidP="00A41077">
            <w:pPr>
              <w:spacing w:line="256" w:lineRule="auto"/>
              <w:jc w:val="center"/>
              <w:rPr>
                <w:rFonts w:eastAsia="Times New Roman" w:cs="Arial"/>
                <w:b/>
                <w:bCs/>
                <w:sz w:val="16"/>
                <w:szCs w:val="16"/>
                <w:lang w:val="es-ES" w:eastAsia="en-US"/>
              </w:rPr>
            </w:pPr>
            <w:r>
              <w:rPr>
                <w:rFonts w:eastAsia="Times New Roman" w:cs="Arial"/>
                <w:b/>
                <w:bCs/>
                <w:sz w:val="16"/>
                <w:szCs w:val="16"/>
                <w:lang w:val="es-ES" w:eastAsia="en-US"/>
              </w:rPr>
              <w:t>21000</w:t>
            </w:r>
          </w:p>
        </w:tc>
        <w:tc>
          <w:tcPr>
            <w:tcW w:w="3681" w:type="dxa"/>
            <w:tcBorders>
              <w:top w:val="single" w:sz="4" w:space="0" w:color="auto"/>
              <w:left w:val="single" w:sz="4" w:space="0" w:color="auto"/>
              <w:bottom w:val="single" w:sz="4" w:space="0" w:color="auto"/>
              <w:right w:val="single" w:sz="4" w:space="0" w:color="auto"/>
            </w:tcBorders>
            <w:vAlign w:val="center"/>
            <w:hideMark/>
          </w:tcPr>
          <w:p w14:paraId="4EC81B12" w14:textId="77777777" w:rsidR="00A41077" w:rsidRDefault="00A41077" w:rsidP="00A41077">
            <w:pPr>
              <w:spacing w:line="256" w:lineRule="auto"/>
              <w:rPr>
                <w:rFonts w:eastAsia="Times New Roman" w:cs="Arial"/>
                <w:b/>
                <w:bCs/>
                <w:sz w:val="16"/>
                <w:szCs w:val="16"/>
                <w:lang w:val="es-ES" w:eastAsia="en-US"/>
              </w:rPr>
            </w:pPr>
            <w:r>
              <w:rPr>
                <w:rFonts w:eastAsia="Times New Roman" w:cs="Arial"/>
                <w:b/>
                <w:bCs/>
                <w:sz w:val="16"/>
                <w:szCs w:val="16"/>
                <w:lang w:val="es-ES" w:eastAsia="en-US"/>
              </w:rPr>
              <w:t>Sector Público No Financiero.</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DC34FB0" w14:textId="0E83BBB7" w:rsidR="00A41077" w:rsidRDefault="00A41077" w:rsidP="00A41077">
            <w:pPr>
              <w:spacing w:line="256" w:lineRule="auto"/>
              <w:jc w:val="right"/>
              <w:rPr>
                <w:rFonts w:cs="Arial"/>
                <w:b/>
                <w:bCs/>
                <w:sz w:val="16"/>
                <w:szCs w:val="16"/>
                <w:lang w:val="es-ES" w:eastAsia="en-US"/>
              </w:rPr>
            </w:pPr>
            <w:r>
              <w:rPr>
                <w:rFonts w:cs="Arial"/>
                <w:b/>
                <w:bCs/>
                <w:color w:val="000000"/>
                <w:sz w:val="16"/>
                <w:szCs w:val="16"/>
              </w:rPr>
              <w:t xml:space="preserve">16,868,856,185 </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8D4FE15" w14:textId="179C8D09" w:rsidR="00A41077" w:rsidRDefault="00A41077" w:rsidP="00A41077">
            <w:pPr>
              <w:spacing w:line="256" w:lineRule="auto"/>
              <w:jc w:val="right"/>
              <w:rPr>
                <w:rFonts w:cs="Arial"/>
                <w:b/>
                <w:bCs/>
                <w:sz w:val="16"/>
                <w:szCs w:val="16"/>
                <w:lang w:val="es-ES" w:eastAsia="en-US"/>
              </w:rPr>
            </w:pPr>
            <w:r>
              <w:rPr>
                <w:rFonts w:cs="Arial"/>
                <w:b/>
                <w:bCs/>
                <w:color w:val="000000"/>
                <w:sz w:val="16"/>
                <w:szCs w:val="16"/>
              </w:rPr>
              <w:t xml:space="preserve">6,135,274,094 </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1E24623E" w14:textId="559107BF" w:rsidR="00A41077" w:rsidRDefault="00A41077" w:rsidP="00A41077">
            <w:pPr>
              <w:spacing w:line="256" w:lineRule="auto"/>
              <w:jc w:val="right"/>
              <w:rPr>
                <w:rFonts w:cs="Arial"/>
                <w:b/>
                <w:bCs/>
                <w:sz w:val="16"/>
                <w:szCs w:val="16"/>
                <w:lang w:val="es-ES" w:eastAsia="en-US"/>
              </w:rPr>
            </w:pPr>
            <w:r>
              <w:rPr>
                <w:rFonts w:cs="Arial"/>
                <w:b/>
                <w:bCs/>
                <w:color w:val="000000"/>
                <w:sz w:val="16"/>
                <w:szCs w:val="16"/>
              </w:rPr>
              <w:t xml:space="preserve">23,004,130,279 </w:t>
            </w:r>
          </w:p>
        </w:tc>
      </w:tr>
      <w:tr w:rsidR="00A41077" w14:paraId="1836997D" w14:textId="77777777" w:rsidTr="00BF5974">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DC265FA" w14:textId="77777777" w:rsidR="00A41077" w:rsidRDefault="00A41077" w:rsidP="00A41077">
            <w:pPr>
              <w:spacing w:line="256" w:lineRule="auto"/>
              <w:jc w:val="center"/>
              <w:rPr>
                <w:rFonts w:eastAsia="Times New Roman" w:cs="Arial"/>
                <w:b/>
                <w:bCs/>
                <w:sz w:val="16"/>
                <w:szCs w:val="16"/>
                <w:lang w:val="es-ES" w:eastAsia="en-US"/>
              </w:rPr>
            </w:pPr>
            <w:r>
              <w:rPr>
                <w:rFonts w:eastAsia="Times New Roman" w:cs="Arial"/>
                <w:b/>
                <w:bCs/>
                <w:sz w:val="16"/>
                <w:szCs w:val="16"/>
                <w:lang w:val="es-ES" w:eastAsia="en-US"/>
              </w:rPr>
              <w:t>21100</w:t>
            </w:r>
          </w:p>
        </w:tc>
        <w:tc>
          <w:tcPr>
            <w:tcW w:w="3681" w:type="dxa"/>
            <w:tcBorders>
              <w:top w:val="single" w:sz="4" w:space="0" w:color="auto"/>
              <w:left w:val="single" w:sz="4" w:space="0" w:color="auto"/>
              <w:bottom w:val="single" w:sz="4" w:space="0" w:color="auto"/>
              <w:right w:val="single" w:sz="4" w:space="0" w:color="auto"/>
            </w:tcBorders>
            <w:vAlign w:val="center"/>
            <w:hideMark/>
          </w:tcPr>
          <w:p w14:paraId="05CF0EDA" w14:textId="77777777" w:rsidR="00A41077" w:rsidRDefault="00A41077" w:rsidP="00A41077">
            <w:pPr>
              <w:spacing w:line="256" w:lineRule="auto"/>
              <w:rPr>
                <w:rFonts w:eastAsia="Times New Roman" w:cs="Arial"/>
                <w:b/>
                <w:bCs/>
                <w:sz w:val="16"/>
                <w:szCs w:val="16"/>
                <w:lang w:val="es-ES" w:eastAsia="en-US"/>
              </w:rPr>
            </w:pPr>
            <w:r>
              <w:rPr>
                <w:rFonts w:eastAsia="Times New Roman" w:cs="Arial"/>
                <w:b/>
                <w:bCs/>
                <w:sz w:val="16"/>
                <w:szCs w:val="16"/>
                <w:lang w:val="es-ES" w:eastAsia="en-US"/>
              </w:rPr>
              <w:t>Gobierno General Estatal o del Distrito Federal.</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3796B4D" w14:textId="1F47C727" w:rsidR="00A41077" w:rsidRDefault="00A41077" w:rsidP="00A41077">
            <w:pPr>
              <w:spacing w:line="256" w:lineRule="auto"/>
              <w:jc w:val="right"/>
              <w:rPr>
                <w:rFonts w:cs="Arial"/>
                <w:b/>
                <w:bCs/>
                <w:sz w:val="16"/>
                <w:szCs w:val="16"/>
                <w:lang w:val="es-ES" w:eastAsia="en-US"/>
              </w:rPr>
            </w:pPr>
            <w:r>
              <w:rPr>
                <w:rFonts w:cs="Arial"/>
                <w:b/>
                <w:bCs/>
                <w:color w:val="000000"/>
                <w:sz w:val="16"/>
                <w:szCs w:val="16"/>
              </w:rPr>
              <w:t xml:space="preserve">16,868,856,185 </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4166C53" w14:textId="3A6AEB5A" w:rsidR="00A41077" w:rsidRDefault="00A41077" w:rsidP="00A41077">
            <w:pPr>
              <w:spacing w:line="256" w:lineRule="auto"/>
              <w:jc w:val="right"/>
              <w:rPr>
                <w:rFonts w:cs="Arial"/>
                <w:b/>
                <w:bCs/>
                <w:sz w:val="16"/>
                <w:szCs w:val="16"/>
                <w:lang w:val="es-ES" w:eastAsia="en-US"/>
              </w:rPr>
            </w:pPr>
            <w:r>
              <w:rPr>
                <w:rFonts w:cs="Arial"/>
                <w:b/>
                <w:bCs/>
                <w:color w:val="000000"/>
                <w:sz w:val="16"/>
                <w:szCs w:val="16"/>
              </w:rPr>
              <w:t xml:space="preserve">6,135,274,094 </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3B466FAA" w14:textId="7E0DA444" w:rsidR="00A41077" w:rsidRDefault="00A41077" w:rsidP="00A41077">
            <w:pPr>
              <w:spacing w:line="256" w:lineRule="auto"/>
              <w:jc w:val="right"/>
              <w:rPr>
                <w:rFonts w:cs="Arial"/>
                <w:b/>
                <w:bCs/>
                <w:sz w:val="16"/>
                <w:szCs w:val="16"/>
                <w:lang w:val="es-ES" w:eastAsia="en-US"/>
              </w:rPr>
            </w:pPr>
            <w:r>
              <w:rPr>
                <w:rFonts w:cs="Arial"/>
                <w:b/>
                <w:bCs/>
                <w:color w:val="000000"/>
                <w:sz w:val="16"/>
                <w:szCs w:val="16"/>
              </w:rPr>
              <w:t xml:space="preserve">23,004,130,279 </w:t>
            </w:r>
          </w:p>
        </w:tc>
      </w:tr>
      <w:tr w:rsidR="00A41077" w14:paraId="05443E98" w14:textId="77777777" w:rsidTr="00BF5974">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1AB03E4" w14:textId="77777777" w:rsidR="00A41077" w:rsidRDefault="00A41077" w:rsidP="00A41077">
            <w:pPr>
              <w:spacing w:line="256" w:lineRule="auto"/>
              <w:jc w:val="center"/>
              <w:rPr>
                <w:rFonts w:eastAsia="Times New Roman" w:cs="Arial"/>
                <w:b/>
                <w:bCs/>
                <w:sz w:val="16"/>
                <w:szCs w:val="16"/>
                <w:lang w:val="es-ES" w:eastAsia="en-US"/>
              </w:rPr>
            </w:pPr>
            <w:r>
              <w:rPr>
                <w:rFonts w:eastAsia="Times New Roman" w:cs="Arial"/>
                <w:b/>
                <w:bCs/>
                <w:sz w:val="16"/>
                <w:szCs w:val="16"/>
                <w:lang w:val="es-ES" w:eastAsia="en-US"/>
              </w:rPr>
              <w:t>21110</w:t>
            </w:r>
          </w:p>
        </w:tc>
        <w:tc>
          <w:tcPr>
            <w:tcW w:w="3681" w:type="dxa"/>
            <w:tcBorders>
              <w:top w:val="single" w:sz="4" w:space="0" w:color="auto"/>
              <w:left w:val="single" w:sz="4" w:space="0" w:color="auto"/>
              <w:bottom w:val="single" w:sz="4" w:space="0" w:color="auto"/>
              <w:right w:val="single" w:sz="4" w:space="0" w:color="auto"/>
            </w:tcBorders>
            <w:vAlign w:val="center"/>
            <w:hideMark/>
          </w:tcPr>
          <w:p w14:paraId="18C0ED24" w14:textId="77777777" w:rsidR="00A41077" w:rsidRDefault="00A41077" w:rsidP="00A41077">
            <w:pPr>
              <w:spacing w:line="256" w:lineRule="auto"/>
              <w:rPr>
                <w:rFonts w:eastAsia="Times New Roman" w:cs="Arial"/>
                <w:b/>
                <w:bCs/>
                <w:sz w:val="16"/>
                <w:szCs w:val="16"/>
                <w:lang w:val="es-ES" w:eastAsia="en-US"/>
              </w:rPr>
            </w:pPr>
            <w:r>
              <w:rPr>
                <w:rFonts w:eastAsia="Times New Roman" w:cs="Arial"/>
                <w:b/>
                <w:bCs/>
                <w:sz w:val="16"/>
                <w:szCs w:val="16"/>
                <w:lang w:val="es-ES" w:eastAsia="en-US"/>
              </w:rPr>
              <w:t>Gobierno Estatal o del Distrito Federal.</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C56311B" w14:textId="4B65FFF1" w:rsidR="00A41077" w:rsidRDefault="00A41077" w:rsidP="00A41077">
            <w:pPr>
              <w:spacing w:line="256" w:lineRule="auto"/>
              <w:jc w:val="right"/>
              <w:rPr>
                <w:rFonts w:cs="Arial"/>
                <w:b/>
                <w:bCs/>
                <w:sz w:val="16"/>
                <w:szCs w:val="16"/>
                <w:lang w:val="es-ES" w:eastAsia="en-US"/>
              </w:rPr>
            </w:pPr>
            <w:r>
              <w:rPr>
                <w:rFonts w:cs="Arial"/>
                <w:b/>
                <w:bCs/>
                <w:color w:val="000000"/>
                <w:sz w:val="16"/>
                <w:szCs w:val="16"/>
              </w:rPr>
              <w:t xml:space="preserve">13,386,290,157 </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1A6BE09" w14:textId="00B70DB6" w:rsidR="00A41077" w:rsidRDefault="00A41077" w:rsidP="00A41077">
            <w:pPr>
              <w:spacing w:line="256" w:lineRule="auto"/>
              <w:jc w:val="right"/>
              <w:rPr>
                <w:rFonts w:cs="Arial"/>
                <w:b/>
                <w:bCs/>
                <w:sz w:val="16"/>
                <w:szCs w:val="16"/>
                <w:lang w:val="es-ES" w:eastAsia="en-US"/>
              </w:rPr>
            </w:pPr>
            <w:r>
              <w:rPr>
                <w:rFonts w:cs="Arial"/>
                <w:b/>
                <w:bCs/>
                <w:color w:val="000000"/>
                <w:sz w:val="16"/>
                <w:szCs w:val="16"/>
              </w:rPr>
              <w:t xml:space="preserve">5,772,269,009 </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04D54853" w14:textId="51192A0F" w:rsidR="00A41077" w:rsidRDefault="00A41077" w:rsidP="00A41077">
            <w:pPr>
              <w:spacing w:line="256" w:lineRule="auto"/>
              <w:jc w:val="right"/>
              <w:rPr>
                <w:rFonts w:cs="Arial"/>
                <w:b/>
                <w:bCs/>
                <w:sz w:val="16"/>
                <w:szCs w:val="16"/>
                <w:lang w:val="es-ES" w:eastAsia="en-US"/>
              </w:rPr>
            </w:pPr>
            <w:r>
              <w:rPr>
                <w:rFonts w:cs="Arial"/>
                <w:b/>
                <w:bCs/>
                <w:color w:val="000000"/>
                <w:sz w:val="16"/>
                <w:szCs w:val="16"/>
              </w:rPr>
              <w:t xml:space="preserve">19,158,559,166 </w:t>
            </w:r>
          </w:p>
        </w:tc>
      </w:tr>
      <w:tr w:rsidR="00A41077" w14:paraId="1EEE1864" w14:textId="77777777" w:rsidTr="00BF5974">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62207AA" w14:textId="77777777" w:rsidR="00A41077" w:rsidRDefault="00A41077" w:rsidP="00A41077">
            <w:pPr>
              <w:spacing w:line="256" w:lineRule="auto"/>
              <w:jc w:val="center"/>
              <w:rPr>
                <w:rFonts w:eastAsia="Times New Roman" w:cs="Arial"/>
                <w:sz w:val="16"/>
                <w:szCs w:val="16"/>
                <w:lang w:val="es-ES" w:eastAsia="en-US"/>
              </w:rPr>
            </w:pPr>
            <w:r>
              <w:rPr>
                <w:rFonts w:eastAsia="Times New Roman" w:cs="Arial"/>
                <w:sz w:val="16"/>
                <w:szCs w:val="16"/>
                <w:lang w:val="es-ES" w:eastAsia="en-US"/>
              </w:rPr>
              <w:t>21111</w:t>
            </w:r>
          </w:p>
        </w:tc>
        <w:tc>
          <w:tcPr>
            <w:tcW w:w="3681" w:type="dxa"/>
            <w:tcBorders>
              <w:top w:val="single" w:sz="4" w:space="0" w:color="auto"/>
              <w:left w:val="single" w:sz="4" w:space="0" w:color="auto"/>
              <w:bottom w:val="single" w:sz="4" w:space="0" w:color="auto"/>
              <w:right w:val="single" w:sz="4" w:space="0" w:color="auto"/>
            </w:tcBorders>
            <w:vAlign w:val="center"/>
            <w:hideMark/>
          </w:tcPr>
          <w:p w14:paraId="028CD250" w14:textId="77777777" w:rsidR="00A41077" w:rsidRDefault="00A41077" w:rsidP="00A41077">
            <w:pPr>
              <w:spacing w:line="256" w:lineRule="auto"/>
              <w:rPr>
                <w:rFonts w:eastAsia="Times New Roman" w:cs="Arial"/>
                <w:sz w:val="16"/>
                <w:szCs w:val="16"/>
                <w:lang w:val="es-ES" w:eastAsia="en-US"/>
              </w:rPr>
            </w:pPr>
            <w:r>
              <w:rPr>
                <w:rFonts w:eastAsia="Times New Roman" w:cs="Arial"/>
                <w:sz w:val="16"/>
                <w:szCs w:val="16"/>
                <w:lang w:val="es-ES" w:eastAsia="en-US"/>
              </w:rPr>
              <w:t>Poder Ejecutivo.</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F6CFA76" w14:textId="47DDDBB0" w:rsidR="00A41077" w:rsidRDefault="00A41077" w:rsidP="00A41077">
            <w:pPr>
              <w:spacing w:line="256" w:lineRule="auto"/>
              <w:jc w:val="right"/>
              <w:rPr>
                <w:rFonts w:cs="Arial"/>
                <w:sz w:val="16"/>
                <w:szCs w:val="16"/>
                <w:lang w:val="es-ES" w:eastAsia="en-US"/>
              </w:rPr>
            </w:pPr>
            <w:r>
              <w:rPr>
                <w:rFonts w:cs="Arial"/>
                <w:color w:val="000000"/>
                <w:sz w:val="16"/>
                <w:szCs w:val="16"/>
              </w:rPr>
              <w:t xml:space="preserve">12,398,950,138 </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2D171F0" w14:textId="658165D4" w:rsidR="00A41077" w:rsidRDefault="00A41077" w:rsidP="00A41077">
            <w:pPr>
              <w:spacing w:line="256" w:lineRule="auto"/>
              <w:jc w:val="right"/>
              <w:rPr>
                <w:rFonts w:cs="Arial"/>
                <w:sz w:val="16"/>
                <w:szCs w:val="16"/>
                <w:lang w:val="es-ES" w:eastAsia="en-US"/>
              </w:rPr>
            </w:pPr>
            <w:r>
              <w:rPr>
                <w:rFonts w:cs="Arial"/>
                <w:color w:val="000000"/>
                <w:sz w:val="16"/>
                <w:szCs w:val="16"/>
              </w:rPr>
              <w:t xml:space="preserve">5,610,350,948 </w:t>
            </w:r>
          </w:p>
        </w:tc>
        <w:tc>
          <w:tcPr>
            <w:tcW w:w="1392" w:type="dxa"/>
            <w:tcBorders>
              <w:top w:val="single" w:sz="4" w:space="0" w:color="auto"/>
              <w:left w:val="single" w:sz="4" w:space="0" w:color="auto"/>
              <w:bottom w:val="single" w:sz="4" w:space="0" w:color="auto"/>
              <w:right w:val="single" w:sz="4" w:space="0" w:color="auto"/>
            </w:tcBorders>
            <w:vAlign w:val="center"/>
            <w:hideMark/>
          </w:tcPr>
          <w:p w14:paraId="780CD256" w14:textId="31B7F6EF" w:rsidR="00A41077" w:rsidRDefault="00A41077" w:rsidP="00A41077">
            <w:pPr>
              <w:spacing w:line="256" w:lineRule="auto"/>
              <w:jc w:val="right"/>
              <w:rPr>
                <w:rFonts w:cs="Arial"/>
                <w:sz w:val="16"/>
                <w:szCs w:val="16"/>
                <w:lang w:val="es-ES" w:eastAsia="en-US"/>
              </w:rPr>
            </w:pPr>
            <w:r>
              <w:rPr>
                <w:rFonts w:cs="Arial"/>
                <w:color w:val="000000"/>
                <w:sz w:val="16"/>
                <w:szCs w:val="16"/>
              </w:rPr>
              <w:t xml:space="preserve">18,009,301,086 </w:t>
            </w:r>
          </w:p>
        </w:tc>
      </w:tr>
      <w:tr w:rsidR="00A41077" w14:paraId="2141B2CA" w14:textId="77777777" w:rsidTr="00BF5974">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F2A8494" w14:textId="77777777" w:rsidR="00A41077" w:rsidRDefault="00A41077" w:rsidP="00A41077">
            <w:pPr>
              <w:spacing w:line="256" w:lineRule="auto"/>
              <w:jc w:val="center"/>
              <w:rPr>
                <w:rFonts w:eastAsia="Times New Roman" w:cs="Arial"/>
                <w:sz w:val="16"/>
                <w:szCs w:val="16"/>
                <w:lang w:val="es-ES" w:eastAsia="en-US"/>
              </w:rPr>
            </w:pPr>
            <w:r>
              <w:rPr>
                <w:rFonts w:eastAsia="Times New Roman" w:cs="Arial"/>
                <w:sz w:val="16"/>
                <w:szCs w:val="16"/>
                <w:lang w:val="es-ES" w:eastAsia="en-US"/>
              </w:rPr>
              <w:t>21112</w:t>
            </w:r>
          </w:p>
        </w:tc>
        <w:tc>
          <w:tcPr>
            <w:tcW w:w="3681" w:type="dxa"/>
            <w:tcBorders>
              <w:top w:val="single" w:sz="4" w:space="0" w:color="auto"/>
              <w:left w:val="single" w:sz="4" w:space="0" w:color="auto"/>
              <w:bottom w:val="single" w:sz="4" w:space="0" w:color="auto"/>
              <w:right w:val="single" w:sz="4" w:space="0" w:color="auto"/>
            </w:tcBorders>
            <w:vAlign w:val="center"/>
            <w:hideMark/>
          </w:tcPr>
          <w:p w14:paraId="0D2CE9DA" w14:textId="77777777" w:rsidR="00A41077" w:rsidRDefault="00A41077" w:rsidP="00A41077">
            <w:pPr>
              <w:spacing w:line="256" w:lineRule="auto"/>
              <w:rPr>
                <w:rFonts w:eastAsia="Times New Roman" w:cs="Arial"/>
                <w:sz w:val="16"/>
                <w:szCs w:val="16"/>
                <w:lang w:val="es-ES" w:eastAsia="en-US"/>
              </w:rPr>
            </w:pPr>
            <w:r>
              <w:rPr>
                <w:rFonts w:eastAsia="Times New Roman" w:cs="Arial"/>
                <w:sz w:val="16"/>
                <w:szCs w:val="16"/>
                <w:lang w:val="es-ES" w:eastAsia="en-US"/>
              </w:rPr>
              <w:t>Poder Legislativo.</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F13F9A2" w14:textId="1912B3F3" w:rsidR="00A41077" w:rsidRDefault="00A41077" w:rsidP="00A41077">
            <w:pPr>
              <w:spacing w:line="256" w:lineRule="auto"/>
              <w:jc w:val="right"/>
              <w:rPr>
                <w:rFonts w:cs="Arial"/>
                <w:sz w:val="16"/>
                <w:szCs w:val="16"/>
                <w:lang w:val="es-ES" w:eastAsia="en-US"/>
              </w:rPr>
            </w:pPr>
            <w:r>
              <w:rPr>
                <w:rFonts w:cs="Arial"/>
                <w:color w:val="000000"/>
                <w:sz w:val="16"/>
                <w:szCs w:val="16"/>
              </w:rPr>
              <w:t xml:space="preserve">125,000,000 </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C5C807D" w14:textId="5391B5DA" w:rsidR="00A41077" w:rsidRDefault="00A41077" w:rsidP="00A41077">
            <w:pPr>
              <w:spacing w:line="256" w:lineRule="auto"/>
              <w:jc w:val="right"/>
              <w:rPr>
                <w:rFonts w:cs="Arial"/>
                <w:sz w:val="16"/>
                <w:szCs w:val="16"/>
                <w:lang w:val="es-ES" w:eastAsia="en-US"/>
              </w:rPr>
            </w:pPr>
            <w:r>
              <w:rPr>
                <w:rFonts w:cs="Arial"/>
                <w:color w:val="000000"/>
                <w:sz w:val="16"/>
                <w:szCs w:val="16"/>
              </w:rPr>
              <w:t xml:space="preserve">0 </w:t>
            </w:r>
          </w:p>
        </w:tc>
        <w:tc>
          <w:tcPr>
            <w:tcW w:w="1392" w:type="dxa"/>
            <w:tcBorders>
              <w:top w:val="single" w:sz="4" w:space="0" w:color="auto"/>
              <w:left w:val="single" w:sz="4" w:space="0" w:color="auto"/>
              <w:bottom w:val="single" w:sz="4" w:space="0" w:color="auto"/>
              <w:right w:val="single" w:sz="4" w:space="0" w:color="auto"/>
            </w:tcBorders>
            <w:vAlign w:val="center"/>
            <w:hideMark/>
          </w:tcPr>
          <w:p w14:paraId="53B9FD92" w14:textId="762726E8" w:rsidR="00A41077" w:rsidRDefault="00A41077" w:rsidP="00A41077">
            <w:pPr>
              <w:spacing w:line="256" w:lineRule="auto"/>
              <w:jc w:val="right"/>
              <w:rPr>
                <w:rFonts w:cs="Arial"/>
                <w:sz w:val="16"/>
                <w:szCs w:val="16"/>
                <w:lang w:val="es-ES" w:eastAsia="en-US"/>
              </w:rPr>
            </w:pPr>
            <w:r>
              <w:rPr>
                <w:rFonts w:cs="Arial"/>
                <w:color w:val="000000"/>
                <w:sz w:val="16"/>
                <w:szCs w:val="16"/>
              </w:rPr>
              <w:t xml:space="preserve">125,000,000 </w:t>
            </w:r>
          </w:p>
        </w:tc>
      </w:tr>
      <w:tr w:rsidR="00A41077" w14:paraId="5D6EF7B2" w14:textId="77777777" w:rsidTr="00BF5974">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074C6AC" w14:textId="77777777" w:rsidR="00A41077" w:rsidRDefault="00A41077" w:rsidP="00A41077">
            <w:pPr>
              <w:spacing w:line="256" w:lineRule="auto"/>
              <w:jc w:val="center"/>
              <w:rPr>
                <w:rFonts w:eastAsia="Times New Roman" w:cs="Arial"/>
                <w:sz w:val="16"/>
                <w:szCs w:val="16"/>
                <w:lang w:val="es-ES" w:eastAsia="en-US"/>
              </w:rPr>
            </w:pPr>
            <w:r>
              <w:rPr>
                <w:rFonts w:eastAsia="Times New Roman" w:cs="Arial"/>
                <w:sz w:val="16"/>
                <w:szCs w:val="16"/>
                <w:lang w:val="es-ES" w:eastAsia="en-US"/>
              </w:rPr>
              <w:t>21113</w:t>
            </w:r>
          </w:p>
        </w:tc>
        <w:tc>
          <w:tcPr>
            <w:tcW w:w="3681" w:type="dxa"/>
            <w:tcBorders>
              <w:top w:val="single" w:sz="4" w:space="0" w:color="auto"/>
              <w:left w:val="single" w:sz="4" w:space="0" w:color="auto"/>
              <w:bottom w:val="single" w:sz="4" w:space="0" w:color="auto"/>
              <w:right w:val="single" w:sz="4" w:space="0" w:color="auto"/>
            </w:tcBorders>
            <w:vAlign w:val="center"/>
            <w:hideMark/>
          </w:tcPr>
          <w:p w14:paraId="4AF6A5C7" w14:textId="77777777" w:rsidR="00A41077" w:rsidRDefault="00A41077" w:rsidP="00A41077">
            <w:pPr>
              <w:spacing w:line="256" w:lineRule="auto"/>
              <w:rPr>
                <w:rFonts w:eastAsia="Times New Roman" w:cs="Arial"/>
                <w:sz w:val="16"/>
                <w:szCs w:val="16"/>
                <w:lang w:val="es-ES" w:eastAsia="en-US"/>
              </w:rPr>
            </w:pPr>
            <w:r>
              <w:rPr>
                <w:rFonts w:eastAsia="Times New Roman" w:cs="Arial"/>
                <w:sz w:val="16"/>
                <w:szCs w:val="16"/>
                <w:lang w:val="es-ES" w:eastAsia="en-US"/>
              </w:rPr>
              <w:t>Poder Judicial.</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3428F58" w14:textId="1600CBF4" w:rsidR="00A41077" w:rsidRDefault="00A41077" w:rsidP="00A41077">
            <w:pPr>
              <w:spacing w:line="256" w:lineRule="auto"/>
              <w:jc w:val="right"/>
              <w:rPr>
                <w:rFonts w:cs="Arial"/>
                <w:sz w:val="16"/>
                <w:szCs w:val="16"/>
                <w:lang w:val="es-ES" w:eastAsia="en-US"/>
              </w:rPr>
            </w:pPr>
            <w:r>
              <w:rPr>
                <w:rFonts w:cs="Arial"/>
                <w:color w:val="000000"/>
                <w:sz w:val="16"/>
                <w:szCs w:val="16"/>
              </w:rPr>
              <w:t xml:space="preserve">271,481,600 </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B820AD1" w14:textId="21BD9755" w:rsidR="00A41077" w:rsidRDefault="00A41077" w:rsidP="00A41077">
            <w:pPr>
              <w:spacing w:line="256" w:lineRule="auto"/>
              <w:jc w:val="right"/>
              <w:rPr>
                <w:rFonts w:cs="Arial"/>
                <w:sz w:val="16"/>
                <w:szCs w:val="16"/>
                <w:lang w:val="es-ES" w:eastAsia="en-US"/>
              </w:rPr>
            </w:pPr>
            <w:r>
              <w:rPr>
                <w:rFonts w:cs="Arial"/>
                <w:color w:val="000000"/>
                <w:sz w:val="16"/>
                <w:szCs w:val="16"/>
              </w:rPr>
              <w:t xml:space="preserve">0 </w:t>
            </w:r>
          </w:p>
        </w:tc>
        <w:tc>
          <w:tcPr>
            <w:tcW w:w="1392" w:type="dxa"/>
            <w:tcBorders>
              <w:top w:val="single" w:sz="4" w:space="0" w:color="auto"/>
              <w:left w:val="single" w:sz="4" w:space="0" w:color="auto"/>
              <w:bottom w:val="single" w:sz="4" w:space="0" w:color="auto"/>
              <w:right w:val="single" w:sz="4" w:space="0" w:color="auto"/>
            </w:tcBorders>
            <w:vAlign w:val="center"/>
            <w:hideMark/>
          </w:tcPr>
          <w:p w14:paraId="26E5EAD7" w14:textId="5E9896D1" w:rsidR="00A41077" w:rsidRDefault="00A41077" w:rsidP="00A41077">
            <w:pPr>
              <w:spacing w:line="256" w:lineRule="auto"/>
              <w:jc w:val="right"/>
              <w:rPr>
                <w:rFonts w:cs="Arial"/>
                <w:sz w:val="16"/>
                <w:szCs w:val="16"/>
                <w:lang w:val="es-ES" w:eastAsia="en-US"/>
              </w:rPr>
            </w:pPr>
            <w:r>
              <w:rPr>
                <w:rFonts w:cs="Arial"/>
                <w:color w:val="000000"/>
                <w:sz w:val="16"/>
                <w:szCs w:val="16"/>
              </w:rPr>
              <w:t xml:space="preserve">271,481,600 </w:t>
            </w:r>
          </w:p>
        </w:tc>
      </w:tr>
      <w:tr w:rsidR="00A41077" w14:paraId="7F0BA0B8" w14:textId="77777777" w:rsidTr="00BF5974">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5214D58" w14:textId="77777777" w:rsidR="00A41077" w:rsidRDefault="00A41077" w:rsidP="00A41077">
            <w:pPr>
              <w:spacing w:line="256" w:lineRule="auto"/>
              <w:jc w:val="center"/>
              <w:rPr>
                <w:rFonts w:eastAsia="Times New Roman" w:cs="Arial"/>
                <w:sz w:val="16"/>
                <w:szCs w:val="16"/>
                <w:lang w:val="es-ES" w:eastAsia="en-US"/>
              </w:rPr>
            </w:pPr>
            <w:r>
              <w:rPr>
                <w:rFonts w:eastAsia="Times New Roman" w:cs="Arial"/>
                <w:sz w:val="16"/>
                <w:szCs w:val="16"/>
                <w:lang w:val="es-ES" w:eastAsia="en-US"/>
              </w:rPr>
              <w:t>21114</w:t>
            </w:r>
          </w:p>
        </w:tc>
        <w:tc>
          <w:tcPr>
            <w:tcW w:w="3681" w:type="dxa"/>
            <w:tcBorders>
              <w:top w:val="single" w:sz="4" w:space="0" w:color="auto"/>
              <w:left w:val="single" w:sz="4" w:space="0" w:color="auto"/>
              <w:bottom w:val="single" w:sz="4" w:space="0" w:color="auto"/>
              <w:right w:val="single" w:sz="4" w:space="0" w:color="auto"/>
            </w:tcBorders>
            <w:vAlign w:val="center"/>
            <w:hideMark/>
          </w:tcPr>
          <w:p w14:paraId="69A0EF19" w14:textId="77777777" w:rsidR="00A41077" w:rsidRDefault="00A41077" w:rsidP="00A41077">
            <w:pPr>
              <w:spacing w:line="256" w:lineRule="auto"/>
              <w:rPr>
                <w:rFonts w:eastAsia="Times New Roman" w:cs="Arial"/>
                <w:sz w:val="16"/>
                <w:szCs w:val="16"/>
                <w:lang w:val="es-ES" w:eastAsia="en-US"/>
              </w:rPr>
            </w:pPr>
            <w:r>
              <w:rPr>
                <w:rFonts w:eastAsia="Times New Roman" w:cs="Arial"/>
                <w:sz w:val="16"/>
                <w:szCs w:val="16"/>
                <w:lang w:val="es-ES" w:eastAsia="en-US"/>
              </w:rPr>
              <w:t>Órganos Autónomos del Estado.</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E0192E2" w14:textId="61656758" w:rsidR="00A41077" w:rsidRDefault="00A41077" w:rsidP="00A41077">
            <w:pPr>
              <w:spacing w:line="256" w:lineRule="auto"/>
              <w:jc w:val="right"/>
              <w:rPr>
                <w:rFonts w:cs="Arial"/>
                <w:sz w:val="16"/>
                <w:szCs w:val="16"/>
                <w:lang w:val="es-ES" w:eastAsia="en-US"/>
              </w:rPr>
            </w:pPr>
            <w:r>
              <w:rPr>
                <w:rFonts w:cs="Arial"/>
                <w:color w:val="000000"/>
                <w:sz w:val="16"/>
                <w:szCs w:val="16"/>
              </w:rPr>
              <w:t xml:space="preserve">590,858,419 </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D6CCB27" w14:textId="00B3EE76" w:rsidR="00A41077" w:rsidRDefault="00A41077" w:rsidP="00A41077">
            <w:pPr>
              <w:spacing w:line="256" w:lineRule="auto"/>
              <w:jc w:val="right"/>
              <w:rPr>
                <w:rFonts w:cs="Arial"/>
                <w:sz w:val="16"/>
                <w:szCs w:val="16"/>
                <w:lang w:val="es-ES" w:eastAsia="en-US"/>
              </w:rPr>
            </w:pPr>
            <w:r>
              <w:rPr>
                <w:rFonts w:cs="Arial"/>
                <w:color w:val="000000"/>
                <w:sz w:val="16"/>
                <w:szCs w:val="16"/>
              </w:rPr>
              <w:t xml:space="preserve">161,918,061 </w:t>
            </w:r>
          </w:p>
        </w:tc>
        <w:tc>
          <w:tcPr>
            <w:tcW w:w="1392" w:type="dxa"/>
            <w:tcBorders>
              <w:top w:val="single" w:sz="4" w:space="0" w:color="auto"/>
              <w:left w:val="single" w:sz="4" w:space="0" w:color="auto"/>
              <w:bottom w:val="single" w:sz="4" w:space="0" w:color="auto"/>
              <w:right w:val="single" w:sz="4" w:space="0" w:color="auto"/>
            </w:tcBorders>
            <w:vAlign w:val="center"/>
            <w:hideMark/>
          </w:tcPr>
          <w:p w14:paraId="51BA9C51" w14:textId="6BCE4F1C" w:rsidR="00A41077" w:rsidRDefault="00A41077" w:rsidP="00A41077">
            <w:pPr>
              <w:spacing w:line="256" w:lineRule="auto"/>
              <w:jc w:val="right"/>
              <w:rPr>
                <w:rFonts w:cs="Arial"/>
                <w:sz w:val="16"/>
                <w:szCs w:val="16"/>
                <w:lang w:val="es-ES" w:eastAsia="en-US"/>
              </w:rPr>
            </w:pPr>
            <w:r>
              <w:rPr>
                <w:rFonts w:cs="Arial"/>
                <w:color w:val="000000"/>
                <w:sz w:val="16"/>
                <w:szCs w:val="16"/>
              </w:rPr>
              <w:t xml:space="preserve">752,776,480 </w:t>
            </w:r>
          </w:p>
        </w:tc>
      </w:tr>
      <w:tr w:rsidR="00A41077" w14:paraId="61E08E7B" w14:textId="77777777" w:rsidTr="00BF5974">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C21B61D" w14:textId="77777777" w:rsidR="00A41077" w:rsidRDefault="00A41077" w:rsidP="00A41077">
            <w:pPr>
              <w:spacing w:line="256" w:lineRule="auto"/>
              <w:jc w:val="center"/>
              <w:rPr>
                <w:rFonts w:eastAsia="Times New Roman" w:cs="Arial"/>
                <w:b/>
                <w:bCs/>
                <w:sz w:val="16"/>
                <w:szCs w:val="16"/>
                <w:lang w:val="es-ES" w:eastAsia="en-US"/>
              </w:rPr>
            </w:pPr>
            <w:r>
              <w:rPr>
                <w:rFonts w:eastAsia="Times New Roman" w:cs="Arial"/>
                <w:b/>
                <w:bCs/>
                <w:sz w:val="16"/>
                <w:szCs w:val="16"/>
                <w:lang w:val="es-ES" w:eastAsia="en-US"/>
              </w:rPr>
              <w:t>21120</w:t>
            </w:r>
          </w:p>
        </w:tc>
        <w:tc>
          <w:tcPr>
            <w:tcW w:w="3681" w:type="dxa"/>
            <w:tcBorders>
              <w:top w:val="single" w:sz="4" w:space="0" w:color="auto"/>
              <w:left w:val="single" w:sz="4" w:space="0" w:color="auto"/>
              <w:bottom w:val="single" w:sz="4" w:space="0" w:color="auto"/>
              <w:right w:val="single" w:sz="4" w:space="0" w:color="auto"/>
            </w:tcBorders>
            <w:vAlign w:val="center"/>
            <w:hideMark/>
          </w:tcPr>
          <w:p w14:paraId="34547FBB" w14:textId="77777777" w:rsidR="00A41077" w:rsidRDefault="00A41077" w:rsidP="00A41077">
            <w:pPr>
              <w:spacing w:line="256" w:lineRule="auto"/>
              <w:rPr>
                <w:rFonts w:eastAsia="Times New Roman" w:cs="Arial"/>
                <w:b/>
                <w:bCs/>
                <w:sz w:val="16"/>
                <w:szCs w:val="16"/>
                <w:lang w:val="es-ES" w:eastAsia="en-US"/>
              </w:rPr>
            </w:pPr>
            <w:r>
              <w:rPr>
                <w:rFonts w:eastAsia="Times New Roman" w:cs="Arial"/>
                <w:b/>
                <w:bCs/>
                <w:sz w:val="16"/>
                <w:szCs w:val="16"/>
                <w:lang w:val="es-ES" w:eastAsia="en-US"/>
              </w:rPr>
              <w:t>Entidades Paraestatales y Fideicomisos No Empresariales y No Financieros.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8B4F2E4" w14:textId="5F066FEB" w:rsidR="00A41077" w:rsidRDefault="00A41077" w:rsidP="00A41077">
            <w:pPr>
              <w:spacing w:line="256" w:lineRule="auto"/>
              <w:jc w:val="right"/>
              <w:rPr>
                <w:rFonts w:cs="Arial"/>
                <w:b/>
                <w:bCs/>
                <w:sz w:val="16"/>
                <w:szCs w:val="16"/>
                <w:lang w:val="es-ES" w:eastAsia="en-US"/>
              </w:rPr>
            </w:pPr>
            <w:r>
              <w:rPr>
                <w:rFonts w:cs="Arial"/>
                <w:b/>
                <w:bCs/>
                <w:color w:val="000000"/>
                <w:sz w:val="16"/>
                <w:szCs w:val="16"/>
              </w:rPr>
              <w:t xml:space="preserve">3,482,566,028 </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0D6D305" w14:textId="4ED431F7" w:rsidR="00A41077" w:rsidRDefault="00A41077" w:rsidP="00A41077">
            <w:pPr>
              <w:spacing w:line="256" w:lineRule="auto"/>
              <w:jc w:val="right"/>
              <w:rPr>
                <w:rFonts w:cs="Arial"/>
                <w:b/>
                <w:bCs/>
                <w:sz w:val="16"/>
                <w:szCs w:val="16"/>
                <w:lang w:val="es-ES" w:eastAsia="en-US"/>
              </w:rPr>
            </w:pPr>
            <w:r>
              <w:rPr>
                <w:rFonts w:cs="Arial"/>
                <w:b/>
                <w:bCs/>
                <w:color w:val="000000"/>
                <w:sz w:val="16"/>
                <w:szCs w:val="16"/>
              </w:rPr>
              <w:t xml:space="preserve">2,394,637 </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0C6A3785" w14:textId="7ED85494" w:rsidR="00A41077" w:rsidRDefault="00A41077" w:rsidP="00A41077">
            <w:pPr>
              <w:spacing w:line="256" w:lineRule="auto"/>
              <w:jc w:val="right"/>
              <w:rPr>
                <w:rFonts w:cs="Arial"/>
                <w:b/>
                <w:bCs/>
                <w:sz w:val="16"/>
                <w:szCs w:val="16"/>
                <w:lang w:val="es-ES" w:eastAsia="en-US"/>
              </w:rPr>
            </w:pPr>
            <w:r>
              <w:rPr>
                <w:rFonts w:cs="Arial"/>
                <w:b/>
                <w:bCs/>
                <w:color w:val="000000"/>
                <w:sz w:val="16"/>
                <w:szCs w:val="16"/>
              </w:rPr>
              <w:t xml:space="preserve">3,484,960,665 </w:t>
            </w:r>
          </w:p>
        </w:tc>
      </w:tr>
      <w:tr w:rsidR="00A41077" w14:paraId="25BB8B0D" w14:textId="77777777" w:rsidTr="00BF5974">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EC6E21E" w14:textId="77777777" w:rsidR="00A41077" w:rsidRDefault="00A41077" w:rsidP="00A41077">
            <w:pPr>
              <w:spacing w:line="256" w:lineRule="auto"/>
              <w:jc w:val="center"/>
              <w:rPr>
                <w:rFonts w:eastAsia="Times New Roman" w:cs="Arial"/>
                <w:sz w:val="16"/>
                <w:szCs w:val="16"/>
                <w:lang w:val="es-ES" w:eastAsia="en-US"/>
              </w:rPr>
            </w:pPr>
            <w:r>
              <w:rPr>
                <w:rFonts w:eastAsia="Times New Roman" w:cs="Arial"/>
                <w:sz w:val="16"/>
                <w:szCs w:val="16"/>
                <w:lang w:val="es-ES" w:eastAsia="en-US"/>
              </w:rPr>
              <w:t>21121</w:t>
            </w:r>
          </w:p>
        </w:tc>
        <w:tc>
          <w:tcPr>
            <w:tcW w:w="3681" w:type="dxa"/>
            <w:tcBorders>
              <w:top w:val="single" w:sz="4" w:space="0" w:color="auto"/>
              <w:left w:val="single" w:sz="4" w:space="0" w:color="auto"/>
              <w:bottom w:val="single" w:sz="4" w:space="0" w:color="auto"/>
              <w:right w:val="single" w:sz="4" w:space="0" w:color="auto"/>
            </w:tcBorders>
            <w:vAlign w:val="center"/>
            <w:hideMark/>
          </w:tcPr>
          <w:p w14:paraId="2EDD8625" w14:textId="77777777" w:rsidR="00A41077" w:rsidRDefault="00A41077" w:rsidP="00A41077">
            <w:pPr>
              <w:spacing w:line="256" w:lineRule="auto"/>
              <w:rPr>
                <w:rFonts w:eastAsia="Times New Roman" w:cs="Arial"/>
                <w:sz w:val="16"/>
                <w:szCs w:val="16"/>
                <w:lang w:val="es-ES" w:eastAsia="en-US"/>
              </w:rPr>
            </w:pPr>
            <w:r>
              <w:rPr>
                <w:rFonts w:eastAsia="Times New Roman" w:cs="Arial"/>
                <w:sz w:val="16"/>
                <w:szCs w:val="16"/>
                <w:lang w:val="es-ES" w:eastAsia="en-US"/>
              </w:rPr>
              <w:t>Entidades Paraestatales.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3700CFE" w14:textId="28D5F0CE" w:rsidR="00A41077" w:rsidRDefault="00A41077" w:rsidP="00A41077">
            <w:pPr>
              <w:spacing w:line="256" w:lineRule="auto"/>
              <w:jc w:val="right"/>
              <w:rPr>
                <w:rFonts w:cs="Arial"/>
                <w:sz w:val="16"/>
                <w:szCs w:val="16"/>
                <w:lang w:val="es-ES" w:eastAsia="en-US"/>
              </w:rPr>
            </w:pPr>
            <w:r>
              <w:rPr>
                <w:rFonts w:cs="Arial"/>
                <w:color w:val="000000"/>
                <w:sz w:val="16"/>
                <w:szCs w:val="16"/>
              </w:rPr>
              <w:t xml:space="preserve">3,482,566,028 </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CAF0DB0" w14:textId="08F52CDC" w:rsidR="00A41077" w:rsidRDefault="00A41077" w:rsidP="00A41077">
            <w:pPr>
              <w:spacing w:line="256" w:lineRule="auto"/>
              <w:jc w:val="right"/>
              <w:rPr>
                <w:rFonts w:cs="Arial"/>
                <w:sz w:val="16"/>
                <w:szCs w:val="16"/>
                <w:lang w:val="es-ES" w:eastAsia="en-US"/>
              </w:rPr>
            </w:pPr>
            <w:r>
              <w:rPr>
                <w:rFonts w:cs="Arial"/>
                <w:color w:val="000000"/>
                <w:sz w:val="16"/>
                <w:szCs w:val="16"/>
              </w:rPr>
              <w:t xml:space="preserve">0 </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62AD1996" w14:textId="2183950C" w:rsidR="00A41077" w:rsidRDefault="00A41077" w:rsidP="00A41077">
            <w:pPr>
              <w:spacing w:line="256" w:lineRule="auto"/>
              <w:jc w:val="right"/>
              <w:rPr>
                <w:rFonts w:cs="Arial"/>
                <w:sz w:val="16"/>
                <w:szCs w:val="16"/>
                <w:lang w:val="es-ES" w:eastAsia="en-US"/>
              </w:rPr>
            </w:pPr>
            <w:r>
              <w:rPr>
                <w:rFonts w:cs="Arial"/>
                <w:color w:val="000000"/>
                <w:sz w:val="16"/>
                <w:szCs w:val="16"/>
              </w:rPr>
              <w:t xml:space="preserve">3,482,566,028 </w:t>
            </w:r>
          </w:p>
        </w:tc>
      </w:tr>
      <w:tr w:rsidR="00A41077" w14:paraId="7058270D" w14:textId="77777777" w:rsidTr="00BF5974">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6D2395B" w14:textId="77777777" w:rsidR="00A41077" w:rsidRDefault="00A41077" w:rsidP="00A41077">
            <w:pPr>
              <w:spacing w:line="256" w:lineRule="auto"/>
              <w:jc w:val="center"/>
              <w:rPr>
                <w:rFonts w:eastAsia="Times New Roman" w:cs="Arial"/>
                <w:sz w:val="16"/>
                <w:szCs w:val="16"/>
                <w:lang w:val="es-ES" w:eastAsia="en-US"/>
              </w:rPr>
            </w:pPr>
            <w:r>
              <w:rPr>
                <w:rFonts w:eastAsia="Times New Roman" w:cs="Arial"/>
                <w:sz w:val="16"/>
                <w:szCs w:val="16"/>
                <w:lang w:val="es-ES" w:eastAsia="en-US"/>
              </w:rPr>
              <w:t>21122</w:t>
            </w:r>
          </w:p>
        </w:tc>
        <w:tc>
          <w:tcPr>
            <w:tcW w:w="3681" w:type="dxa"/>
            <w:tcBorders>
              <w:top w:val="single" w:sz="4" w:space="0" w:color="auto"/>
              <w:left w:val="single" w:sz="4" w:space="0" w:color="auto"/>
              <w:bottom w:val="single" w:sz="4" w:space="0" w:color="auto"/>
              <w:right w:val="single" w:sz="4" w:space="0" w:color="auto"/>
            </w:tcBorders>
            <w:vAlign w:val="center"/>
            <w:hideMark/>
          </w:tcPr>
          <w:p w14:paraId="69EF2469" w14:textId="77777777" w:rsidR="00A41077" w:rsidRDefault="00A41077" w:rsidP="00A41077">
            <w:pPr>
              <w:spacing w:line="256" w:lineRule="auto"/>
              <w:rPr>
                <w:rFonts w:eastAsia="Times New Roman" w:cs="Arial"/>
                <w:sz w:val="16"/>
                <w:szCs w:val="16"/>
                <w:lang w:val="es-ES" w:eastAsia="en-US"/>
              </w:rPr>
            </w:pPr>
            <w:r>
              <w:rPr>
                <w:rFonts w:eastAsia="Times New Roman" w:cs="Arial"/>
                <w:sz w:val="16"/>
                <w:szCs w:val="16"/>
                <w:lang w:val="es-ES" w:eastAsia="en-US"/>
              </w:rPr>
              <w:t>Fideicomisos Públicos.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654AD82" w14:textId="375C9AC0" w:rsidR="00A41077" w:rsidRDefault="00A41077" w:rsidP="00A41077">
            <w:pPr>
              <w:spacing w:line="256" w:lineRule="auto"/>
              <w:jc w:val="right"/>
              <w:rPr>
                <w:rFonts w:cs="Arial"/>
                <w:sz w:val="16"/>
                <w:szCs w:val="16"/>
                <w:lang w:val="es-ES" w:eastAsia="en-US"/>
              </w:rPr>
            </w:pPr>
            <w:r>
              <w:rPr>
                <w:rFonts w:cs="Arial"/>
                <w:color w:val="000000"/>
                <w:sz w:val="16"/>
                <w:szCs w:val="16"/>
              </w:rPr>
              <w:t xml:space="preserve">0 </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9911424" w14:textId="610F8D5D" w:rsidR="00A41077" w:rsidRDefault="00A41077" w:rsidP="00A41077">
            <w:pPr>
              <w:spacing w:line="256" w:lineRule="auto"/>
              <w:jc w:val="right"/>
              <w:rPr>
                <w:rFonts w:cs="Arial"/>
                <w:sz w:val="16"/>
                <w:szCs w:val="16"/>
                <w:lang w:val="es-ES" w:eastAsia="en-US"/>
              </w:rPr>
            </w:pPr>
            <w:r>
              <w:rPr>
                <w:rFonts w:cs="Arial"/>
                <w:color w:val="000000"/>
                <w:sz w:val="16"/>
                <w:szCs w:val="16"/>
              </w:rPr>
              <w:t xml:space="preserve">2,394,637 </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5DBE8098" w14:textId="53CD65B9" w:rsidR="00A41077" w:rsidRDefault="00A41077" w:rsidP="00A41077">
            <w:pPr>
              <w:spacing w:line="256" w:lineRule="auto"/>
              <w:jc w:val="right"/>
              <w:rPr>
                <w:rFonts w:cs="Arial"/>
                <w:sz w:val="16"/>
                <w:szCs w:val="16"/>
                <w:lang w:val="es-ES" w:eastAsia="en-US"/>
              </w:rPr>
            </w:pPr>
            <w:r>
              <w:rPr>
                <w:rFonts w:cs="Arial"/>
                <w:color w:val="000000"/>
                <w:sz w:val="16"/>
                <w:szCs w:val="16"/>
              </w:rPr>
              <w:t xml:space="preserve">2,394,637 </w:t>
            </w:r>
          </w:p>
        </w:tc>
      </w:tr>
      <w:tr w:rsidR="00A41077" w14:paraId="7C282B5C" w14:textId="77777777" w:rsidTr="00BF5974">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0DF03C7" w14:textId="77777777" w:rsidR="00A41077" w:rsidRDefault="00A41077" w:rsidP="00A41077">
            <w:pPr>
              <w:spacing w:line="256" w:lineRule="auto"/>
              <w:jc w:val="center"/>
              <w:rPr>
                <w:rFonts w:eastAsia="Times New Roman" w:cs="Arial"/>
                <w:b/>
                <w:bCs/>
                <w:sz w:val="16"/>
                <w:szCs w:val="16"/>
                <w:lang w:val="es-ES" w:eastAsia="en-US"/>
              </w:rPr>
            </w:pPr>
            <w:r>
              <w:rPr>
                <w:rFonts w:eastAsia="Times New Roman" w:cs="Arial"/>
                <w:b/>
                <w:bCs/>
                <w:sz w:val="16"/>
                <w:szCs w:val="16"/>
                <w:lang w:val="es-ES" w:eastAsia="en-US"/>
              </w:rPr>
              <w:t>21130</w:t>
            </w:r>
          </w:p>
        </w:tc>
        <w:tc>
          <w:tcPr>
            <w:tcW w:w="3681" w:type="dxa"/>
            <w:tcBorders>
              <w:top w:val="single" w:sz="4" w:space="0" w:color="auto"/>
              <w:left w:val="single" w:sz="4" w:space="0" w:color="auto"/>
              <w:bottom w:val="single" w:sz="4" w:space="0" w:color="auto"/>
              <w:right w:val="single" w:sz="4" w:space="0" w:color="auto"/>
            </w:tcBorders>
            <w:vAlign w:val="center"/>
            <w:hideMark/>
          </w:tcPr>
          <w:p w14:paraId="06A0AC0F" w14:textId="77777777" w:rsidR="00A41077" w:rsidRDefault="00A41077" w:rsidP="00A41077">
            <w:pPr>
              <w:spacing w:line="256" w:lineRule="auto"/>
              <w:rPr>
                <w:rFonts w:eastAsia="Times New Roman" w:cs="Arial"/>
                <w:b/>
                <w:bCs/>
                <w:sz w:val="16"/>
                <w:szCs w:val="16"/>
                <w:lang w:val="es-ES" w:eastAsia="en-US"/>
              </w:rPr>
            </w:pPr>
            <w:r>
              <w:rPr>
                <w:rFonts w:eastAsia="Times New Roman" w:cs="Arial"/>
                <w:b/>
                <w:bCs/>
                <w:sz w:val="16"/>
                <w:szCs w:val="16"/>
                <w:lang w:val="es-ES" w:eastAsia="en-US"/>
              </w:rPr>
              <w:t>Instituciones Públicas de Seguridad Social.</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CF568DB" w14:textId="4B72FB03" w:rsidR="00A41077" w:rsidRDefault="00A41077" w:rsidP="00A41077">
            <w:pPr>
              <w:spacing w:line="256" w:lineRule="auto"/>
              <w:jc w:val="right"/>
              <w:rPr>
                <w:rFonts w:cs="Arial"/>
                <w:b/>
                <w:bCs/>
                <w:sz w:val="16"/>
                <w:szCs w:val="16"/>
                <w:lang w:val="es-ES" w:eastAsia="en-US"/>
              </w:rPr>
            </w:pPr>
            <w:r>
              <w:rPr>
                <w:rFonts w:cs="Arial"/>
                <w:b/>
                <w:bCs/>
                <w:color w:val="000000"/>
                <w:sz w:val="16"/>
                <w:szCs w:val="16"/>
              </w:rPr>
              <w:t xml:space="preserve">0 </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DC481BE" w14:textId="4D1FB3ED" w:rsidR="00A41077" w:rsidRDefault="00A41077" w:rsidP="00A41077">
            <w:pPr>
              <w:spacing w:line="256" w:lineRule="auto"/>
              <w:jc w:val="right"/>
              <w:rPr>
                <w:rFonts w:cs="Arial"/>
                <w:b/>
                <w:bCs/>
                <w:sz w:val="16"/>
                <w:szCs w:val="16"/>
                <w:lang w:val="es-ES" w:eastAsia="en-US"/>
              </w:rPr>
            </w:pPr>
            <w:r>
              <w:rPr>
                <w:rFonts w:cs="Arial"/>
                <w:b/>
                <w:bCs/>
                <w:color w:val="000000"/>
                <w:sz w:val="16"/>
                <w:szCs w:val="16"/>
              </w:rPr>
              <w:t xml:space="preserve">360,610,448 </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06B22AFF" w14:textId="2D4A4976" w:rsidR="00A41077" w:rsidRDefault="00A41077" w:rsidP="00A41077">
            <w:pPr>
              <w:spacing w:line="256" w:lineRule="auto"/>
              <w:jc w:val="right"/>
              <w:rPr>
                <w:rFonts w:cs="Arial"/>
                <w:b/>
                <w:bCs/>
                <w:sz w:val="16"/>
                <w:szCs w:val="16"/>
                <w:lang w:val="es-ES" w:eastAsia="en-US"/>
              </w:rPr>
            </w:pPr>
            <w:r>
              <w:rPr>
                <w:rFonts w:cs="Arial"/>
                <w:b/>
                <w:bCs/>
                <w:color w:val="000000"/>
                <w:sz w:val="16"/>
                <w:szCs w:val="16"/>
              </w:rPr>
              <w:t xml:space="preserve">360,610,448 </w:t>
            </w:r>
          </w:p>
        </w:tc>
      </w:tr>
      <w:tr w:rsidR="00A41077" w14:paraId="27D86589" w14:textId="77777777" w:rsidTr="00BF5974">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C146780" w14:textId="77777777" w:rsidR="00A41077" w:rsidRDefault="00A41077" w:rsidP="00A41077">
            <w:pPr>
              <w:spacing w:line="256" w:lineRule="auto"/>
              <w:jc w:val="center"/>
              <w:rPr>
                <w:rFonts w:eastAsia="Times New Roman" w:cs="Arial"/>
                <w:sz w:val="16"/>
                <w:szCs w:val="16"/>
                <w:lang w:val="es-ES" w:eastAsia="en-US"/>
              </w:rPr>
            </w:pPr>
            <w:r>
              <w:rPr>
                <w:rFonts w:eastAsia="Times New Roman" w:cs="Arial"/>
                <w:sz w:val="16"/>
                <w:szCs w:val="16"/>
                <w:lang w:val="es-ES" w:eastAsia="en-US"/>
              </w:rPr>
              <w:t>21130</w:t>
            </w:r>
          </w:p>
        </w:tc>
        <w:tc>
          <w:tcPr>
            <w:tcW w:w="3681" w:type="dxa"/>
            <w:tcBorders>
              <w:top w:val="single" w:sz="4" w:space="0" w:color="auto"/>
              <w:left w:val="single" w:sz="4" w:space="0" w:color="auto"/>
              <w:bottom w:val="single" w:sz="4" w:space="0" w:color="auto"/>
              <w:right w:val="single" w:sz="4" w:space="0" w:color="auto"/>
            </w:tcBorders>
            <w:vAlign w:val="center"/>
            <w:hideMark/>
          </w:tcPr>
          <w:p w14:paraId="25D375BD" w14:textId="77777777" w:rsidR="00A41077" w:rsidRDefault="00A41077" w:rsidP="00A41077">
            <w:pPr>
              <w:spacing w:line="256" w:lineRule="auto"/>
              <w:rPr>
                <w:rFonts w:eastAsia="Times New Roman" w:cs="Arial"/>
                <w:sz w:val="16"/>
                <w:szCs w:val="16"/>
                <w:lang w:val="es-ES" w:eastAsia="en-US"/>
              </w:rPr>
            </w:pPr>
            <w:r>
              <w:rPr>
                <w:rFonts w:eastAsia="Times New Roman" w:cs="Arial"/>
                <w:sz w:val="16"/>
                <w:szCs w:val="16"/>
                <w:lang w:val="es-ES" w:eastAsia="en-US"/>
              </w:rPr>
              <w:t>Instituciones Públicas de Seguridad Social.</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C589E24" w14:textId="5AEFB2B4" w:rsidR="00A41077" w:rsidRDefault="00A41077" w:rsidP="00A41077">
            <w:pPr>
              <w:spacing w:line="256" w:lineRule="auto"/>
              <w:jc w:val="right"/>
              <w:rPr>
                <w:rFonts w:cs="Arial"/>
                <w:sz w:val="16"/>
                <w:szCs w:val="16"/>
                <w:lang w:val="es-ES" w:eastAsia="en-US"/>
              </w:rPr>
            </w:pPr>
            <w:r>
              <w:rPr>
                <w:rFonts w:cs="Arial"/>
                <w:color w:val="000000"/>
                <w:sz w:val="16"/>
                <w:szCs w:val="16"/>
              </w:rPr>
              <w:t xml:space="preserve">0 </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EB793AF" w14:textId="0BB2DB29" w:rsidR="00A41077" w:rsidRDefault="00A41077" w:rsidP="00A41077">
            <w:pPr>
              <w:spacing w:line="256" w:lineRule="auto"/>
              <w:jc w:val="right"/>
              <w:rPr>
                <w:rFonts w:cs="Arial"/>
                <w:sz w:val="16"/>
                <w:szCs w:val="16"/>
                <w:lang w:val="es-ES" w:eastAsia="en-US"/>
              </w:rPr>
            </w:pPr>
            <w:r>
              <w:rPr>
                <w:rFonts w:cs="Arial"/>
                <w:color w:val="000000"/>
                <w:sz w:val="16"/>
                <w:szCs w:val="16"/>
              </w:rPr>
              <w:t xml:space="preserve">360,610,448 </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53A97AC9" w14:textId="600BD78F" w:rsidR="00A41077" w:rsidRDefault="00A41077" w:rsidP="00A41077">
            <w:pPr>
              <w:spacing w:line="256" w:lineRule="auto"/>
              <w:jc w:val="right"/>
              <w:rPr>
                <w:rFonts w:cs="Arial"/>
                <w:sz w:val="16"/>
                <w:szCs w:val="16"/>
                <w:lang w:val="es-ES" w:eastAsia="en-US"/>
              </w:rPr>
            </w:pPr>
            <w:r>
              <w:rPr>
                <w:rFonts w:cs="Arial"/>
                <w:color w:val="000000"/>
                <w:sz w:val="16"/>
                <w:szCs w:val="16"/>
              </w:rPr>
              <w:t xml:space="preserve">360,610,448 </w:t>
            </w:r>
          </w:p>
        </w:tc>
      </w:tr>
    </w:tbl>
    <w:p w14:paraId="33BBFD8E" w14:textId="77777777" w:rsidR="00BF5974" w:rsidRDefault="00BF5974" w:rsidP="00BF5974">
      <w:pPr>
        <w:rPr>
          <w:rFonts w:cs="Arial"/>
          <w:lang w:val="es-ES"/>
        </w:rPr>
      </w:pPr>
    </w:p>
    <w:p w14:paraId="31561A15" w14:textId="77777777" w:rsidR="00BF5974" w:rsidRDefault="00BF5974" w:rsidP="00BF5974">
      <w:pPr>
        <w:rPr>
          <w:rFonts w:cs="Arial"/>
          <w:lang w:val="es-ES"/>
        </w:rPr>
      </w:pPr>
      <w:r>
        <w:rPr>
          <w:rFonts w:cs="Arial"/>
          <w:lang w:val="es-ES"/>
        </w:rPr>
        <w:t xml:space="preserve">III. La </w:t>
      </w:r>
      <w:r>
        <w:rPr>
          <w:rFonts w:cs="Arial"/>
          <w:bCs/>
          <w:lang w:val="es-ES"/>
        </w:rPr>
        <w:t>Clasificación Funcional del Gasto</w:t>
      </w:r>
      <w:r>
        <w:rPr>
          <w:rFonts w:cs="Arial"/>
          <w:lang w:val="es-ES"/>
        </w:rPr>
        <w:t>, desglosada a Tercer Nivel, es la siguiente:</w:t>
      </w: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6"/>
        <w:gridCol w:w="1414"/>
        <w:gridCol w:w="1277"/>
        <w:gridCol w:w="1418"/>
      </w:tblGrid>
      <w:tr w:rsidR="00BF5974" w14:paraId="29EC4EB8" w14:textId="77777777" w:rsidTr="00A41077">
        <w:trPr>
          <w:trHeight w:val="20"/>
          <w:tblHeader/>
          <w:jc w:val="center"/>
        </w:trPr>
        <w:tc>
          <w:tcPr>
            <w:tcW w:w="8085" w:type="dxa"/>
            <w:gridSpan w:val="4"/>
            <w:tcBorders>
              <w:top w:val="nil"/>
              <w:left w:val="nil"/>
              <w:bottom w:val="single" w:sz="4" w:space="0" w:color="auto"/>
              <w:right w:val="nil"/>
            </w:tcBorders>
            <w:vAlign w:val="center"/>
            <w:hideMark/>
          </w:tcPr>
          <w:p w14:paraId="034FDD60" w14:textId="77777777" w:rsidR="00BF5974" w:rsidRDefault="00BF5974">
            <w:pPr>
              <w:keepNext/>
              <w:keepLines/>
              <w:spacing w:line="256" w:lineRule="auto"/>
              <w:jc w:val="center"/>
              <w:outlineLvl w:val="1"/>
              <w:rPr>
                <w:rFonts w:eastAsia="Times New Roman" w:cs="Arial"/>
                <w:b/>
                <w:bCs/>
                <w:sz w:val="20"/>
                <w:szCs w:val="16"/>
                <w:lang w:val="es-ES" w:eastAsia="en-US"/>
              </w:rPr>
            </w:pPr>
            <w:bookmarkStart w:id="336" w:name="_Toc22983259"/>
            <w:bookmarkStart w:id="337" w:name="_Toc22022025"/>
            <w:r>
              <w:rPr>
                <w:rFonts w:eastAsia="Times New Roman" w:cs="Arial"/>
                <w:b/>
                <w:sz w:val="20"/>
                <w:szCs w:val="16"/>
                <w:lang w:val="es-ES" w:eastAsia="en-US"/>
              </w:rPr>
              <w:t xml:space="preserve">Tabla 69. Clasificación Funcional del Gasto </w:t>
            </w:r>
            <w:r>
              <w:rPr>
                <w:rFonts w:eastAsia="Times New Roman" w:cs="Arial"/>
                <w:b/>
                <w:sz w:val="20"/>
                <w:szCs w:val="16"/>
                <w:lang w:val="es-ES" w:eastAsia="en-US"/>
              </w:rPr>
              <w:br/>
              <w:t>(Tercer Nivel)</w:t>
            </w:r>
            <w:bookmarkEnd w:id="336"/>
            <w:bookmarkEnd w:id="337"/>
          </w:p>
        </w:tc>
      </w:tr>
      <w:tr w:rsidR="00BF5974" w14:paraId="18387C59" w14:textId="77777777" w:rsidTr="00A41077">
        <w:trPr>
          <w:trHeight w:val="20"/>
          <w:tblHeader/>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6994AE14" w14:textId="77777777" w:rsidR="00BF5974" w:rsidRDefault="00BF5974">
            <w:pPr>
              <w:spacing w:line="256" w:lineRule="auto"/>
              <w:jc w:val="center"/>
              <w:rPr>
                <w:rFonts w:cs="Arial"/>
                <w:b/>
                <w:sz w:val="16"/>
                <w:szCs w:val="16"/>
                <w:lang w:val="es-ES" w:eastAsia="en-US"/>
              </w:rPr>
            </w:pPr>
            <w:r>
              <w:rPr>
                <w:rFonts w:cs="Arial"/>
                <w:b/>
                <w:sz w:val="16"/>
                <w:szCs w:val="16"/>
                <w:lang w:val="es-ES" w:eastAsia="en-US"/>
              </w:rPr>
              <w:t>Concepto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7E71FD1" w14:textId="77777777" w:rsidR="00BF5974" w:rsidRDefault="00BF5974">
            <w:pPr>
              <w:spacing w:line="256" w:lineRule="auto"/>
              <w:jc w:val="center"/>
              <w:rPr>
                <w:rFonts w:cs="Arial"/>
                <w:b/>
                <w:sz w:val="16"/>
                <w:szCs w:val="16"/>
                <w:lang w:val="es-ES" w:eastAsia="en-US"/>
              </w:rPr>
            </w:pPr>
            <w:r>
              <w:rPr>
                <w:rFonts w:cs="Arial"/>
                <w:b/>
                <w:sz w:val="16"/>
                <w:szCs w:val="16"/>
                <w:lang w:val="es-ES" w:eastAsia="en-US"/>
              </w:rPr>
              <w:t>Gasto Programable</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8BC53A4" w14:textId="77777777" w:rsidR="00BF5974" w:rsidRDefault="00BF5974">
            <w:pPr>
              <w:spacing w:line="256" w:lineRule="auto"/>
              <w:jc w:val="center"/>
              <w:rPr>
                <w:rFonts w:cs="Arial"/>
                <w:b/>
                <w:sz w:val="16"/>
                <w:szCs w:val="16"/>
                <w:lang w:val="es-ES" w:eastAsia="en-US"/>
              </w:rPr>
            </w:pPr>
            <w:r>
              <w:rPr>
                <w:rFonts w:cs="Arial"/>
                <w:b/>
                <w:sz w:val="16"/>
                <w:szCs w:val="16"/>
                <w:lang w:val="es-ES" w:eastAsia="en-US"/>
              </w:rPr>
              <w:t>Gasto No Programable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E195B0" w14:textId="77777777" w:rsidR="00BF5974" w:rsidRDefault="00BF5974">
            <w:pPr>
              <w:spacing w:line="256" w:lineRule="auto"/>
              <w:jc w:val="center"/>
              <w:rPr>
                <w:rFonts w:cs="Arial"/>
                <w:b/>
                <w:sz w:val="16"/>
                <w:szCs w:val="16"/>
                <w:lang w:val="es-ES" w:eastAsia="en-US"/>
              </w:rPr>
            </w:pPr>
            <w:r>
              <w:rPr>
                <w:rFonts w:eastAsia="Times New Roman" w:cs="Arial"/>
                <w:b/>
                <w:bCs/>
                <w:sz w:val="16"/>
                <w:szCs w:val="16"/>
                <w:lang w:val="es-ES" w:eastAsia="en-US"/>
              </w:rPr>
              <w:t>Asignación Presupuestal</w:t>
            </w:r>
          </w:p>
        </w:tc>
      </w:tr>
      <w:tr w:rsidR="00A41077" w14:paraId="200A10B1"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4A071C1A"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1. GOBIERNO.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DCDED03" w14:textId="2FBDA9AB" w:rsidR="00A41077" w:rsidRDefault="00A41077" w:rsidP="00A41077">
            <w:pPr>
              <w:spacing w:line="256" w:lineRule="auto"/>
              <w:jc w:val="right"/>
              <w:rPr>
                <w:rFonts w:cs="Arial"/>
                <w:b/>
                <w:sz w:val="16"/>
                <w:szCs w:val="16"/>
                <w:lang w:val="es-ES" w:eastAsia="en-US"/>
              </w:rPr>
            </w:pPr>
            <w:r>
              <w:rPr>
                <w:rFonts w:cs="Arial"/>
                <w:b/>
                <w:bCs/>
                <w:color w:val="000000"/>
                <w:sz w:val="16"/>
                <w:szCs w:val="16"/>
              </w:rPr>
              <w:t>3,083,894,521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00A3E38" w14:textId="45942344" w:rsidR="00A41077" w:rsidRDefault="00A41077" w:rsidP="00A41077">
            <w:pPr>
              <w:spacing w:line="256" w:lineRule="auto"/>
              <w:jc w:val="right"/>
              <w:rPr>
                <w:rFonts w:cs="Arial"/>
                <w:b/>
                <w:sz w:val="16"/>
                <w:szCs w:val="16"/>
                <w:lang w:val="es-ES" w:eastAsia="en-US"/>
              </w:rPr>
            </w:pPr>
            <w:r>
              <w:rPr>
                <w:rFonts w:cs="Arial"/>
                <w:b/>
                <w:bCs/>
                <w:color w:val="000000"/>
                <w:sz w:val="16"/>
                <w:szCs w:val="16"/>
              </w:rPr>
              <w:t>163,718,061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01B1AE" w14:textId="79035019" w:rsidR="00A41077" w:rsidRDefault="00A41077" w:rsidP="00A41077">
            <w:pPr>
              <w:spacing w:line="256" w:lineRule="auto"/>
              <w:jc w:val="right"/>
              <w:rPr>
                <w:rFonts w:cs="Arial"/>
                <w:b/>
                <w:sz w:val="16"/>
                <w:szCs w:val="16"/>
                <w:lang w:val="es-ES" w:eastAsia="en-US"/>
              </w:rPr>
            </w:pPr>
            <w:r>
              <w:rPr>
                <w:rFonts w:cs="Arial"/>
                <w:b/>
                <w:bCs/>
                <w:color w:val="000000"/>
                <w:sz w:val="16"/>
                <w:szCs w:val="16"/>
              </w:rPr>
              <w:t>3,247,612,582</w:t>
            </w:r>
          </w:p>
        </w:tc>
      </w:tr>
      <w:tr w:rsidR="00A41077" w14:paraId="2ECAFAB0"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3D2F1DC8"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1.1 LEGISLACIÓN.</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396666F" w14:textId="10A4471E" w:rsidR="00A41077" w:rsidRDefault="00A41077" w:rsidP="00A41077">
            <w:pPr>
              <w:spacing w:line="256" w:lineRule="auto"/>
              <w:jc w:val="right"/>
              <w:rPr>
                <w:rFonts w:cs="Arial"/>
                <w:b/>
                <w:sz w:val="16"/>
                <w:szCs w:val="16"/>
                <w:lang w:val="es-ES" w:eastAsia="en-US"/>
              </w:rPr>
            </w:pPr>
            <w:r>
              <w:rPr>
                <w:rFonts w:cs="Arial"/>
                <w:b/>
                <w:bCs/>
                <w:color w:val="000000"/>
                <w:sz w:val="16"/>
                <w:szCs w:val="16"/>
              </w:rPr>
              <w:t>169,000,000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BE495ED" w14:textId="50247DEF"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588AA1" w14:textId="56C83DDE" w:rsidR="00A41077" w:rsidRDefault="00A41077" w:rsidP="00A41077">
            <w:pPr>
              <w:spacing w:line="256" w:lineRule="auto"/>
              <w:jc w:val="right"/>
              <w:rPr>
                <w:rFonts w:cs="Arial"/>
                <w:b/>
                <w:sz w:val="16"/>
                <w:szCs w:val="16"/>
                <w:lang w:val="es-ES" w:eastAsia="en-US"/>
              </w:rPr>
            </w:pPr>
            <w:r>
              <w:rPr>
                <w:rFonts w:cs="Arial"/>
                <w:b/>
                <w:bCs/>
                <w:color w:val="000000"/>
                <w:sz w:val="16"/>
                <w:szCs w:val="16"/>
              </w:rPr>
              <w:t>169,000,000</w:t>
            </w:r>
          </w:p>
        </w:tc>
      </w:tr>
      <w:tr w:rsidR="00A41077" w14:paraId="71EF85ED"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3BFFEE41" w14:textId="77777777" w:rsidR="00A41077" w:rsidRDefault="00A41077" w:rsidP="00A41077">
            <w:pPr>
              <w:spacing w:line="256" w:lineRule="auto"/>
              <w:rPr>
                <w:rFonts w:cs="Arial"/>
                <w:sz w:val="16"/>
                <w:szCs w:val="16"/>
                <w:lang w:val="es-ES" w:eastAsia="en-US"/>
              </w:rPr>
            </w:pPr>
            <w:r>
              <w:rPr>
                <w:rFonts w:cs="Arial"/>
                <w:sz w:val="16"/>
                <w:szCs w:val="16"/>
                <w:lang w:val="es-ES" w:eastAsia="en-US"/>
              </w:rPr>
              <w:t>1.1.1 Legislación.</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46415EB" w14:textId="4E0E3E29" w:rsidR="00A41077" w:rsidRDefault="00A41077" w:rsidP="00A41077">
            <w:pPr>
              <w:spacing w:line="256" w:lineRule="auto"/>
              <w:jc w:val="right"/>
              <w:rPr>
                <w:rFonts w:cs="Arial"/>
                <w:sz w:val="16"/>
                <w:szCs w:val="16"/>
                <w:lang w:val="es-ES" w:eastAsia="en-US"/>
              </w:rPr>
            </w:pPr>
            <w:r>
              <w:rPr>
                <w:rFonts w:cs="Arial"/>
                <w:color w:val="000000"/>
                <w:sz w:val="16"/>
                <w:szCs w:val="16"/>
              </w:rPr>
              <w:t>125,000,000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EA9BE32" w14:textId="51EE8F83"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F27E9A" w14:textId="6CBFA71F" w:rsidR="00A41077" w:rsidRDefault="00A41077" w:rsidP="00A41077">
            <w:pPr>
              <w:spacing w:line="256" w:lineRule="auto"/>
              <w:jc w:val="right"/>
              <w:rPr>
                <w:rFonts w:cs="Arial"/>
                <w:sz w:val="16"/>
                <w:szCs w:val="16"/>
                <w:lang w:val="es-ES" w:eastAsia="en-US"/>
              </w:rPr>
            </w:pPr>
            <w:r>
              <w:rPr>
                <w:rFonts w:cs="Arial"/>
                <w:color w:val="000000"/>
                <w:sz w:val="16"/>
                <w:szCs w:val="16"/>
              </w:rPr>
              <w:t>125,000,000</w:t>
            </w:r>
          </w:p>
        </w:tc>
      </w:tr>
      <w:tr w:rsidR="00A41077" w14:paraId="035B4E93"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0CF1C6D8" w14:textId="77777777" w:rsidR="00A41077" w:rsidRDefault="00A41077" w:rsidP="00A41077">
            <w:pPr>
              <w:spacing w:line="256" w:lineRule="auto"/>
              <w:rPr>
                <w:rFonts w:cs="Arial"/>
                <w:sz w:val="16"/>
                <w:szCs w:val="16"/>
                <w:lang w:val="es-ES" w:eastAsia="en-US"/>
              </w:rPr>
            </w:pPr>
            <w:r>
              <w:rPr>
                <w:rFonts w:cs="Arial"/>
                <w:sz w:val="16"/>
                <w:szCs w:val="16"/>
                <w:lang w:val="es-ES" w:eastAsia="en-US"/>
              </w:rPr>
              <w:t>1.1.2 Fiscalización.</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2660125" w14:textId="0826DE6D" w:rsidR="00A41077" w:rsidRDefault="00A41077" w:rsidP="00A41077">
            <w:pPr>
              <w:spacing w:line="256" w:lineRule="auto"/>
              <w:jc w:val="right"/>
              <w:rPr>
                <w:rFonts w:cs="Arial"/>
                <w:sz w:val="16"/>
                <w:szCs w:val="16"/>
                <w:lang w:val="es-ES" w:eastAsia="en-US"/>
              </w:rPr>
            </w:pPr>
            <w:r>
              <w:rPr>
                <w:rFonts w:cs="Arial"/>
                <w:color w:val="000000"/>
                <w:sz w:val="16"/>
                <w:szCs w:val="16"/>
              </w:rPr>
              <w:t>44,000,000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E46B685" w14:textId="0116BE27"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D4CA22" w14:textId="17FBA03F" w:rsidR="00A41077" w:rsidRDefault="00A41077" w:rsidP="00A41077">
            <w:pPr>
              <w:spacing w:line="256" w:lineRule="auto"/>
              <w:jc w:val="right"/>
              <w:rPr>
                <w:rFonts w:cs="Arial"/>
                <w:sz w:val="16"/>
                <w:szCs w:val="16"/>
                <w:lang w:val="es-ES" w:eastAsia="en-US"/>
              </w:rPr>
            </w:pPr>
            <w:r>
              <w:rPr>
                <w:rFonts w:cs="Arial"/>
                <w:color w:val="000000"/>
                <w:sz w:val="16"/>
                <w:szCs w:val="16"/>
              </w:rPr>
              <w:t>44,000,000</w:t>
            </w:r>
          </w:p>
        </w:tc>
      </w:tr>
      <w:tr w:rsidR="00A41077" w14:paraId="7F154862"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60E2172C"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1.2 JUSTICIA.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C9FCE8C" w14:textId="38C64C13" w:rsidR="00A41077" w:rsidRDefault="00A41077" w:rsidP="00A41077">
            <w:pPr>
              <w:spacing w:line="256" w:lineRule="auto"/>
              <w:jc w:val="right"/>
              <w:rPr>
                <w:rFonts w:cs="Arial"/>
                <w:b/>
                <w:sz w:val="16"/>
                <w:szCs w:val="16"/>
                <w:lang w:val="es-ES" w:eastAsia="en-US"/>
              </w:rPr>
            </w:pPr>
            <w:r>
              <w:rPr>
                <w:rFonts w:cs="Arial"/>
                <w:b/>
                <w:bCs/>
                <w:color w:val="000000"/>
                <w:sz w:val="16"/>
                <w:szCs w:val="16"/>
              </w:rPr>
              <w:t>1,042,354,662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9C3A959" w14:textId="6FDD7A4D" w:rsidR="00A41077" w:rsidRDefault="00A41077" w:rsidP="00A41077">
            <w:pPr>
              <w:spacing w:line="256" w:lineRule="auto"/>
              <w:jc w:val="right"/>
              <w:rPr>
                <w:rFonts w:cs="Arial"/>
                <w:b/>
                <w:sz w:val="16"/>
                <w:szCs w:val="16"/>
                <w:lang w:val="es-ES" w:eastAsia="en-US"/>
              </w:rPr>
            </w:pPr>
            <w:r>
              <w:rPr>
                <w:rFonts w:cs="Arial"/>
                <w:b/>
                <w:bCs/>
                <w:color w:val="000000"/>
                <w:sz w:val="16"/>
                <w:szCs w:val="16"/>
              </w:rPr>
              <w:t>54,487,757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44A906" w14:textId="712C2D3C" w:rsidR="00A41077" w:rsidRDefault="00A41077" w:rsidP="00A41077">
            <w:pPr>
              <w:spacing w:line="256" w:lineRule="auto"/>
              <w:jc w:val="right"/>
              <w:rPr>
                <w:rFonts w:cs="Arial"/>
                <w:b/>
                <w:sz w:val="16"/>
                <w:szCs w:val="16"/>
                <w:lang w:val="es-ES" w:eastAsia="en-US"/>
              </w:rPr>
            </w:pPr>
            <w:r>
              <w:rPr>
                <w:rFonts w:cs="Arial"/>
                <w:b/>
                <w:bCs/>
                <w:color w:val="000000"/>
                <w:sz w:val="16"/>
                <w:szCs w:val="16"/>
              </w:rPr>
              <w:t>1,096,842,419</w:t>
            </w:r>
          </w:p>
        </w:tc>
      </w:tr>
      <w:tr w:rsidR="00A41077" w14:paraId="6AEF4CC4"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6E86C572" w14:textId="77777777" w:rsidR="00A41077" w:rsidRDefault="00A41077" w:rsidP="00A41077">
            <w:pPr>
              <w:spacing w:line="256" w:lineRule="auto"/>
              <w:rPr>
                <w:rFonts w:cs="Arial"/>
                <w:sz w:val="16"/>
                <w:szCs w:val="16"/>
                <w:lang w:val="es-ES" w:eastAsia="en-US"/>
              </w:rPr>
            </w:pPr>
            <w:r>
              <w:rPr>
                <w:rFonts w:cs="Arial"/>
                <w:sz w:val="16"/>
                <w:szCs w:val="16"/>
                <w:lang w:val="es-ES" w:eastAsia="en-US"/>
              </w:rPr>
              <w:t>1.2.1 Impartición de Justicia.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3518B58" w14:textId="41980D78" w:rsidR="00A41077" w:rsidRDefault="00A41077" w:rsidP="00A41077">
            <w:pPr>
              <w:spacing w:line="256" w:lineRule="auto"/>
              <w:jc w:val="right"/>
              <w:rPr>
                <w:rFonts w:cs="Arial"/>
                <w:sz w:val="16"/>
                <w:szCs w:val="16"/>
                <w:lang w:val="es-ES" w:eastAsia="en-US"/>
              </w:rPr>
            </w:pPr>
            <w:r>
              <w:rPr>
                <w:rFonts w:cs="Arial"/>
                <w:color w:val="000000"/>
                <w:sz w:val="16"/>
                <w:szCs w:val="16"/>
              </w:rPr>
              <w:t>280,134,400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A5B7C39" w14:textId="7D46315D" w:rsidR="00A41077" w:rsidRDefault="00A41077" w:rsidP="00A41077">
            <w:pPr>
              <w:spacing w:line="256" w:lineRule="auto"/>
              <w:jc w:val="right"/>
              <w:rPr>
                <w:rFonts w:cs="Arial"/>
                <w:sz w:val="16"/>
                <w:szCs w:val="16"/>
                <w:lang w:val="es-ES" w:eastAsia="en-US"/>
              </w:rPr>
            </w:pPr>
            <w:r>
              <w:rPr>
                <w:rFonts w:cs="Arial"/>
                <w:color w:val="000000"/>
                <w:sz w:val="16"/>
                <w:szCs w:val="16"/>
              </w:rPr>
              <w:t>54,487,757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B9549A" w14:textId="3162EBC0" w:rsidR="00A41077" w:rsidRDefault="00A41077" w:rsidP="00A41077">
            <w:pPr>
              <w:spacing w:line="256" w:lineRule="auto"/>
              <w:jc w:val="right"/>
              <w:rPr>
                <w:rFonts w:cs="Arial"/>
                <w:sz w:val="16"/>
                <w:szCs w:val="16"/>
                <w:lang w:val="es-ES" w:eastAsia="en-US"/>
              </w:rPr>
            </w:pPr>
            <w:r>
              <w:rPr>
                <w:rFonts w:cs="Arial"/>
                <w:color w:val="000000"/>
                <w:sz w:val="16"/>
                <w:szCs w:val="16"/>
              </w:rPr>
              <w:t>334,622,157</w:t>
            </w:r>
          </w:p>
        </w:tc>
      </w:tr>
      <w:tr w:rsidR="00A41077" w14:paraId="4D273632"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960FD93" w14:textId="77777777" w:rsidR="00A41077" w:rsidRDefault="00A41077" w:rsidP="00A41077">
            <w:pPr>
              <w:spacing w:line="256" w:lineRule="auto"/>
              <w:rPr>
                <w:rFonts w:cs="Arial"/>
                <w:sz w:val="16"/>
                <w:szCs w:val="16"/>
                <w:lang w:val="es-ES" w:eastAsia="en-US"/>
              </w:rPr>
            </w:pPr>
            <w:r>
              <w:rPr>
                <w:rFonts w:cs="Arial"/>
                <w:sz w:val="16"/>
                <w:szCs w:val="16"/>
                <w:lang w:val="es-ES" w:eastAsia="en-US"/>
              </w:rPr>
              <w:t>1.2.2 Procuración de Justicia.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8ECF2B5" w14:textId="49172343" w:rsidR="00A41077" w:rsidRDefault="00A41077" w:rsidP="00A41077">
            <w:pPr>
              <w:spacing w:line="256" w:lineRule="auto"/>
              <w:jc w:val="right"/>
              <w:rPr>
                <w:rFonts w:cs="Arial"/>
                <w:sz w:val="16"/>
                <w:szCs w:val="16"/>
                <w:lang w:val="es-ES" w:eastAsia="en-US"/>
              </w:rPr>
            </w:pPr>
            <w:r>
              <w:rPr>
                <w:rFonts w:cs="Arial"/>
                <w:color w:val="000000"/>
                <w:sz w:val="16"/>
                <w:szCs w:val="16"/>
              </w:rPr>
              <w:t>500,422,055</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527B86F" w14:textId="6CB12BB8"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DB5A61" w14:textId="332AD990" w:rsidR="00A41077" w:rsidRDefault="00A41077" w:rsidP="00A41077">
            <w:pPr>
              <w:spacing w:line="256" w:lineRule="auto"/>
              <w:jc w:val="right"/>
              <w:rPr>
                <w:rFonts w:cs="Arial"/>
                <w:sz w:val="16"/>
                <w:szCs w:val="16"/>
                <w:lang w:val="es-ES" w:eastAsia="en-US"/>
              </w:rPr>
            </w:pPr>
            <w:r>
              <w:rPr>
                <w:rFonts w:cs="Arial"/>
                <w:color w:val="000000"/>
                <w:sz w:val="16"/>
                <w:szCs w:val="16"/>
              </w:rPr>
              <w:t>500,422,055</w:t>
            </w:r>
          </w:p>
        </w:tc>
      </w:tr>
      <w:tr w:rsidR="00A41077" w14:paraId="6CCD8489"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456F8D9" w14:textId="77777777" w:rsidR="00A41077" w:rsidRDefault="00A41077" w:rsidP="00A41077">
            <w:pPr>
              <w:spacing w:line="256" w:lineRule="auto"/>
              <w:rPr>
                <w:rFonts w:cs="Arial"/>
                <w:sz w:val="16"/>
                <w:szCs w:val="16"/>
                <w:lang w:val="es-ES" w:eastAsia="en-US"/>
              </w:rPr>
            </w:pPr>
            <w:r>
              <w:rPr>
                <w:rFonts w:cs="Arial"/>
                <w:sz w:val="16"/>
                <w:szCs w:val="16"/>
                <w:lang w:val="es-ES" w:eastAsia="en-US"/>
              </w:rPr>
              <w:t>1.2.3 Reclusión y Readaptación Social.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795911F" w14:textId="4982982D" w:rsidR="00A41077" w:rsidRDefault="00A41077" w:rsidP="00A41077">
            <w:pPr>
              <w:spacing w:line="256" w:lineRule="auto"/>
              <w:jc w:val="right"/>
              <w:rPr>
                <w:rFonts w:cs="Arial"/>
                <w:sz w:val="16"/>
                <w:szCs w:val="16"/>
                <w:lang w:val="es-ES" w:eastAsia="en-US"/>
              </w:rPr>
            </w:pPr>
            <w:r>
              <w:rPr>
                <w:rFonts w:cs="Arial"/>
                <w:color w:val="000000"/>
                <w:sz w:val="16"/>
                <w:szCs w:val="16"/>
              </w:rPr>
              <w:t>246,775,200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FED2881" w14:textId="625000F2"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37B953" w14:textId="09E546D8" w:rsidR="00A41077" w:rsidRDefault="00A41077" w:rsidP="00A41077">
            <w:pPr>
              <w:spacing w:line="256" w:lineRule="auto"/>
              <w:jc w:val="right"/>
              <w:rPr>
                <w:rFonts w:cs="Arial"/>
                <w:sz w:val="16"/>
                <w:szCs w:val="16"/>
                <w:lang w:val="es-ES" w:eastAsia="en-US"/>
              </w:rPr>
            </w:pPr>
            <w:r>
              <w:rPr>
                <w:rFonts w:cs="Arial"/>
                <w:color w:val="000000"/>
                <w:sz w:val="16"/>
                <w:szCs w:val="16"/>
              </w:rPr>
              <w:t>246,775,200</w:t>
            </w:r>
          </w:p>
        </w:tc>
      </w:tr>
      <w:tr w:rsidR="00A41077" w14:paraId="3D10653B"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23625E61" w14:textId="77777777" w:rsidR="00A41077" w:rsidRDefault="00A41077" w:rsidP="00A41077">
            <w:pPr>
              <w:spacing w:line="256" w:lineRule="auto"/>
              <w:rPr>
                <w:rFonts w:cs="Arial"/>
                <w:sz w:val="16"/>
                <w:szCs w:val="16"/>
                <w:lang w:val="es-ES" w:eastAsia="en-US"/>
              </w:rPr>
            </w:pPr>
            <w:r>
              <w:rPr>
                <w:rFonts w:cs="Arial"/>
                <w:sz w:val="16"/>
                <w:szCs w:val="16"/>
                <w:lang w:val="es-ES" w:eastAsia="en-US"/>
              </w:rPr>
              <w:lastRenderedPageBreak/>
              <w:t>1.2.4 Derechos Humanos.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FCB6437" w14:textId="7165FA73" w:rsidR="00A41077" w:rsidRDefault="00A41077" w:rsidP="00A41077">
            <w:pPr>
              <w:spacing w:line="256" w:lineRule="auto"/>
              <w:jc w:val="right"/>
              <w:rPr>
                <w:rFonts w:cs="Arial"/>
                <w:sz w:val="16"/>
                <w:szCs w:val="16"/>
                <w:lang w:val="es-ES" w:eastAsia="en-US"/>
              </w:rPr>
            </w:pPr>
            <w:r>
              <w:rPr>
                <w:rFonts w:cs="Arial"/>
                <w:color w:val="000000"/>
                <w:sz w:val="16"/>
                <w:szCs w:val="16"/>
              </w:rPr>
              <w:t>15,023,007</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8D05592" w14:textId="4A56CAB9"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6F6F5F" w14:textId="23A5B8E6" w:rsidR="00A41077" w:rsidRDefault="00A41077" w:rsidP="00A41077">
            <w:pPr>
              <w:spacing w:line="256" w:lineRule="auto"/>
              <w:jc w:val="right"/>
              <w:rPr>
                <w:rFonts w:cs="Arial"/>
                <w:sz w:val="16"/>
                <w:szCs w:val="16"/>
                <w:lang w:val="es-ES" w:eastAsia="en-US"/>
              </w:rPr>
            </w:pPr>
            <w:r>
              <w:rPr>
                <w:rFonts w:cs="Arial"/>
                <w:color w:val="000000"/>
                <w:sz w:val="16"/>
                <w:szCs w:val="16"/>
              </w:rPr>
              <w:t>15,023,007</w:t>
            </w:r>
          </w:p>
        </w:tc>
      </w:tr>
      <w:tr w:rsidR="00A41077" w14:paraId="5A1F3578"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39085A7B"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1.3 COORDINACIÓN DE LA POLÍTICA DE GOBIERNO.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083F68E" w14:textId="1C457C06" w:rsidR="00A41077" w:rsidRDefault="00A41077" w:rsidP="00A41077">
            <w:pPr>
              <w:spacing w:line="256" w:lineRule="auto"/>
              <w:jc w:val="right"/>
              <w:rPr>
                <w:rFonts w:cs="Arial"/>
                <w:b/>
                <w:sz w:val="16"/>
                <w:szCs w:val="16"/>
                <w:lang w:val="es-ES" w:eastAsia="en-US"/>
              </w:rPr>
            </w:pPr>
            <w:r>
              <w:rPr>
                <w:rFonts w:cs="Arial"/>
                <w:b/>
                <w:bCs/>
                <w:color w:val="000000"/>
                <w:sz w:val="16"/>
                <w:szCs w:val="16"/>
              </w:rPr>
              <w:t>251,521,715</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1965F35" w14:textId="7B5EFC3A" w:rsidR="00A41077" w:rsidRDefault="00A41077" w:rsidP="00A41077">
            <w:pPr>
              <w:spacing w:line="256" w:lineRule="auto"/>
              <w:jc w:val="right"/>
              <w:rPr>
                <w:rFonts w:cs="Arial"/>
                <w:b/>
                <w:sz w:val="16"/>
                <w:szCs w:val="16"/>
                <w:lang w:val="es-ES" w:eastAsia="en-US"/>
              </w:rPr>
            </w:pPr>
            <w:r>
              <w:rPr>
                <w:rFonts w:cs="Arial"/>
                <w:b/>
                <w:bCs/>
                <w:color w:val="000000"/>
                <w:sz w:val="16"/>
                <w:szCs w:val="16"/>
              </w:rPr>
              <w:t>107,430,304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CF41E1" w14:textId="2D3768A9" w:rsidR="00A41077" w:rsidRDefault="00A41077" w:rsidP="00A41077">
            <w:pPr>
              <w:spacing w:line="256" w:lineRule="auto"/>
              <w:jc w:val="right"/>
              <w:rPr>
                <w:rFonts w:cs="Arial"/>
                <w:b/>
                <w:sz w:val="16"/>
                <w:szCs w:val="16"/>
                <w:lang w:val="es-ES" w:eastAsia="en-US"/>
              </w:rPr>
            </w:pPr>
            <w:r>
              <w:rPr>
                <w:rFonts w:cs="Arial"/>
                <w:b/>
                <w:bCs/>
                <w:color w:val="000000"/>
                <w:sz w:val="16"/>
                <w:szCs w:val="16"/>
              </w:rPr>
              <w:t>358,952,019</w:t>
            </w:r>
          </w:p>
        </w:tc>
      </w:tr>
      <w:tr w:rsidR="00A41077" w14:paraId="56F47A90"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A53299C" w14:textId="77777777" w:rsidR="00A41077" w:rsidRDefault="00A41077" w:rsidP="00A41077">
            <w:pPr>
              <w:spacing w:line="256" w:lineRule="auto"/>
              <w:rPr>
                <w:rFonts w:cs="Arial"/>
                <w:sz w:val="16"/>
                <w:szCs w:val="16"/>
                <w:lang w:val="es-ES" w:eastAsia="en-US"/>
              </w:rPr>
            </w:pPr>
            <w:r>
              <w:rPr>
                <w:rFonts w:cs="Arial"/>
                <w:sz w:val="16"/>
                <w:szCs w:val="16"/>
                <w:lang w:val="es-ES" w:eastAsia="en-US"/>
              </w:rPr>
              <w:t>1.3.1 Presidencia / Gubernatura.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37050E3" w14:textId="1EC62031" w:rsidR="00A41077" w:rsidRDefault="00A41077" w:rsidP="00A41077">
            <w:pPr>
              <w:spacing w:line="256" w:lineRule="auto"/>
              <w:jc w:val="right"/>
              <w:rPr>
                <w:rFonts w:cs="Arial"/>
                <w:sz w:val="16"/>
                <w:szCs w:val="16"/>
                <w:lang w:val="es-ES" w:eastAsia="en-US"/>
              </w:rPr>
            </w:pPr>
            <w:r>
              <w:rPr>
                <w:rFonts w:cs="Arial"/>
                <w:color w:val="000000"/>
                <w:sz w:val="16"/>
                <w:szCs w:val="16"/>
              </w:rPr>
              <w:t>95,842,291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6DC012F" w14:textId="3DCB4AF4"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26576B" w14:textId="1F369D14" w:rsidR="00A41077" w:rsidRDefault="00A41077" w:rsidP="00A41077">
            <w:pPr>
              <w:spacing w:line="256" w:lineRule="auto"/>
              <w:jc w:val="right"/>
              <w:rPr>
                <w:rFonts w:cs="Arial"/>
                <w:sz w:val="16"/>
                <w:szCs w:val="16"/>
                <w:lang w:val="es-ES" w:eastAsia="en-US"/>
              </w:rPr>
            </w:pPr>
            <w:r>
              <w:rPr>
                <w:rFonts w:cs="Arial"/>
                <w:color w:val="000000"/>
                <w:sz w:val="16"/>
                <w:szCs w:val="16"/>
              </w:rPr>
              <w:t>95,842,291</w:t>
            </w:r>
          </w:p>
        </w:tc>
      </w:tr>
      <w:tr w:rsidR="00A41077" w14:paraId="1F396E52"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C0EC638" w14:textId="77777777" w:rsidR="00A41077" w:rsidRDefault="00A41077" w:rsidP="00A41077">
            <w:pPr>
              <w:spacing w:line="256" w:lineRule="auto"/>
              <w:rPr>
                <w:rFonts w:cs="Arial"/>
                <w:sz w:val="16"/>
                <w:szCs w:val="16"/>
                <w:lang w:val="es-ES" w:eastAsia="en-US"/>
              </w:rPr>
            </w:pPr>
            <w:r>
              <w:rPr>
                <w:rFonts w:cs="Arial"/>
                <w:sz w:val="16"/>
                <w:szCs w:val="16"/>
                <w:lang w:val="es-ES" w:eastAsia="en-US"/>
              </w:rPr>
              <w:t>1.3.2 Política Interior.</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DD73F5D" w14:textId="3C078EB4" w:rsidR="00A41077" w:rsidRDefault="00A41077" w:rsidP="00A41077">
            <w:pPr>
              <w:spacing w:line="256" w:lineRule="auto"/>
              <w:jc w:val="right"/>
              <w:rPr>
                <w:rFonts w:cs="Arial"/>
                <w:sz w:val="16"/>
                <w:szCs w:val="16"/>
                <w:lang w:val="es-ES" w:eastAsia="en-US"/>
              </w:rPr>
            </w:pPr>
            <w:r>
              <w:rPr>
                <w:rFonts w:cs="Arial"/>
                <w:color w:val="000000"/>
                <w:sz w:val="16"/>
                <w:szCs w:val="16"/>
              </w:rPr>
              <w:t>85,598,554</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5A6B7B7" w14:textId="08D1F78D"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E2B4A9" w14:textId="342582F4" w:rsidR="00A41077" w:rsidRDefault="00A41077" w:rsidP="00A41077">
            <w:pPr>
              <w:spacing w:line="256" w:lineRule="auto"/>
              <w:jc w:val="right"/>
              <w:rPr>
                <w:rFonts w:cs="Arial"/>
                <w:sz w:val="16"/>
                <w:szCs w:val="16"/>
                <w:lang w:val="es-ES" w:eastAsia="en-US"/>
              </w:rPr>
            </w:pPr>
            <w:r>
              <w:rPr>
                <w:rFonts w:cs="Arial"/>
                <w:color w:val="000000"/>
                <w:sz w:val="16"/>
                <w:szCs w:val="16"/>
              </w:rPr>
              <w:t>85,598,554</w:t>
            </w:r>
          </w:p>
        </w:tc>
      </w:tr>
      <w:tr w:rsidR="00A41077" w14:paraId="23381931"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949F8BB" w14:textId="77777777" w:rsidR="00A41077" w:rsidRDefault="00A41077" w:rsidP="00A41077">
            <w:pPr>
              <w:spacing w:line="256" w:lineRule="auto"/>
              <w:rPr>
                <w:rFonts w:cs="Arial"/>
                <w:sz w:val="16"/>
                <w:szCs w:val="16"/>
                <w:lang w:val="es-ES" w:eastAsia="en-US"/>
              </w:rPr>
            </w:pPr>
            <w:r>
              <w:rPr>
                <w:rFonts w:cs="Arial"/>
                <w:sz w:val="16"/>
                <w:szCs w:val="16"/>
                <w:lang w:val="es-ES" w:eastAsia="en-US"/>
              </w:rPr>
              <w:t>1.3.3 Preservación y Cuidado del Patrimonio Público.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5D81FF0" w14:textId="6E6A8053"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F4DF35B" w14:textId="09480524"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7DDA9A" w14:textId="50A71C93"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701FFE51"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3A2B3F13" w14:textId="77777777" w:rsidR="00A41077" w:rsidRDefault="00A41077" w:rsidP="00A41077">
            <w:pPr>
              <w:spacing w:line="256" w:lineRule="auto"/>
              <w:rPr>
                <w:rFonts w:cs="Arial"/>
                <w:sz w:val="16"/>
                <w:szCs w:val="16"/>
                <w:lang w:val="es-ES" w:eastAsia="en-US"/>
              </w:rPr>
            </w:pPr>
            <w:r>
              <w:rPr>
                <w:rFonts w:cs="Arial"/>
                <w:sz w:val="16"/>
                <w:szCs w:val="16"/>
                <w:lang w:val="es-ES" w:eastAsia="en-US"/>
              </w:rPr>
              <w:t>1.3.4 Función Pública.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81F8050" w14:textId="3E6FCE03" w:rsidR="00A41077" w:rsidRDefault="00A41077" w:rsidP="00A41077">
            <w:pPr>
              <w:spacing w:line="256" w:lineRule="auto"/>
              <w:jc w:val="right"/>
              <w:rPr>
                <w:rFonts w:cs="Arial"/>
                <w:sz w:val="16"/>
                <w:szCs w:val="16"/>
                <w:lang w:val="es-ES" w:eastAsia="en-US"/>
              </w:rPr>
            </w:pPr>
            <w:r>
              <w:rPr>
                <w:rFonts w:cs="Arial"/>
                <w:color w:val="000000"/>
                <w:sz w:val="16"/>
                <w:szCs w:val="16"/>
              </w:rPr>
              <w:t>33,786,431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B8A50AE" w14:textId="27F2DB40"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461852" w14:textId="544EF00E" w:rsidR="00A41077" w:rsidRDefault="00A41077" w:rsidP="00A41077">
            <w:pPr>
              <w:spacing w:line="256" w:lineRule="auto"/>
              <w:jc w:val="right"/>
              <w:rPr>
                <w:rFonts w:cs="Arial"/>
                <w:sz w:val="16"/>
                <w:szCs w:val="16"/>
                <w:lang w:val="es-ES" w:eastAsia="en-US"/>
              </w:rPr>
            </w:pPr>
            <w:r>
              <w:rPr>
                <w:rFonts w:cs="Arial"/>
                <w:color w:val="000000"/>
                <w:sz w:val="16"/>
                <w:szCs w:val="16"/>
              </w:rPr>
              <w:t>33,786,431</w:t>
            </w:r>
          </w:p>
        </w:tc>
      </w:tr>
      <w:tr w:rsidR="00A41077" w14:paraId="2CD1D704"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166C6549" w14:textId="77777777" w:rsidR="00A41077" w:rsidRDefault="00A41077" w:rsidP="00A41077">
            <w:pPr>
              <w:spacing w:line="256" w:lineRule="auto"/>
              <w:rPr>
                <w:rFonts w:cs="Arial"/>
                <w:sz w:val="16"/>
                <w:szCs w:val="16"/>
                <w:lang w:val="es-ES" w:eastAsia="en-US"/>
              </w:rPr>
            </w:pPr>
            <w:r>
              <w:rPr>
                <w:rFonts w:cs="Arial"/>
                <w:sz w:val="16"/>
                <w:szCs w:val="16"/>
                <w:lang w:val="es-ES" w:eastAsia="en-US"/>
              </w:rPr>
              <w:t>1.3.5 Asuntos Jurídicos.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7765EBC" w14:textId="30951131" w:rsidR="00A41077" w:rsidRDefault="00A41077" w:rsidP="00A41077">
            <w:pPr>
              <w:spacing w:line="256" w:lineRule="auto"/>
              <w:jc w:val="right"/>
              <w:rPr>
                <w:rFonts w:cs="Arial"/>
                <w:sz w:val="16"/>
                <w:szCs w:val="16"/>
                <w:lang w:val="es-ES" w:eastAsia="en-US"/>
              </w:rPr>
            </w:pPr>
            <w:r>
              <w:rPr>
                <w:rFonts w:cs="Arial"/>
                <w:color w:val="000000"/>
                <w:sz w:val="16"/>
                <w:szCs w:val="16"/>
              </w:rPr>
              <w:t>36,294,439</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31D3B7E" w14:textId="53557FDE"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8051E0" w14:textId="244BC6A6" w:rsidR="00A41077" w:rsidRDefault="00A41077" w:rsidP="00A41077">
            <w:pPr>
              <w:spacing w:line="256" w:lineRule="auto"/>
              <w:jc w:val="right"/>
              <w:rPr>
                <w:rFonts w:cs="Arial"/>
                <w:sz w:val="16"/>
                <w:szCs w:val="16"/>
                <w:lang w:val="es-ES" w:eastAsia="en-US"/>
              </w:rPr>
            </w:pPr>
            <w:r>
              <w:rPr>
                <w:rFonts w:cs="Arial"/>
                <w:color w:val="000000"/>
                <w:sz w:val="16"/>
                <w:szCs w:val="16"/>
              </w:rPr>
              <w:t>36,294,439</w:t>
            </w:r>
          </w:p>
        </w:tc>
      </w:tr>
      <w:tr w:rsidR="00A41077" w14:paraId="5C67556B"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093289BA" w14:textId="77777777" w:rsidR="00A41077" w:rsidRDefault="00A41077" w:rsidP="00A41077">
            <w:pPr>
              <w:spacing w:line="256" w:lineRule="auto"/>
              <w:rPr>
                <w:rFonts w:cs="Arial"/>
                <w:sz w:val="16"/>
                <w:szCs w:val="16"/>
                <w:lang w:val="es-ES" w:eastAsia="en-US"/>
              </w:rPr>
            </w:pPr>
            <w:r>
              <w:rPr>
                <w:rFonts w:cs="Arial"/>
                <w:sz w:val="16"/>
                <w:szCs w:val="16"/>
                <w:lang w:val="es-ES" w:eastAsia="en-US"/>
              </w:rPr>
              <w:t>1.3.6 Organización de Procesos Electorales.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72DA4CCE" w14:textId="3980029A"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BC1696E" w14:textId="6E64FE17" w:rsidR="00A41077" w:rsidRDefault="00A41077" w:rsidP="00A41077">
            <w:pPr>
              <w:spacing w:line="256" w:lineRule="auto"/>
              <w:jc w:val="right"/>
              <w:rPr>
                <w:rFonts w:cs="Arial"/>
                <w:sz w:val="16"/>
                <w:szCs w:val="16"/>
                <w:lang w:val="es-ES" w:eastAsia="en-US"/>
              </w:rPr>
            </w:pPr>
            <w:r>
              <w:rPr>
                <w:rFonts w:cs="Arial"/>
                <w:color w:val="000000"/>
                <w:sz w:val="16"/>
                <w:szCs w:val="16"/>
              </w:rPr>
              <w:t>107,430,304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F67EB3" w14:textId="1D5534AB" w:rsidR="00A41077" w:rsidRDefault="00A41077" w:rsidP="00A41077">
            <w:pPr>
              <w:spacing w:line="256" w:lineRule="auto"/>
              <w:jc w:val="right"/>
              <w:rPr>
                <w:rFonts w:cs="Arial"/>
                <w:sz w:val="16"/>
                <w:szCs w:val="16"/>
                <w:lang w:val="es-ES" w:eastAsia="en-US"/>
              </w:rPr>
            </w:pPr>
            <w:r>
              <w:rPr>
                <w:rFonts w:cs="Arial"/>
                <w:color w:val="000000"/>
                <w:sz w:val="16"/>
                <w:szCs w:val="16"/>
              </w:rPr>
              <w:t>107,430,304</w:t>
            </w:r>
          </w:p>
        </w:tc>
      </w:tr>
      <w:tr w:rsidR="00A41077" w14:paraId="30D5E8AA"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0344D326" w14:textId="77777777" w:rsidR="00A41077" w:rsidRDefault="00A41077" w:rsidP="00A41077">
            <w:pPr>
              <w:spacing w:line="256" w:lineRule="auto"/>
              <w:rPr>
                <w:rFonts w:cs="Arial"/>
                <w:sz w:val="16"/>
                <w:szCs w:val="16"/>
                <w:lang w:val="es-ES" w:eastAsia="en-US"/>
              </w:rPr>
            </w:pPr>
            <w:r>
              <w:rPr>
                <w:rFonts w:cs="Arial"/>
                <w:sz w:val="16"/>
                <w:szCs w:val="16"/>
                <w:lang w:val="es-ES" w:eastAsia="en-US"/>
              </w:rPr>
              <w:t>1.3.7 Población.</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2651427" w14:textId="6501CADD"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AC2CA3F" w14:textId="254C21B8"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D5DEED" w14:textId="1354E385"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6A1ACF40"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194B8EF0" w14:textId="77777777" w:rsidR="00A41077" w:rsidRDefault="00A41077" w:rsidP="00A41077">
            <w:pPr>
              <w:spacing w:line="256" w:lineRule="auto"/>
              <w:rPr>
                <w:rFonts w:cs="Arial"/>
                <w:sz w:val="16"/>
                <w:szCs w:val="16"/>
                <w:lang w:val="es-ES" w:eastAsia="en-US"/>
              </w:rPr>
            </w:pPr>
            <w:r>
              <w:rPr>
                <w:rFonts w:cs="Arial"/>
                <w:sz w:val="16"/>
                <w:szCs w:val="16"/>
                <w:lang w:val="es-ES" w:eastAsia="en-US"/>
              </w:rPr>
              <w:t>1.3.8 Territorio.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2B7441D" w14:textId="042335AE"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BBCC57B" w14:textId="0391AF2A"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F0DB53" w14:textId="2E4A7720"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06476665"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218DAAC3" w14:textId="77777777" w:rsidR="00A41077" w:rsidRDefault="00A41077" w:rsidP="00A41077">
            <w:pPr>
              <w:spacing w:line="256" w:lineRule="auto"/>
              <w:rPr>
                <w:rFonts w:cs="Arial"/>
                <w:sz w:val="16"/>
                <w:szCs w:val="16"/>
                <w:lang w:val="es-ES" w:eastAsia="en-US"/>
              </w:rPr>
            </w:pPr>
            <w:r>
              <w:rPr>
                <w:rFonts w:cs="Arial"/>
                <w:sz w:val="16"/>
                <w:szCs w:val="16"/>
                <w:lang w:val="es-ES" w:eastAsia="en-US"/>
              </w:rPr>
              <w:t>1.3.9 Otros.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2DCAC84" w14:textId="2AD68137"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6D32E33" w14:textId="4DAF1E96"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A04A19" w14:textId="61395E76"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1508DF05"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C2FE4D7"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1.4 RELACIONES EXTERIORES.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46AF621" w14:textId="551E8B08"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6712ABA" w14:textId="1AA33BB3"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80FA22" w14:textId="4BDDFC15"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r>
      <w:tr w:rsidR="00A41077" w14:paraId="4FDD22E0"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10606F2D" w14:textId="77777777" w:rsidR="00A41077" w:rsidRDefault="00A41077" w:rsidP="00A41077">
            <w:pPr>
              <w:spacing w:line="256" w:lineRule="auto"/>
              <w:rPr>
                <w:rFonts w:cs="Arial"/>
                <w:sz w:val="16"/>
                <w:szCs w:val="16"/>
                <w:lang w:val="es-ES" w:eastAsia="en-US"/>
              </w:rPr>
            </w:pPr>
            <w:r>
              <w:rPr>
                <w:rFonts w:cs="Arial"/>
                <w:sz w:val="16"/>
                <w:szCs w:val="16"/>
                <w:lang w:val="es-ES" w:eastAsia="en-US"/>
              </w:rPr>
              <w:t>1.4.1 Relaciones Exteriores.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E95D934" w14:textId="47842A41"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5BA8126" w14:textId="59F1C66D"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F95FCD" w14:textId="25155C6F"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01E991EB"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18FB853"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1.5 ASUNTOS FINANCIEROS Y HACENDARIOS.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19F36E6" w14:textId="59E59BD2" w:rsidR="00A41077" w:rsidRDefault="00A41077" w:rsidP="00A41077">
            <w:pPr>
              <w:spacing w:line="256" w:lineRule="auto"/>
              <w:jc w:val="right"/>
              <w:rPr>
                <w:rFonts w:cs="Arial"/>
                <w:b/>
                <w:sz w:val="16"/>
                <w:szCs w:val="16"/>
                <w:lang w:val="es-ES" w:eastAsia="en-US"/>
              </w:rPr>
            </w:pPr>
            <w:r>
              <w:rPr>
                <w:rFonts w:cs="Arial"/>
                <w:b/>
                <w:bCs/>
                <w:color w:val="000000"/>
                <w:sz w:val="16"/>
                <w:szCs w:val="16"/>
              </w:rPr>
              <w:t>239,745,465</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409DB03" w14:textId="4C102088" w:rsidR="00A41077" w:rsidRDefault="00A41077" w:rsidP="00A41077">
            <w:pPr>
              <w:spacing w:line="256" w:lineRule="auto"/>
              <w:jc w:val="right"/>
              <w:rPr>
                <w:rFonts w:cs="Arial"/>
                <w:b/>
                <w:sz w:val="16"/>
                <w:szCs w:val="16"/>
                <w:lang w:val="es-ES" w:eastAsia="en-US"/>
              </w:rPr>
            </w:pPr>
            <w:r>
              <w:rPr>
                <w:rFonts w:cs="Arial"/>
                <w:b/>
                <w:bCs/>
                <w:color w:val="000000"/>
                <w:sz w:val="16"/>
                <w:szCs w:val="16"/>
              </w:rPr>
              <w:t>1,800,000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23EA8A" w14:textId="64847972" w:rsidR="00A41077" w:rsidRDefault="00A41077" w:rsidP="00A41077">
            <w:pPr>
              <w:spacing w:line="256" w:lineRule="auto"/>
              <w:jc w:val="right"/>
              <w:rPr>
                <w:rFonts w:cs="Arial"/>
                <w:b/>
                <w:sz w:val="16"/>
                <w:szCs w:val="16"/>
                <w:lang w:val="es-ES" w:eastAsia="en-US"/>
              </w:rPr>
            </w:pPr>
            <w:r>
              <w:rPr>
                <w:rFonts w:cs="Arial"/>
                <w:b/>
                <w:bCs/>
                <w:color w:val="000000"/>
                <w:sz w:val="16"/>
                <w:szCs w:val="16"/>
              </w:rPr>
              <w:t>241,545,465</w:t>
            </w:r>
          </w:p>
        </w:tc>
      </w:tr>
      <w:tr w:rsidR="00A41077" w14:paraId="5CEA3D0A"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88F996B" w14:textId="77777777" w:rsidR="00A41077" w:rsidRDefault="00A41077" w:rsidP="00A41077">
            <w:pPr>
              <w:spacing w:line="256" w:lineRule="auto"/>
              <w:rPr>
                <w:rFonts w:cs="Arial"/>
                <w:sz w:val="16"/>
                <w:szCs w:val="16"/>
                <w:lang w:val="es-ES" w:eastAsia="en-US"/>
              </w:rPr>
            </w:pPr>
            <w:r>
              <w:rPr>
                <w:rFonts w:cs="Arial"/>
                <w:sz w:val="16"/>
                <w:szCs w:val="16"/>
                <w:lang w:val="es-ES" w:eastAsia="en-US"/>
              </w:rPr>
              <w:t>1.5.1 Asuntos Financieros.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7FD8ECB" w14:textId="69E49F76"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55BC1F6" w14:textId="0DA9410A"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2CC764" w14:textId="39DA7D45"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03EF2E41"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21349043" w14:textId="77777777" w:rsidR="00A41077" w:rsidRDefault="00A41077" w:rsidP="00A41077">
            <w:pPr>
              <w:spacing w:line="256" w:lineRule="auto"/>
              <w:rPr>
                <w:rFonts w:cs="Arial"/>
                <w:sz w:val="16"/>
                <w:szCs w:val="16"/>
                <w:lang w:val="es-ES" w:eastAsia="en-US"/>
              </w:rPr>
            </w:pPr>
            <w:r>
              <w:rPr>
                <w:rFonts w:cs="Arial"/>
                <w:sz w:val="16"/>
                <w:szCs w:val="16"/>
                <w:lang w:val="es-ES" w:eastAsia="en-US"/>
              </w:rPr>
              <w:t>1.5.2 Asuntos Hacendarios.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788F15D4" w14:textId="5E890DDF" w:rsidR="00A41077" w:rsidRDefault="00A41077" w:rsidP="00A41077">
            <w:pPr>
              <w:spacing w:line="256" w:lineRule="auto"/>
              <w:jc w:val="right"/>
              <w:rPr>
                <w:rFonts w:cs="Arial"/>
                <w:sz w:val="16"/>
                <w:szCs w:val="16"/>
                <w:lang w:val="es-ES" w:eastAsia="en-US"/>
              </w:rPr>
            </w:pPr>
            <w:r>
              <w:rPr>
                <w:rFonts w:cs="Arial"/>
                <w:color w:val="000000"/>
                <w:sz w:val="16"/>
                <w:szCs w:val="16"/>
              </w:rPr>
              <w:t>239,745,465</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4456EC3" w14:textId="743CE662" w:rsidR="00A41077" w:rsidRDefault="00A41077" w:rsidP="00A41077">
            <w:pPr>
              <w:spacing w:line="256" w:lineRule="auto"/>
              <w:jc w:val="right"/>
              <w:rPr>
                <w:rFonts w:cs="Arial"/>
                <w:sz w:val="16"/>
                <w:szCs w:val="16"/>
                <w:lang w:val="es-ES" w:eastAsia="en-US"/>
              </w:rPr>
            </w:pPr>
            <w:r>
              <w:rPr>
                <w:rFonts w:cs="Arial"/>
                <w:color w:val="000000"/>
                <w:sz w:val="16"/>
                <w:szCs w:val="16"/>
              </w:rPr>
              <w:t>1,800,000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B6F55A" w14:textId="607A401F" w:rsidR="00A41077" w:rsidRDefault="00A41077" w:rsidP="00A41077">
            <w:pPr>
              <w:spacing w:line="256" w:lineRule="auto"/>
              <w:jc w:val="right"/>
              <w:rPr>
                <w:rFonts w:cs="Arial"/>
                <w:sz w:val="16"/>
                <w:szCs w:val="16"/>
                <w:lang w:val="es-ES" w:eastAsia="en-US"/>
              </w:rPr>
            </w:pPr>
            <w:r>
              <w:rPr>
                <w:rFonts w:cs="Arial"/>
                <w:color w:val="000000"/>
                <w:sz w:val="16"/>
                <w:szCs w:val="16"/>
              </w:rPr>
              <w:t>241,545,465</w:t>
            </w:r>
          </w:p>
        </w:tc>
      </w:tr>
      <w:tr w:rsidR="00A41077" w14:paraId="3A3C9963"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09CE1BB4"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1.6 SEGURIDAD NACIONAL.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30982AF" w14:textId="4B8D6E17"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EE7598D" w14:textId="298669F8"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63583A" w14:textId="10A84661"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r>
      <w:tr w:rsidR="00A41077" w14:paraId="39598203"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41D54F98" w14:textId="77777777" w:rsidR="00A41077" w:rsidRDefault="00A41077" w:rsidP="00A41077">
            <w:pPr>
              <w:spacing w:line="256" w:lineRule="auto"/>
              <w:rPr>
                <w:rFonts w:cs="Arial"/>
                <w:sz w:val="16"/>
                <w:szCs w:val="16"/>
                <w:lang w:val="es-ES" w:eastAsia="en-US"/>
              </w:rPr>
            </w:pPr>
            <w:r>
              <w:rPr>
                <w:rFonts w:cs="Arial"/>
                <w:sz w:val="16"/>
                <w:szCs w:val="16"/>
                <w:lang w:val="es-ES" w:eastAsia="en-US"/>
              </w:rPr>
              <w:t>1.6.1 Defensa.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F5B51E3" w14:textId="072CB264"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D6138DF" w14:textId="007C5C97"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CFA0D2" w14:textId="08878A9F"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13B91918"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39DD9252" w14:textId="77777777" w:rsidR="00A41077" w:rsidRDefault="00A41077" w:rsidP="00A41077">
            <w:pPr>
              <w:spacing w:line="256" w:lineRule="auto"/>
              <w:rPr>
                <w:rFonts w:cs="Arial"/>
                <w:sz w:val="16"/>
                <w:szCs w:val="16"/>
                <w:lang w:val="es-ES" w:eastAsia="en-US"/>
              </w:rPr>
            </w:pPr>
            <w:r>
              <w:rPr>
                <w:rFonts w:cs="Arial"/>
                <w:sz w:val="16"/>
                <w:szCs w:val="16"/>
                <w:lang w:val="es-ES" w:eastAsia="en-US"/>
              </w:rPr>
              <w:t>1.6.2 Marina.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443167B" w14:textId="1A62357A"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CC21320" w14:textId="5297A805"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646D11" w14:textId="1F0697C1"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3EA1EF26"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3F04611F" w14:textId="77777777" w:rsidR="00A41077" w:rsidRDefault="00A41077" w:rsidP="00A41077">
            <w:pPr>
              <w:spacing w:line="256" w:lineRule="auto"/>
              <w:rPr>
                <w:rFonts w:cs="Arial"/>
                <w:sz w:val="16"/>
                <w:szCs w:val="16"/>
                <w:lang w:val="es-ES" w:eastAsia="en-US"/>
              </w:rPr>
            </w:pPr>
            <w:r>
              <w:rPr>
                <w:rFonts w:cs="Arial"/>
                <w:sz w:val="16"/>
                <w:szCs w:val="16"/>
                <w:lang w:val="es-ES" w:eastAsia="en-US"/>
              </w:rPr>
              <w:t>1.6.3 Inteligencia para la Preservación de la Seguridad Nacional.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60EACF8" w14:textId="0A3BBC41"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C0E5D3E" w14:textId="2E56A587"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1BE15F" w14:textId="529F10CF"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2B035C5B"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65606589"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1.7 ASUNTOS DE ORDEN PÚBLICO Y DE SEGURIDAD INTERIOR.</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E2425B7" w14:textId="3C920FDF" w:rsidR="00A41077" w:rsidRDefault="00A41077" w:rsidP="00A41077">
            <w:pPr>
              <w:spacing w:line="256" w:lineRule="auto"/>
              <w:jc w:val="right"/>
              <w:rPr>
                <w:rFonts w:cs="Arial"/>
                <w:b/>
                <w:sz w:val="16"/>
                <w:szCs w:val="16"/>
                <w:lang w:val="es-ES" w:eastAsia="en-US"/>
              </w:rPr>
            </w:pPr>
            <w:r>
              <w:rPr>
                <w:rFonts w:cs="Arial"/>
                <w:b/>
                <w:bCs/>
                <w:color w:val="000000"/>
                <w:sz w:val="16"/>
                <w:szCs w:val="16"/>
              </w:rPr>
              <w:t>1,018,900,568</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BC7BB5E" w14:textId="6DEBF6D4"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6BCF7B" w14:textId="2D36A48E" w:rsidR="00A41077" w:rsidRDefault="00A41077" w:rsidP="00A41077">
            <w:pPr>
              <w:spacing w:line="256" w:lineRule="auto"/>
              <w:jc w:val="right"/>
              <w:rPr>
                <w:rFonts w:cs="Arial"/>
                <w:b/>
                <w:sz w:val="16"/>
                <w:szCs w:val="16"/>
                <w:lang w:val="es-ES" w:eastAsia="en-US"/>
              </w:rPr>
            </w:pPr>
            <w:r>
              <w:rPr>
                <w:rFonts w:cs="Arial"/>
                <w:b/>
                <w:bCs/>
                <w:color w:val="000000"/>
                <w:sz w:val="16"/>
                <w:szCs w:val="16"/>
              </w:rPr>
              <w:t>1,018,900,568</w:t>
            </w:r>
          </w:p>
        </w:tc>
      </w:tr>
      <w:tr w:rsidR="00A41077" w14:paraId="1332FEFC"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3AFACB27" w14:textId="77777777" w:rsidR="00A41077" w:rsidRDefault="00A41077" w:rsidP="00A41077">
            <w:pPr>
              <w:spacing w:line="256" w:lineRule="auto"/>
              <w:rPr>
                <w:rFonts w:cs="Arial"/>
                <w:sz w:val="16"/>
                <w:szCs w:val="16"/>
                <w:lang w:val="es-ES" w:eastAsia="en-US"/>
              </w:rPr>
            </w:pPr>
            <w:r>
              <w:rPr>
                <w:rFonts w:cs="Arial"/>
                <w:sz w:val="16"/>
                <w:szCs w:val="16"/>
                <w:lang w:val="es-ES" w:eastAsia="en-US"/>
              </w:rPr>
              <w:t>1.7.1 Policía.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2506492" w14:textId="3AD9C2F8" w:rsidR="00A41077" w:rsidRDefault="00A41077" w:rsidP="00A41077">
            <w:pPr>
              <w:spacing w:line="256" w:lineRule="auto"/>
              <w:jc w:val="right"/>
              <w:rPr>
                <w:rFonts w:cs="Arial"/>
                <w:sz w:val="16"/>
                <w:szCs w:val="16"/>
                <w:lang w:val="es-ES" w:eastAsia="en-US"/>
              </w:rPr>
            </w:pPr>
            <w:r>
              <w:rPr>
                <w:rFonts w:cs="Arial"/>
                <w:color w:val="000000"/>
                <w:sz w:val="16"/>
                <w:szCs w:val="16"/>
              </w:rPr>
              <w:t>399,816,244</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12F00DE" w14:textId="1D9CC70B"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411799" w14:textId="0D8DAE15" w:rsidR="00A41077" w:rsidRDefault="00A41077" w:rsidP="00A41077">
            <w:pPr>
              <w:spacing w:line="256" w:lineRule="auto"/>
              <w:jc w:val="right"/>
              <w:rPr>
                <w:rFonts w:cs="Arial"/>
                <w:sz w:val="16"/>
                <w:szCs w:val="16"/>
                <w:lang w:val="es-ES" w:eastAsia="en-US"/>
              </w:rPr>
            </w:pPr>
            <w:r>
              <w:rPr>
                <w:rFonts w:cs="Arial"/>
                <w:color w:val="000000"/>
                <w:sz w:val="16"/>
                <w:szCs w:val="16"/>
              </w:rPr>
              <w:t>399,816,244</w:t>
            </w:r>
          </w:p>
        </w:tc>
      </w:tr>
      <w:tr w:rsidR="00A41077" w14:paraId="3D70843F"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266CB814" w14:textId="77777777" w:rsidR="00A41077" w:rsidRDefault="00A41077" w:rsidP="00A41077">
            <w:pPr>
              <w:spacing w:line="256" w:lineRule="auto"/>
              <w:rPr>
                <w:rFonts w:cs="Arial"/>
                <w:sz w:val="16"/>
                <w:szCs w:val="16"/>
                <w:lang w:val="es-ES" w:eastAsia="en-US"/>
              </w:rPr>
            </w:pPr>
            <w:r>
              <w:rPr>
                <w:rFonts w:cs="Arial"/>
                <w:sz w:val="16"/>
                <w:szCs w:val="16"/>
                <w:lang w:val="es-ES" w:eastAsia="en-US"/>
              </w:rPr>
              <w:t>1.7.2 Protección Civil.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3DEA963" w14:textId="5ACD6431" w:rsidR="00A41077" w:rsidRDefault="00A41077" w:rsidP="00A41077">
            <w:pPr>
              <w:spacing w:line="256" w:lineRule="auto"/>
              <w:jc w:val="right"/>
              <w:rPr>
                <w:rFonts w:cs="Arial"/>
                <w:sz w:val="16"/>
                <w:szCs w:val="16"/>
                <w:lang w:val="es-ES" w:eastAsia="en-US"/>
              </w:rPr>
            </w:pPr>
            <w:r>
              <w:rPr>
                <w:rFonts w:cs="Arial"/>
                <w:color w:val="000000"/>
                <w:sz w:val="16"/>
                <w:szCs w:val="16"/>
              </w:rPr>
              <w:t>53,343,686</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01517CE" w14:textId="7F596263"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3EEF56" w14:textId="2DFA9944" w:rsidR="00A41077" w:rsidRDefault="00A41077" w:rsidP="00A41077">
            <w:pPr>
              <w:spacing w:line="256" w:lineRule="auto"/>
              <w:jc w:val="right"/>
              <w:rPr>
                <w:rFonts w:cs="Arial"/>
                <w:sz w:val="16"/>
                <w:szCs w:val="16"/>
                <w:lang w:val="es-ES" w:eastAsia="en-US"/>
              </w:rPr>
            </w:pPr>
            <w:r>
              <w:rPr>
                <w:rFonts w:cs="Arial"/>
                <w:color w:val="000000"/>
                <w:sz w:val="16"/>
                <w:szCs w:val="16"/>
              </w:rPr>
              <w:t>53,343,686</w:t>
            </w:r>
          </w:p>
        </w:tc>
      </w:tr>
      <w:tr w:rsidR="00A41077" w14:paraId="32E29663"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208E2960" w14:textId="77777777" w:rsidR="00A41077" w:rsidRDefault="00A41077" w:rsidP="00A41077">
            <w:pPr>
              <w:spacing w:line="256" w:lineRule="auto"/>
              <w:rPr>
                <w:rFonts w:cs="Arial"/>
                <w:sz w:val="16"/>
                <w:szCs w:val="16"/>
                <w:lang w:val="es-ES" w:eastAsia="en-US"/>
              </w:rPr>
            </w:pPr>
            <w:r>
              <w:rPr>
                <w:rFonts w:cs="Arial"/>
                <w:sz w:val="16"/>
                <w:szCs w:val="16"/>
                <w:lang w:val="es-ES" w:eastAsia="en-US"/>
              </w:rPr>
              <w:t>1.7.3 Otros Asuntos de Orden Público y Seguridad.</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8D5FC1B" w14:textId="1D04BF19" w:rsidR="00A41077" w:rsidRDefault="00A41077" w:rsidP="00A41077">
            <w:pPr>
              <w:spacing w:line="256" w:lineRule="auto"/>
              <w:jc w:val="right"/>
              <w:rPr>
                <w:rFonts w:cs="Arial"/>
                <w:sz w:val="16"/>
                <w:szCs w:val="16"/>
                <w:lang w:val="es-ES" w:eastAsia="en-US"/>
              </w:rPr>
            </w:pPr>
            <w:r>
              <w:rPr>
                <w:rFonts w:cs="Arial"/>
                <w:color w:val="000000"/>
                <w:sz w:val="16"/>
                <w:szCs w:val="16"/>
              </w:rPr>
              <w:t>113,041,441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4353C14" w14:textId="304563C4"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4E7B71" w14:textId="398FBD23" w:rsidR="00A41077" w:rsidRDefault="00A41077" w:rsidP="00A41077">
            <w:pPr>
              <w:spacing w:line="256" w:lineRule="auto"/>
              <w:jc w:val="right"/>
              <w:rPr>
                <w:rFonts w:cs="Arial"/>
                <w:sz w:val="16"/>
                <w:szCs w:val="16"/>
                <w:lang w:val="es-ES" w:eastAsia="en-US"/>
              </w:rPr>
            </w:pPr>
            <w:r>
              <w:rPr>
                <w:rFonts w:cs="Arial"/>
                <w:color w:val="000000"/>
                <w:sz w:val="16"/>
                <w:szCs w:val="16"/>
              </w:rPr>
              <w:t>113,041,441</w:t>
            </w:r>
          </w:p>
        </w:tc>
      </w:tr>
      <w:tr w:rsidR="00A41077" w14:paraId="449CC201"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39B022DD" w14:textId="77777777" w:rsidR="00A41077" w:rsidRDefault="00A41077" w:rsidP="00A41077">
            <w:pPr>
              <w:spacing w:line="256" w:lineRule="auto"/>
              <w:rPr>
                <w:rFonts w:cs="Arial"/>
                <w:sz w:val="16"/>
                <w:szCs w:val="16"/>
                <w:lang w:val="es-ES" w:eastAsia="en-US"/>
              </w:rPr>
            </w:pPr>
            <w:r>
              <w:rPr>
                <w:rFonts w:cs="Arial"/>
                <w:sz w:val="16"/>
                <w:szCs w:val="16"/>
                <w:lang w:val="es-ES" w:eastAsia="en-US"/>
              </w:rPr>
              <w:t>1.7.4 Sistema Nacional de Seguridad Pública.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5365C64" w14:textId="72A0C227" w:rsidR="00A41077" w:rsidRDefault="00A41077" w:rsidP="00A41077">
            <w:pPr>
              <w:spacing w:line="256" w:lineRule="auto"/>
              <w:jc w:val="right"/>
              <w:rPr>
                <w:rFonts w:cs="Arial"/>
                <w:sz w:val="16"/>
                <w:szCs w:val="16"/>
                <w:lang w:val="es-ES" w:eastAsia="en-US"/>
              </w:rPr>
            </w:pPr>
            <w:r>
              <w:rPr>
                <w:rFonts w:cs="Arial"/>
                <w:color w:val="000000"/>
                <w:sz w:val="16"/>
                <w:szCs w:val="16"/>
              </w:rPr>
              <w:t>452,699,197</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1833595" w14:textId="29B820CC"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AB5306" w14:textId="78C8CBF6" w:rsidR="00A41077" w:rsidRDefault="00A41077" w:rsidP="00A41077">
            <w:pPr>
              <w:spacing w:line="256" w:lineRule="auto"/>
              <w:jc w:val="right"/>
              <w:rPr>
                <w:rFonts w:cs="Arial"/>
                <w:sz w:val="16"/>
                <w:szCs w:val="16"/>
                <w:lang w:val="es-ES" w:eastAsia="en-US"/>
              </w:rPr>
            </w:pPr>
            <w:r>
              <w:rPr>
                <w:rFonts w:cs="Arial"/>
                <w:color w:val="000000"/>
                <w:sz w:val="16"/>
                <w:szCs w:val="16"/>
              </w:rPr>
              <w:t>452,699,197</w:t>
            </w:r>
          </w:p>
        </w:tc>
      </w:tr>
      <w:tr w:rsidR="00A41077" w14:paraId="69215FE4"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4CCB87E0"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1.8 OTROS SERVICIOS GENERALES.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72886ED" w14:textId="69DC92A5" w:rsidR="00A41077" w:rsidRDefault="00A41077" w:rsidP="00A41077">
            <w:pPr>
              <w:spacing w:line="256" w:lineRule="auto"/>
              <w:jc w:val="right"/>
              <w:rPr>
                <w:rFonts w:cs="Arial"/>
                <w:b/>
                <w:sz w:val="16"/>
                <w:szCs w:val="16"/>
                <w:lang w:val="es-ES" w:eastAsia="en-US"/>
              </w:rPr>
            </w:pPr>
            <w:r>
              <w:rPr>
                <w:rFonts w:cs="Arial"/>
                <w:b/>
                <w:bCs/>
                <w:color w:val="000000"/>
                <w:sz w:val="16"/>
                <w:szCs w:val="16"/>
              </w:rPr>
              <w:t>362,372,111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8CCF0D0" w14:textId="74223F35"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3F36AD" w14:textId="0428D23A" w:rsidR="00A41077" w:rsidRDefault="00A41077" w:rsidP="00A41077">
            <w:pPr>
              <w:spacing w:line="256" w:lineRule="auto"/>
              <w:jc w:val="right"/>
              <w:rPr>
                <w:rFonts w:cs="Arial"/>
                <w:b/>
                <w:sz w:val="16"/>
                <w:szCs w:val="16"/>
                <w:lang w:val="es-ES" w:eastAsia="en-US"/>
              </w:rPr>
            </w:pPr>
            <w:r>
              <w:rPr>
                <w:rFonts w:cs="Arial"/>
                <w:b/>
                <w:bCs/>
                <w:color w:val="000000"/>
                <w:sz w:val="16"/>
                <w:szCs w:val="16"/>
              </w:rPr>
              <w:t>362,372,111</w:t>
            </w:r>
          </w:p>
        </w:tc>
      </w:tr>
      <w:tr w:rsidR="00A41077" w14:paraId="3D46B1EE"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40688DE3" w14:textId="77777777" w:rsidR="00A41077" w:rsidRDefault="00A41077" w:rsidP="00A41077">
            <w:pPr>
              <w:spacing w:line="256" w:lineRule="auto"/>
              <w:rPr>
                <w:rFonts w:cs="Arial"/>
                <w:sz w:val="16"/>
                <w:szCs w:val="16"/>
                <w:lang w:val="es-ES" w:eastAsia="en-US"/>
              </w:rPr>
            </w:pPr>
            <w:r>
              <w:rPr>
                <w:rFonts w:cs="Arial"/>
                <w:sz w:val="16"/>
                <w:szCs w:val="16"/>
                <w:lang w:val="es-ES" w:eastAsia="en-US"/>
              </w:rPr>
              <w:t>1.8.1 Servicios Registrales, Administrativos y Patrimoniales.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6181210" w14:textId="31C23A75" w:rsidR="00A41077" w:rsidRDefault="00A41077" w:rsidP="00A41077">
            <w:pPr>
              <w:spacing w:line="256" w:lineRule="auto"/>
              <w:jc w:val="right"/>
              <w:rPr>
                <w:rFonts w:cs="Arial"/>
                <w:sz w:val="16"/>
                <w:szCs w:val="16"/>
                <w:lang w:val="es-ES" w:eastAsia="en-US"/>
              </w:rPr>
            </w:pPr>
            <w:r>
              <w:rPr>
                <w:rFonts w:cs="Arial"/>
                <w:color w:val="000000"/>
                <w:sz w:val="16"/>
                <w:szCs w:val="16"/>
              </w:rPr>
              <w:t>46,635,950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479A60F" w14:textId="33350ED3"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E47AC5" w14:textId="63DF19EC" w:rsidR="00A41077" w:rsidRDefault="00A41077" w:rsidP="00A41077">
            <w:pPr>
              <w:spacing w:line="256" w:lineRule="auto"/>
              <w:jc w:val="right"/>
              <w:rPr>
                <w:rFonts w:cs="Arial"/>
                <w:sz w:val="16"/>
                <w:szCs w:val="16"/>
                <w:lang w:val="es-ES" w:eastAsia="en-US"/>
              </w:rPr>
            </w:pPr>
            <w:r>
              <w:rPr>
                <w:rFonts w:cs="Arial"/>
                <w:color w:val="000000"/>
                <w:sz w:val="16"/>
                <w:szCs w:val="16"/>
              </w:rPr>
              <w:t>46,635,950</w:t>
            </w:r>
          </w:p>
        </w:tc>
      </w:tr>
      <w:tr w:rsidR="00A41077" w14:paraId="799266C7"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5C24D38C" w14:textId="77777777" w:rsidR="00A41077" w:rsidRDefault="00A41077" w:rsidP="00A41077">
            <w:pPr>
              <w:spacing w:line="256" w:lineRule="auto"/>
              <w:rPr>
                <w:rFonts w:cs="Arial"/>
                <w:sz w:val="16"/>
                <w:szCs w:val="16"/>
                <w:lang w:val="es-ES" w:eastAsia="en-US"/>
              </w:rPr>
            </w:pPr>
            <w:r>
              <w:rPr>
                <w:rFonts w:cs="Arial"/>
                <w:sz w:val="16"/>
                <w:szCs w:val="16"/>
                <w:lang w:val="es-ES" w:eastAsia="en-US"/>
              </w:rPr>
              <w:t>1.8.2 Servicios Estadísticos.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BD484C5" w14:textId="6FB1B88C"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2F6240C" w14:textId="2F673CFB"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D1E02F" w14:textId="2C673A5D"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724F07D6"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007DDC3B" w14:textId="77777777" w:rsidR="00A41077" w:rsidRDefault="00A41077" w:rsidP="00A41077">
            <w:pPr>
              <w:spacing w:line="256" w:lineRule="auto"/>
              <w:rPr>
                <w:rFonts w:cs="Arial"/>
                <w:sz w:val="16"/>
                <w:szCs w:val="16"/>
                <w:lang w:val="es-ES" w:eastAsia="en-US"/>
              </w:rPr>
            </w:pPr>
            <w:r>
              <w:rPr>
                <w:rFonts w:cs="Arial"/>
                <w:sz w:val="16"/>
                <w:szCs w:val="16"/>
                <w:lang w:val="es-ES" w:eastAsia="en-US"/>
              </w:rPr>
              <w:t>1.8.3 Servicios de Comunicación y Medios.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77766154" w14:textId="43FC58AC"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380BF91" w14:textId="08D826E4"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41D9D8" w14:textId="4EE868BE"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3726872D"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5CEC8ACF" w14:textId="77777777" w:rsidR="00A41077" w:rsidRDefault="00A41077" w:rsidP="00A41077">
            <w:pPr>
              <w:spacing w:line="256" w:lineRule="auto"/>
              <w:rPr>
                <w:rFonts w:cs="Arial"/>
                <w:sz w:val="16"/>
                <w:szCs w:val="16"/>
                <w:lang w:val="es-ES" w:eastAsia="en-US"/>
              </w:rPr>
            </w:pPr>
            <w:r>
              <w:rPr>
                <w:rFonts w:cs="Arial"/>
                <w:sz w:val="16"/>
                <w:szCs w:val="16"/>
                <w:lang w:val="es-ES" w:eastAsia="en-US"/>
              </w:rPr>
              <w:t>1.8.4 Acceso a la Información Pública Gubernamental.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799620F4" w14:textId="3C11884B" w:rsidR="00A41077" w:rsidRDefault="00A41077" w:rsidP="00A41077">
            <w:pPr>
              <w:spacing w:line="256" w:lineRule="auto"/>
              <w:jc w:val="right"/>
              <w:rPr>
                <w:rFonts w:cs="Arial"/>
                <w:sz w:val="16"/>
                <w:szCs w:val="16"/>
                <w:lang w:val="es-ES" w:eastAsia="en-US"/>
              </w:rPr>
            </w:pPr>
            <w:r>
              <w:rPr>
                <w:rFonts w:cs="Arial"/>
                <w:color w:val="000000"/>
                <w:sz w:val="16"/>
                <w:szCs w:val="16"/>
              </w:rPr>
              <w:t>22,760,557</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F7B3737" w14:textId="1AD90FFC"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01F527" w14:textId="004D5131" w:rsidR="00A41077" w:rsidRDefault="00A41077" w:rsidP="00A41077">
            <w:pPr>
              <w:spacing w:line="256" w:lineRule="auto"/>
              <w:jc w:val="right"/>
              <w:rPr>
                <w:rFonts w:cs="Arial"/>
                <w:sz w:val="16"/>
                <w:szCs w:val="16"/>
                <w:lang w:val="es-ES" w:eastAsia="en-US"/>
              </w:rPr>
            </w:pPr>
            <w:r>
              <w:rPr>
                <w:rFonts w:cs="Arial"/>
                <w:color w:val="000000"/>
                <w:sz w:val="16"/>
                <w:szCs w:val="16"/>
              </w:rPr>
              <w:t>22,760,557</w:t>
            </w:r>
          </w:p>
        </w:tc>
      </w:tr>
      <w:tr w:rsidR="00A41077" w14:paraId="13524197"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5C1C910D" w14:textId="77777777" w:rsidR="00A41077" w:rsidRDefault="00A41077" w:rsidP="00A41077">
            <w:pPr>
              <w:spacing w:line="256" w:lineRule="auto"/>
              <w:rPr>
                <w:rFonts w:cs="Arial"/>
                <w:sz w:val="16"/>
                <w:szCs w:val="16"/>
                <w:lang w:val="es-ES" w:eastAsia="en-US"/>
              </w:rPr>
            </w:pPr>
            <w:r>
              <w:rPr>
                <w:rFonts w:cs="Arial"/>
                <w:sz w:val="16"/>
                <w:szCs w:val="16"/>
                <w:lang w:val="es-ES" w:eastAsia="en-US"/>
              </w:rPr>
              <w:t>1.8.5 Otros.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EF59968" w14:textId="2A4F7B4E" w:rsidR="00A41077" w:rsidRDefault="00A41077" w:rsidP="00A41077">
            <w:pPr>
              <w:spacing w:line="256" w:lineRule="auto"/>
              <w:jc w:val="right"/>
              <w:rPr>
                <w:rFonts w:cs="Arial"/>
                <w:sz w:val="16"/>
                <w:szCs w:val="16"/>
                <w:lang w:val="es-ES" w:eastAsia="en-US"/>
              </w:rPr>
            </w:pPr>
            <w:r>
              <w:rPr>
                <w:rFonts w:cs="Arial"/>
                <w:color w:val="000000"/>
                <w:sz w:val="16"/>
                <w:szCs w:val="16"/>
              </w:rPr>
              <w:t>292,975,604</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F0B0405" w14:textId="41DE6E76"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A61A78" w14:textId="7D4FA2AC" w:rsidR="00A41077" w:rsidRDefault="00A41077" w:rsidP="00A41077">
            <w:pPr>
              <w:spacing w:line="256" w:lineRule="auto"/>
              <w:jc w:val="right"/>
              <w:rPr>
                <w:rFonts w:cs="Arial"/>
                <w:sz w:val="16"/>
                <w:szCs w:val="16"/>
                <w:lang w:val="es-ES" w:eastAsia="en-US"/>
              </w:rPr>
            </w:pPr>
            <w:r>
              <w:rPr>
                <w:rFonts w:cs="Arial"/>
                <w:color w:val="000000"/>
                <w:sz w:val="16"/>
                <w:szCs w:val="16"/>
              </w:rPr>
              <w:t>292,975,604</w:t>
            </w:r>
          </w:p>
        </w:tc>
      </w:tr>
      <w:tr w:rsidR="00A41077" w14:paraId="5A473810"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55AB0915" w14:textId="77777777" w:rsidR="00A41077" w:rsidRDefault="00A41077" w:rsidP="00A41077">
            <w:pPr>
              <w:numPr>
                <w:ilvl w:val="0"/>
                <w:numId w:val="2"/>
              </w:numPr>
              <w:spacing w:line="256" w:lineRule="auto"/>
              <w:ind w:left="0"/>
              <w:rPr>
                <w:rFonts w:cs="Arial"/>
                <w:b/>
                <w:sz w:val="16"/>
                <w:szCs w:val="16"/>
                <w:lang w:val="es-ES" w:eastAsia="en-US"/>
              </w:rPr>
            </w:pPr>
            <w:r>
              <w:rPr>
                <w:rFonts w:cs="Arial"/>
                <w:b/>
                <w:sz w:val="16"/>
                <w:szCs w:val="16"/>
                <w:lang w:val="es-ES" w:eastAsia="en-US"/>
              </w:rPr>
              <w:t>2. DESARROLLO SOCIAL.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D88528F" w14:textId="47ACDBA5" w:rsidR="00A41077" w:rsidRDefault="00A41077" w:rsidP="00A41077">
            <w:pPr>
              <w:spacing w:line="256" w:lineRule="auto"/>
              <w:ind w:left="-360"/>
              <w:jc w:val="right"/>
              <w:rPr>
                <w:rFonts w:cs="Arial"/>
                <w:b/>
                <w:sz w:val="16"/>
                <w:szCs w:val="16"/>
                <w:lang w:val="es-ES" w:eastAsia="en-US"/>
              </w:rPr>
            </w:pPr>
            <w:r>
              <w:rPr>
                <w:rFonts w:cs="Arial"/>
                <w:b/>
                <w:bCs/>
                <w:color w:val="000000"/>
                <w:sz w:val="16"/>
                <w:szCs w:val="16"/>
              </w:rPr>
              <w:t>12,778,499,215</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1D3E8F5" w14:textId="54F3255D" w:rsidR="00A41077" w:rsidRDefault="00A41077" w:rsidP="00A41077">
            <w:pPr>
              <w:spacing w:line="256" w:lineRule="auto"/>
              <w:jc w:val="right"/>
              <w:rPr>
                <w:rFonts w:cs="Arial"/>
                <w:b/>
                <w:sz w:val="16"/>
                <w:szCs w:val="16"/>
                <w:lang w:val="es-ES" w:eastAsia="en-US"/>
              </w:rPr>
            </w:pPr>
            <w:r>
              <w:rPr>
                <w:rFonts w:cs="Arial"/>
                <w:b/>
                <w:bCs/>
                <w:color w:val="000000"/>
                <w:sz w:val="16"/>
                <w:szCs w:val="16"/>
              </w:rPr>
              <w:t>2,078,211,539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9CAA8A" w14:textId="3D0EA7E2" w:rsidR="00A41077" w:rsidRDefault="00A41077" w:rsidP="00A41077">
            <w:pPr>
              <w:spacing w:line="256" w:lineRule="auto"/>
              <w:ind w:left="-360"/>
              <w:jc w:val="right"/>
              <w:rPr>
                <w:rFonts w:cs="Arial"/>
                <w:b/>
                <w:sz w:val="16"/>
                <w:szCs w:val="16"/>
                <w:lang w:val="es-ES" w:eastAsia="en-US"/>
              </w:rPr>
            </w:pPr>
            <w:r>
              <w:rPr>
                <w:rFonts w:cs="Arial"/>
                <w:b/>
                <w:bCs/>
                <w:color w:val="000000"/>
                <w:sz w:val="16"/>
                <w:szCs w:val="16"/>
              </w:rPr>
              <w:t>14,856,710,754</w:t>
            </w:r>
          </w:p>
        </w:tc>
      </w:tr>
      <w:tr w:rsidR="00A41077" w14:paraId="1103898A"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93EA609"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2.1.  PROTECCIÓN AMBIENTAL.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73749A82" w14:textId="473BF0E9" w:rsidR="00A41077" w:rsidRDefault="00A41077" w:rsidP="00A41077">
            <w:pPr>
              <w:spacing w:line="256" w:lineRule="auto"/>
              <w:jc w:val="right"/>
              <w:rPr>
                <w:rFonts w:cs="Arial"/>
                <w:b/>
                <w:sz w:val="16"/>
                <w:szCs w:val="16"/>
                <w:lang w:val="es-ES" w:eastAsia="en-US"/>
              </w:rPr>
            </w:pPr>
            <w:r>
              <w:rPr>
                <w:rFonts w:cs="Arial"/>
                <w:b/>
                <w:bCs/>
                <w:color w:val="000000"/>
                <w:sz w:val="16"/>
                <w:szCs w:val="16"/>
              </w:rPr>
              <w:t>103,225,069</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B585527" w14:textId="4FA6182B"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C7909B" w14:textId="604F4CEF" w:rsidR="00A41077" w:rsidRDefault="00A41077" w:rsidP="00A41077">
            <w:pPr>
              <w:spacing w:line="256" w:lineRule="auto"/>
              <w:jc w:val="right"/>
              <w:rPr>
                <w:rFonts w:cs="Arial"/>
                <w:b/>
                <w:sz w:val="16"/>
                <w:szCs w:val="16"/>
                <w:lang w:val="es-ES" w:eastAsia="en-US"/>
              </w:rPr>
            </w:pPr>
            <w:r>
              <w:rPr>
                <w:rFonts w:cs="Arial"/>
                <w:b/>
                <w:bCs/>
                <w:color w:val="000000"/>
                <w:sz w:val="16"/>
                <w:szCs w:val="16"/>
              </w:rPr>
              <w:t>103,225,069</w:t>
            </w:r>
          </w:p>
        </w:tc>
      </w:tr>
      <w:tr w:rsidR="00A41077" w14:paraId="7233FE7F"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4FC036F1" w14:textId="77777777" w:rsidR="00A41077" w:rsidRDefault="00A41077" w:rsidP="00A41077">
            <w:pPr>
              <w:spacing w:line="256" w:lineRule="auto"/>
              <w:rPr>
                <w:rFonts w:cs="Arial"/>
                <w:sz w:val="16"/>
                <w:szCs w:val="16"/>
                <w:lang w:val="es-ES" w:eastAsia="en-US"/>
              </w:rPr>
            </w:pPr>
            <w:r>
              <w:rPr>
                <w:rFonts w:cs="Arial"/>
                <w:sz w:val="16"/>
                <w:szCs w:val="16"/>
                <w:lang w:val="es-ES" w:eastAsia="en-US"/>
              </w:rPr>
              <w:t>2.1.1 Ordenación de Desechos.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C08A427" w14:textId="13772D89" w:rsidR="00A41077" w:rsidRDefault="00A41077" w:rsidP="00A41077">
            <w:pPr>
              <w:spacing w:line="256" w:lineRule="auto"/>
              <w:jc w:val="right"/>
              <w:rPr>
                <w:rFonts w:cs="Arial"/>
                <w:sz w:val="16"/>
                <w:szCs w:val="16"/>
                <w:lang w:val="es-ES" w:eastAsia="en-US"/>
              </w:rPr>
            </w:pPr>
            <w:r>
              <w:rPr>
                <w:rFonts w:cs="Arial"/>
                <w:color w:val="000000"/>
                <w:sz w:val="16"/>
                <w:szCs w:val="16"/>
              </w:rPr>
              <w:t>21,730,883</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28E3587" w14:textId="3D513F93"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A828D9" w14:textId="468943C8" w:rsidR="00A41077" w:rsidRDefault="00A41077" w:rsidP="00A41077">
            <w:pPr>
              <w:spacing w:line="256" w:lineRule="auto"/>
              <w:jc w:val="right"/>
              <w:rPr>
                <w:rFonts w:cs="Arial"/>
                <w:sz w:val="16"/>
                <w:szCs w:val="16"/>
                <w:lang w:val="es-ES" w:eastAsia="en-US"/>
              </w:rPr>
            </w:pPr>
            <w:r>
              <w:rPr>
                <w:rFonts w:cs="Arial"/>
                <w:color w:val="000000"/>
                <w:sz w:val="16"/>
                <w:szCs w:val="16"/>
              </w:rPr>
              <w:t>21,730,883</w:t>
            </w:r>
          </w:p>
        </w:tc>
      </w:tr>
      <w:tr w:rsidR="00A41077" w14:paraId="22AB1610"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4FB73D1B" w14:textId="77777777" w:rsidR="00A41077" w:rsidRDefault="00A41077" w:rsidP="00A41077">
            <w:pPr>
              <w:spacing w:line="256" w:lineRule="auto"/>
              <w:rPr>
                <w:rFonts w:cs="Arial"/>
                <w:sz w:val="16"/>
                <w:szCs w:val="16"/>
                <w:lang w:val="es-ES" w:eastAsia="en-US"/>
              </w:rPr>
            </w:pPr>
            <w:r>
              <w:rPr>
                <w:rFonts w:cs="Arial"/>
                <w:sz w:val="16"/>
                <w:szCs w:val="16"/>
                <w:lang w:val="es-ES" w:eastAsia="en-US"/>
              </w:rPr>
              <w:t>2.1.2 Administración del Agua.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3B00F19" w14:textId="083F5406" w:rsidR="00A41077" w:rsidRDefault="00A41077" w:rsidP="00A41077">
            <w:pPr>
              <w:spacing w:line="256" w:lineRule="auto"/>
              <w:jc w:val="right"/>
              <w:rPr>
                <w:rFonts w:cs="Arial"/>
                <w:sz w:val="16"/>
                <w:szCs w:val="16"/>
                <w:lang w:val="es-ES" w:eastAsia="en-US"/>
              </w:rPr>
            </w:pPr>
            <w:r>
              <w:rPr>
                <w:rFonts w:cs="Arial"/>
                <w:color w:val="000000"/>
                <w:sz w:val="16"/>
                <w:szCs w:val="16"/>
              </w:rPr>
              <w:t>18,003,814</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4400733" w14:textId="5844E1D3"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61168E" w14:textId="1F3CD264" w:rsidR="00A41077" w:rsidRDefault="00A41077" w:rsidP="00A41077">
            <w:pPr>
              <w:spacing w:line="256" w:lineRule="auto"/>
              <w:jc w:val="right"/>
              <w:rPr>
                <w:rFonts w:cs="Arial"/>
                <w:sz w:val="16"/>
                <w:szCs w:val="16"/>
                <w:lang w:val="es-ES" w:eastAsia="en-US"/>
              </w:rPr>
            </w:pPr>
            <w:r>
              <w:rPr>
                <w:rFonts w:cs="Arial"/>
                <w:color w:val="000000"/>
                <w:sz w:val="16"/>
                <w:szCs w:val="16"/>
              </w:rPr>
              <w:t>18,003,814</w:t>
            </w:r>
          </w:p>
        </w:tc>
      </w:tr>
      <w:tr w:rsidR="00A41077" w14:paraId="50036D9C"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187A1A70" w14:textId="77777777" w:rsidR="00A41077" w:rsidRDefault="00A41077" w:rsidP="00A41077">
            <w:pPr>
              <w:spacing w:line="256" w:lineRule="auto"/>
              <w:rPr>
                <w:rFonts w:cs="Arial"/>
                <w:sz w:val="16"/>
                <w:szCs w:val="16"/>
                <w:lang w:val="es-ES" w:eastAsia="en-US"/>
              </w:rPr>
            </w:pPr>
            <w:r>
              <w:rPr>
                <w:rFonts w:cs="Arial"/>
                <w:sz w:val="16"/>
                <w:szCs w:val="16"/>
                <w:lang w:val="es-ES" w:eastAsia="en-US"/>
              </w:rPr>
              <w:t>2.1.3 Ordenación de Aguas Residuales, Drenaje y Alcantarillado.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F54FE20" w14:textId="2BCE47B5" w:rsidR="00A41077" w:rsidRDefault="00A41077" w:rsidP="00A41077">
            <w:pPr>
              <w:spacing w:line="256" w:lineRule="auto"/>
              <w:jc w:val="right"/>
              <w:rPr>
                <w:rFonts w:cs="Arial"/>
                <w:sz w:val="16"/>
                <w:szCs w:val="16"/>
                <w:lang w:val="es-ES" w:eastAsia="en-US"/>
              </w:rPr>
            </w:pPr>
            <w:r>
              <w:rPr>
                <w:rFonts w:cs="Arial"/>
                <w:color w:val="000000"/>
                <w:sz w:val="16"/>
                <w:szCs w:val="16"/>
              </w:rPr>
              <w:t>5,034,000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AA5D763" w14:textId="0EF1990D"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44A88F" w14:textId="5D2F5F82" w:rsidR="00A41077" w:rsidRDefault="00A41077" w:rsidP="00A41077">
            <w:pPr>
              <w:spacing w:line="256" w:lineRule="auto"/>
              <w:jc w:val="right"/>
              <w:rPr>
                <w:rFonts w:cs="Arial"/>
                <w:sz w:val="16"/>
                <w:szCs w:val="16"/>
                <w:lang w:val="es-ES" w:eastAsia="en-US"/>
              </w:rPr>
            </w:pPr>
            <w:r>
              <w:rPr>
                <w:rFonts w:cs="Arial"/>
                <w:color w:val="000000"/>
                <w:sz w:val="16"/>
                <w:szCs w:val="16"/>
              </w:rPr>
              <w:t>5,034,000</w:t>
            </w:r>
          </w:p>
        </w:tc>
      </w:tr>
      <w:tr w:rsidR="00A41077" w14:paraId="734D2FC6"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2E90D696" w14:textId="77777777" w:rsidR="00A41077" w:rsidRDefault="00A41077" w:rsidP="00A41077">
            <w:pPr>
              <w:spacing w:line="256" w:lineRule="auto"/>
              <w:rPr>
                <w:rFonts w:cs="Arial"/>
                <w:sz w:val="16"/>
                <w:szCs w:val="16"/>
                <w:lang w:val="es-ES" w:eastAsia="en-US"/>
              </w:rPr>
            </w:pPr>
            <w:r>
              <w:rPr>
                <w:rFonts w:cs="Arial"/>
                <w:sz w:val="16"/>
                <w:szCs w:val="16"/>
                <w:lang w:val="es-ES" w:eastAsia="en-US"/>
              </w:rPr>
              <w:t>2.1.4 Reducción de la Contaminación.</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584F4F7" w14:textId="48420485"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8B64B3F" w14:textId="461EB71A"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718D78" w14:textId="32A87E35"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7C12DD39"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32EB071" w14:textId="77777777" w:rsidR="00A41077" w:rsidRDefault="00A41077" w:rsidP="00A41077">
            <w:pPr>
              <w:spacing w:line="256" w:lineRule="auto"/>
              <w:rPr>
                <w:rFonts w:cs="Arial"/>
                <w:sz w:val="16"/>
                <w:szCs w:val="16"/>
                <w:lang w:val="es-ES" w:eastAsia="en-US"/>
              </w:rPr>
            </w:pPr>
            <w:r>
              <w:rPr>
                <w:rFonts w:cs="Arial"/>
                <w:sz w:val="16"/>
                <w:szCs w:val="16"/>
                <w:lang w:val="es-ES" w:eastAsia="en-US"/>
              </w:rPr>
              <w:t>2.1.5 Protección de la Diversidad Biológica y del Paisaje.</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133E672" w14:textId="337EA97F"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F1C85F2" w14:textId="398CF4AF"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4B6949" w14:textId="0DF95153"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2CCE47B6"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ABDCD63" w14:textId="77777777" w:rsidR="00A41077" w:rsidRDefault="00A41077" w:rsidP="00A41077">
            <w:pPr>
              <w:spacing w:line="256" w:lineRule="auto"/>
              <w:rPr>
                <w:rFonts w:cs="Arial"/>
                <w:sz w:val="16"/>
                <w:szCs w:val="16"/>
                <w:lang w:val="es-ES" w:eastAsia="en-US"/>
              </w:rPr>
            </w:pPr>
            <w:r>
              <w:rPr>
                <w:rFonts w:cs="Arial"/>
                <w:sz w:val="16"/>
                <w:szCs w:val="16"/>
                <w:lang w:val="es-ES" w:eastAsia="en-US"/>
              </w:rPr>
              <w:t>2.1.6 Otros de Protección Ambiental.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E7D4E91" w14:textId="290BAAE2" w:rsidR="00A41077" w:rsidRDefault="00A41077" w:rsidP="00A41077">
            <w:pPr>
              <w:spacing w:line="256" w:lineRule="auto"/>
              <w:jc w:val="right"/>
              <w:rPr>
                <w:rFonts w:cs="Arial"/>
                <w:sz w:val="16"/>
                <w:szCs w:val="16"/>
                <w:lang w:val="es-ES" w:eastAsia="en-US"/>
              </w:rPr>
            </w:pPr>
            <w:r>
              <w:rPr>
                <w:rFonts w:cs="Arial"/>
                <w:color w:val="000000"/>
                <w:sz w:val="16"/>
                <w:szCs w:val="16"/>
              </w:rPr>
              <w:t>58,456,372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83BF768" w14:textId="14FE3B3F"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8F0561" w14:textId="6E4A2136" w:rsidR="00A41077" w:rsidRDefault="00A41077" w:rsidP="00A41077">
            <w:pPr>
              <w:spacing w:line="256" w:lineRule="auto"/>
              <w:jc w:val="right"/>
              <w:rPr>
                <w:rFonts w:cs="Arial"/>
                <w:sz w:val="16"/>
                <w:szCs w:val="16"/>
                <w:lang w:val="es-ES" w:eastAsia="en-US"/>
              </w:rPr>
            </w:pPr>
            <w:r>
              <w:rPr>
                <w:rFonts w:cs="Arial"/>
                <w:color w:val="000000"/>
                <w:sz w:val="16"/>
                <w:szCs w:val="16"/>
              </w:rPr>
              <w:t>58,456,372</w:t>
            </w:r>
          </w:p>
        </w:tc>
      </w:tr>
      <w:tr w:rsidR="00A41077" w14:paraId="6119F8AA"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00A1D322"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2.2.  VIVIENDA Y SERVICIOS A LA COMUNIDAD.</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B2D73CD" w14:textId="04AE0F97" w:rsidR="00A41077" w:rsidRDefault="00A41077" w:rsidP="00A41077">
            <w:pPr>
              <w:spacing w:line="256" w:lineRule="auto"/>
              <w:jc w:val="right"/>
              <w:rPr>
                <w:rFonts w:cs="Arial"/>
                <w:b/>
                <w:sz w:val="16"/>
                <w:szCs w:val="16"/>
                <w:lang w:val="es-ES" w:eastAsia="en-US"/>
              </w:rPr>
            </w:pPr>
            <w:r>
              <w:rPr>
                <w:rFonts w:cs="Arial"/>
                <w:b/>
                <w:bCs/>
                <w:color w:val="000000"/>
                <w:sz w:val="16"/>
                <w:szCs w:val="16"/>
              </w:rPr>
              <w:t>38,247,512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9C05F01" w14:textId="16C75B29"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09A55E" w14:textId="370027E9" w:rsidR="00A41077" w:rsidRDefault="00A41077" w:rsidP="00A41077">
            <w:pPr>
              <w:spacing w:line="256" w:lineRule="auto"/>
              <w:jc w:val="right"/>
              <w:rPr>
                <w:rFonts w:cs="Arial"/>
                <w:b/>
                <w:sz w:val="16"/>
                <w:szCs w:val="16"/>
                <w:lang w:val="es-ES" w:eastAsia="en-US"/>
              </w:rPr>
            </w:pPr>
            <w:r>
              <w:rPr>
                <w:rFonts w:cs="Arial"/>
                <w:b/>
                <w:bCs/>
                <w:color w:val="000000"/>
                <w:sz w:val="16"/>
                <w:szCs w:val="16"/>
              </w:rPr>
              <w:t>38,247,512</w:t>
            </w:r>
          </w:p>
        </w:tc>
      </w:tr>
      <w:tr w:rsidR="00A41077" w14:paraId="4ABBA1AA"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3C6572B7" w14:textId="77777777" w:rsidR="00A41077" w:rsidRDefault="00A41077" w:rsidP="00A41077">
            <w:pPr>
              <w:spacing w:line="256" w:lineRule="auto"/>
              <w:rPr>
                <w:rFonts w:cs="Arial"/>
                <w:sz w:val="16"/>
                <w:szCs w:val="16"/>
                <w:lang w:val="es-ES" w:eastAsia="en-US"/>
              </w:rPr>
            </w:pPr>
            <w:r>
              <w:rPr>
                <w:rFonts w:cs="Arial"/>
                <w:sz w:val="16"/>
                <w:szCs w:val="16"/>
                <w:lang w:val="es-ES" w:eastAsia="en-US"/>
              </w:rPr>
              <w:t>2.2.1 Urbanización.</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AEEB1F8" w14:textId="77D73594" w:rsidR="00A41077" w:rsidRDefault="00A41077" w:rsidP="00A41077">
            <w:pPr>
              <w:spacing w:line="256" w:lineRule="auto"/>
              <w:jc w:val="right"/>
              <w:rPr>
                <w:rFonts w:cs="Arial"/>
                <w:sz w:val="16"/>
                <w:szCs w:val="16"/>
                <w:lang w:val="es-ES" w:eastAsia="en-US"/>
              </w:rPr>
            </w:pPr>
            <w:r>
              <w:rPr>
                <w:rFonts w:cs="Arial"/>
                <w:color w:val="000000"/>
                <w:sz w:val="16"/>
                <w:szCs w:val="16"/>
              </w:rPr>
              <w:t>37,242,512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22E489D" w14:textId="322BCF96"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A4A0DA" w14:textId="61EA81B2" w:rsidR="00A41077" w:rsidRDefault="00A41077" w:rsidP="00A41077">
            <w:pPr>
              <w:spacing w:line="256" w:lineRule="auto"/>
              <w:jc w:val="right"/>
              <w:rPr>
                <w:rFonts w:cs="Arial"/>
                <w:sz w:val="16"/>
                <w:szCs w:val="16"/>
                <w:lang w:val="es-ES" w:eastAsia="en-US"/>
              </w:rPr>
            </w:pPr>
            <w:r>
              <w:rPr>
                <w:rFonts w:cs="Arial"/>
                <w:color w:val="000000"/>
                <w:sz w:val="16"/>
                <w:szCs w:val="16"/>
              </w:rPr>
              <w:t>37,242,512</w:t>
            </w:r>
          </w:p>
        </w:tc>
      </w:tr>
      <w:tr w:rsidR="00A41077" w14:paraId="156D776C"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1B35C1C3" w14:textId="77777777" w:rsidR="00A41077" w:rsidRDefault="00A41077" w:rsidP="00A41077">
            <w:pPr>
              <w:spacing w:line="256" w:lineRule="auto"/>
              <w:rPr>
                <w:rFonts w:cs="Arial"/>
                <w:sz w:val="16"/>
                <w:szCs w:val="16"/>
                <w:lang w:val="es-ES" w:eastAsia="en-US"/>
              </w:rPr>
            </w:pPr>
            <w:r>
              <w:rPr>
                <w:rFonts w:cs="Arial"/>
                <w:sz w:val="16"/>
                <w:szCs w:val="16"/>
                <w:lang w:val="es-ES" w:eastAsia="en-US"/>
              </w:rPr>
              <w:lastRenderedPageBreak/>
              <w:t>2.2.2 Desarrollo Comunitario.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785728DB" w14:textId="1C148B7D"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2C763A7" w14:textId="0E151377"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46CE83" w14:textId="4802446D"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31E95025"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238B1937" w14:textId="77777777" w:rsidR="00A41077" w:rsidRDefault="00A41077" w:rsidP="00A41077">
            <w:pPr>
              <w:spacing w:line="256" w:lineRule="auto"/>
              <w:rPr>
                <w:rFonts w:cs="Arial"/>
                <w:sz w:val="16"/>
                <w:szCs w:val="16"/>
                <w:lang w:val="es-ES" w:eastAsia="en-US"/>
              </w:rPr>
            </w:pPr>
            <w:r>
              <w:rPr>
                <w:rFonts w:cs="Arial"/>
                <w:sz w:val="16"/>
                <w:szCs w:val="16"/>
                <w:lang w:val="es-ES" w:eastAsia="en-US"/>
              </w:rPr>
              <w:t>2.2.3 Abastecimiento de Agua.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A53288D" w14:textId="3B9BD223" w:rsidR="00A41077" w:rsidRDefault="00A41077" w:rsidP="00A41077">
            <w:pPr>
              <w:spacing w:line="256" w:lineRule="auto"/>
              <w:jc w:val="right"/>
              <w:rPr>
                <w:rFonts w:cs="Arial"/>
                <w:sz w:val="16"/>
                <w:szCs w:val="16"/>
                <w:lang w:val="es-ES" w:eastAsia="en-US"/>
              </w:rPr>
            </w:pPr>
            <w:r>
              <w:rPr>
                <w:rFonts w:cs="Arial"/>
                <w:color w:val="000000"/>
                <w:sz w:val="16"/>
                <w:szCs w:val="16"/>
              </w:rPr>
              <w:t>1,005,000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3476D55" w14:textId="238A4B93"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3A33FC" w14:textId="156A3242" w:rsidR="00A41077" w:rsidRDefault="00A41077" w:rsidP="00A41077">
            <w:pPr>
              <w:spacing w:line="256" w:lineRule="auto"/>
              <w:jc w:val="right"/>
              <w:rPr>
                <w:rFonts w:cs="Arial"/>
                <w:sz w:val="16"/>
                <w:szCs w:val="16"/>
                <w:lang w:val="es-ES" w:eastAsia="en-US"/>
              </w:rPr>
            </w:pPr>
            <w:r>
              <w:rPr>
                <w:rFonts w:cs="Arial"/>
                <w:color w:val="000000"/>
                <w:sz w:val="16"/>
                <w:szCs w:val="16"/>
              </w:rPr>
              <w:t>1,005,000</w:t>
            </w:r>
          </w:p>
        </w:tc>
      </w:tr>
      <w:tr w:rsidR="00A41077" w14:paraId="571ED163"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5EB4702F" w14:textId="77777777" w:rsidR="00A41077" w:rsidRDefault="00A41077" w:rsidP="00A41077">
            <w:pPr>
              <w:spacing w:line="256" w:lineRule="auto"/>
              <w:rPr>
                <w:rFonts w:cs="Arial"/>
                <w:sz w:val="16"/>
                <w:szCs w:val="16"/>
                <w:lang w:val="es-ES" w:eastAsia="en-US"/>
              </w:rPr>
            </w:pPr>
            <w:r>
              <w:rPr>
                <w:rFonts w:cs="Arial"/>
                <w:sz w:val="16"/>
                <w:szCs w:val="16"/>
                <w:lang w:val="es-ES" w:eastAsia="en-US"/>
              </w:rPr>
              <w:t>2.2.4 Alumbrado Público.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B40A59F" w14:textId="5167580E"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A1EA9D8" w14:textId="05AC1784"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667838" w14:textId="70F79AA2"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13940882"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5453A306" w14:textId="77777777" w:rsidR="00A41077" w:rsidRDefault="00A41077" w:rsidP="00A41077">
            <w:pPr>
              <w:spacing w:line="256" w:lineRule="auto"/>
              <w:rPr>
                <w:rFonts w:cs="Arial"/>
                <w:sz w:val="16"/>
                <w:szCs w:val="16"/>
                <w:lang w:val="es-ES" w:eastAsia="en-US"/>
              </w:rPr>
            </w:pPr>
            <w:r>
              <w:rPr>
                <w:rFonts w:cs="Arial"/>
                <w:sz w:val="16"/>
                <w:szCs w:val="16"/>
                <w:lang w:val="es-ES" w:eastAsia="en-US"/>
              </w:rPr>
              <w:t>2.2.5 Vivienda.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7A1F1C7" w14:textId="6213044D"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AC5158B" w14:textId="1B455996"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D83C74" w14:textId="35DA32B8"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55A980B8"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311718F4" w14:textId="77777777" w:rsidR="00A41077" w:rsidRDefault="00A41077" w:rsidP="00A41077">
            <w:pPr>
              <w:spacing w:line="256" w:lineRule="auto"/>
              <w:rPr>
                <w:rFonts w:cs="Arial"/>
                <w:sz w:val="16"/>
                <w:szCs w:val="16"/>
                <w:lang w:val="es-ES" w:eastAsia="en-US"/>
              </w:rPr>
            </w:pPr>
            <w:r>
              <w:rPr>
                <w:rFonts w:cs="Arial"/>
                <w:sz w:val="16"/>
                <w:szCs w:val="16"/>
                <w:lang w:val="es-ES" w:eastAsia="en-US"/>
              </w:rPr>
              <w:t>2.2.6 Servicios Comunales.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E25052E" w14:textId="25647165"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D44ACEC" w14:textId="6C96283E"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AAB332" w14:textId="334F81E9"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245D40E8"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62BC00D6" w14:textId="77777777" w:rsidR="00A41077" w:rsidRDefault="00A41077" w:rsidP="00A41077">
            <w:pPr>
              <w:spacing w:line="256" w:lineRule="auto"/>
              <w:rPr>
                <w:rFonts w:cs="Arial"/>
                <w:sz w:val="16"/>
                <w:szCs w:val="16"/>
                <w:lang w:val="es-ES" w:eastAsia="en-US"/>
              </w:rPr>
            </w:pPr>
            <w:r>
              <w:rPr>
                <w:rFonts w:cs="Arial"/>
                <w:sz w:val="16"/>
                <w:szCs w:val="16"/>
                <w:lang w:val="es-ES" w:eastAsia="en-US"/>
              </w:rPr>
              <w:t>2.2.7 Desarrollo Regional.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1790475" w14:textId="4DD8FC9B"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AACD9DC" w14:textId="28057E2D"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2ED990" w14:textId="53B3E4A8"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1489ECEB"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288FC4B9"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2.3.  SALUD.</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E7AA8C7" w14:textId="3FB6B738" w:rsidR="00A41077" w:rsidRDefault="00A41077" w:rsidP="00A41077">
            <w:pPr>
              <w:spacing w:line="256" w:lineRule="auto"/>
              <w:jc w:val="right"/>
              <w:rPr>
                <w:rFonts w:cs="Arial"/>
                <w:b/>
                <w:sz w:val="16"/>
                <w:szCs w:val="16"/>
                <w:lang w:val="es-ES" w:eastAsia="en-US"/>
              </w:rPr>
            </w:pPr>
            <w:r>
              <w:rPr>
                <w:rFonts w:cs="Arial"/>
                <w:b/>
                <w:bCs/>
                <w:color w:val="000000"/>
                <w:sz w:val="16"/>
                <w:szCs w:val="16"/>
              </w:rPr>
              <w:t>2,505,979,102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2A99D48" w14:textId="0E030C94"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039578" w14:textId="56A219A1" w:rsidR="00A41077" w:rsidRDefault="00A41077" w:rsidP="00A41077">
            <w:pPr>
              <w:spacing w:line="256" w:lineRule="auto"/>
              <w:jc w:val="right"/>
              <w:rPr>
                <w:rFonts w:cs="Arial"/>
                <w:b/>
                <w:sz w:val="16"/>
                <w:szCs w:val="16"/>
                <w:lang w:val="es-ES" w:eastAsia="en-US"/>
              </w:rPr>
            </w:pPr>
            <w:r>
              <w:rPr>
                <w:rFonts w:cs="Arial"/>
                <w:b/>
                <w:bCs/>
                <w:color w:val="000000"/>
                <w:sz w:val="16"/>
                <w:szCs w:val="16"/>
              </w:rPr>
              <w:t>2,505,979,102</w:t>
            </w:r>
          </w:p>
        </w:tc>
      </w:tr>
      <w:tr w:rsidR="00A41077" w14:paraId="75C56CA5"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0A52C26D" w14:textId="77777777" w:rsidR="00A41077" w:rsidRDefault="00A41077" w:rsidP="00A41077">
            <w:pPr>
              <w:spacing w:line="256" w:lineRule="auto"/>
              <w:rPr>
                <w:rFonts w:cs="Arial"/>
                <w:sz w:val="16"/>
                <w:szCs w:val="16"/>
                <w:lang w:val="es-ES" w:eastAsia="en-US"/>
              </w:rPr>
            </w:pPr>
            <w:r>
              <w:rPr>
                <w:rFonts w:cs="Arial"/>
                <w:sz w:val="16"/>
                <w:szCs w:val="16"/>
                <w:lang w:val="es-ES" w:eastAsia="en-US"/>
              </w:rPr>
              <w:t>2.3.1 Prestación de Servicios de Salud a la Comunidad.</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3F974EA" w14:textId="4D255DC6" w:rsidR="00A41077" w:rsidRDefault="00A41077" w:rsidP="00A41077">
            <w:pPr>
              <w:spacing w:line="256" w:lineRule="auto"/>
              <w:jc w:val="right"/>
              <w:rPr>
                <w:rFonts w:cs="Arial"/>
                <w:sz w:val="16"/>
                <w:szCs w:val="16"/>
                <w:lang w:val="es-ES" w:eastAsia="en-US"/>
              </w:rPr>
            </w:pPr>
            <w:r>
              <w:rPr>
                <w:rFonts w:cs="Arial"/>
                <w:color w:val="000000"/>
                <w:sz w:val="16"/>
                <w:szCs w:val="16"/>
              </w:rPr>
              <w:t>503,935,200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406FA05" w14:textId="5522E42F"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B25076" w14:textId="1EAC9BA5" w:rsidR="00A41077" w:rsidRDefault="00A41077" w:rsidP="00A41077">
            <w:pPr>
              <w:spacing w:line="256" w:lineRule="auto"/>
              <w:jc w:val="right"/>
              <w:rPr>
                <w:rFonts w:cs="Arial"/>
                <w:sz w:val="16"/>
                <w:szCs w:val="16"/>
                <w:lang w:val="es-ES" w:eastAsia="en-US"/>
              </w:rPr>
            </w:pPr>
            <w:r>
              <w:rPr>
                <w:rFonts w:cs="Arial"/>
                <w:color w:val="000000"/>
                <w:sz w:val="16"/>
                <w:szCs w:val="16"/>
              </w:rPr>
              <w:t>503,935,200</w:t>
            </w:r>
          </w:p>
        </w:tc>
      </w:tr>
      <w:tr w:rsidR="00A41077" w14:paraId="7D2C33FC"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31E5F578" w14:textId="77777777" w:rsidR="00A41077" w:rsidRDefault="00A41077" w:rsidP="00A41077">
            <w:pPr>
              <w:spacing w:line="256" w:lineRule="auto"/>
              <w:rPr>
                <w:rFonts w:cs="Arial"/>
                <w:sz w:val="16"/>
                <w:szCs w:val="16"/>
                <w:lang w:val="es-ES" w:eastAsia="en-US"/>
              </w:rPr>
            </w:pPr>
            <w:r>
              <w:rPr>
                <w:rFonts w:cs="Arial"/>
                <w:sz w:val="16"/>
                <w:szCs w:val="16"/>
                <w:lang w:val="es-ES" w:eastAsia="en-US"/>
              </w:rPr>
              <w:t>2.3.2 Prestación de Servicios de Salud a la Persona.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E06DC6D" w14:textId="3008D8D6" w:rsidR="00A41077" w:rsidRDefault="00A41077" w:rsidP="00A41077">
            <w:pPr>
              <w:spacing w:line="256" w:lineRule="auto"/>
              <w:jc w:val="right"/>
              <w:rPr>
                <w:rFonts w:cs="Arial"/>
                <w:sz w:val="16"/>
                <w:szCs w:val="16"/>
                <w:lang w:val="es-ES" w:eastAsia="en-US"/>
              </w:rPr>
            </w:pPr>
            <w:r>
              <w:rPr>
                <w:rFonts w:cs="Arial"/>
                <w:color w:val="000000"/>
                <w:sz w:val="16"/>
                <w:szCs w:val="16"/>
              </w:rPr>
              <w:t>1,845,138,124</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84327A6" w14:textId="0975B730"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54F447" w14:textId="4339AC25" w:rsidR="00A41077" w:rsidRDefault="00A41077" w:rsidP="00A41077">
            <w:pPr>
              <w:spacing w:line="256" w:lineRule="auto"/>
              <w:jc w:val="right"/>
              <w:rPr>
                <w:rFonts w:cs="Arial"/>
                <w:sz w:val="16"/>
                <w:szCs w:val="16"/>
                <w:lang w:val="es-ES" w:eastAsia="en-US"/>
              </w:rPr>
            </w:pPr>
            <w:r>
              <w:rPr>
                <w:rFonts w:cs="Arial"/>
                <w:color w:val="000000"/>
                <w:sz w:val="16"/>
                <w:szCs w:val="16"/>
              </w:rPr>
              <w:t>1,845,138,124</w:t>
            </w:r>
          </w:p>
        </w:tc>
      </w:tr>
      <w:tr w:rsidR="00A41077" w14:paraId="73362800"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23D355D7" w14:textId="77777777" w:rsidR="00A41077" w:rsidRDefault="00A41077" w:rsidP="00A41077">
            <w:pPr>
              <w:spacing w:line="256" w:lineRule="auto"/>
              <w:rPr>
                <w:rFonts w:cs="Arial"/>
                <w:sz w:val="16"/>
                <w:szCs w:val="16"/>
                <w:lang w:val="es-ES" w:eastAsia="en-US"/>
              </w:rPr>
            </w:pPr>
            <w:r>
              <w:rPr>
                <w:rFonts w:cs="Arial"/>
                <w:sz w:val="16"/>
                <w:szCs w:val="16"/>
                <w:lang w:val="es-ES" w:eastAsia="en-US"/>
              </w:rPr>
              <w:t>2.3.3 Generación de Recursos para la Salud.</w:t>
            </w:r>
          </w:p>
        </w:tc>
        <w:tc>
          <w:tcPr>
            <w:tcW w:w="1414" w:type="dxa"/>
            <w:tcBorders>
              <w:top w:val="single" w:sz="4" w:space="0" w:color="auto"/>
              <w:left w:val="single" w:sz="4" w:space="0" w:color="auto"/>
              <w:bottom w:val="single" w:sz="4" w:space="0" w:color="auto"/>
              <w:right w:val="single" w:sz="4" w:space="0" w:color="auto"/>
            </w:tcBorders>
            <w:vAlign w:val="center"/>
            <w:hideMark/>
          </w:tcPr>
          <w:p w14:paraId="7D90E65A" w14:textId="5E194108"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AE21550" w14:textId="0C248752"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587967" w14:textId="60967B72"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62172AFC"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FA9820E" w14:textId="77777777" w:rsidR="00A41077" w:rsidRDefault="00A41077" w:rsidP="00A41077">
            <w:pPr>
              <w:spacing w:line="256" w:lineRule="auto"/>
              <w:rPr>
                <w:rFonts w:cs="Arial"/>
                <w:sz w:val="16"/>
                <w:szCs w:val="16"/>
                <w:lang w:val="es-ES" w:eastAsia="en-US"/>
              </w:rPr>
            </w:pPr>
            <w:r>
              <w:rPr>
                <w:rFonts w:cs="Arial"/>
                <w:sz w:val="16"/>
                <w:szCs w:val="16"/>
                <w:lang w:val="es-ES" w:eastAsia="en-US"/>
              </w:rPr>
              <w:t>2.3.4 Rectoría del Sistema de Salud.</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4EF4F3E" w14:textId="1B62E9E8" w:rsidR="00A41077" w:rsidRDefault="00A41077" w:rsidP="00A41077">
            <w:pPr>
              <w:spacing w:line="256" w:lineRule="auto"/>
              <w:jc w:val="right"/>
              <w:rPr>
                <w:rFonts w:cs="Arial"/>
                <w:sz w:val="16"/>
                <w:szCs w:val="16"/>
                <w:lang w:val="es-ES" w:eastAsia="en-US"/>
              </w:rPr>
            </w:pPr>
            <w:r>
              <w:rPr>
                <w:rFonts w:cs="Arial"/>
                <w:color w:val="000000"/>
                <w:sz w:val="16"/>
                <w:szCs w:val="16"/>
              </w:rPr>
              <w:t>156,905,778</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BBFD69E" w14:textId="67D3ACB6"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991DC0" w14:textId="0FBD32F3" w:rsidR="00A41077" w:rsidRDefault="00A41077" w:rsidP="00A41077">
            <w:pPr>
              <w:spacing w:line="256" w:lineRule="auto"/>
              <w:jc w:val="right"/>
              <w:rPr>
                <w:rFonts w:cs="Arial"/>
                <w:sz w:val="16"/>
                <w:szCs w:val="16"/>
                <w:lang w:val="es-ES" w:eastAsia="en-US"/>
              </w:rPr>
            </w:pPr>
            <w:r>
              <w:rPr>
                <w:rFonts w:cs="Arial"/>
                <w:color w:val="000000"/>
                <w:sz w:val="16"/>
                <w:szCs w:val="16"/>
              </w:rPr>
              <w:t>156,905,778</w:t>
            </w:r>
          </w:p>
        </w:tc>
      </w:tr>
      <w:tr w:rsidR="00A41077" w14:paraId="2905C9CE"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2DD8F664" w14:textId="77777777" w:rsidR="00A41077" w:rsidRDefault="00A41077" w:rsidP="00A41077">
            <w:pPr>
              <w:spacing w:line="256" w:lineRule="auto"/>
              <w:rPr>
                <w:rFonts w:cs="Arial"/>
                <w:sz w:val="16"/>
                <w:szCs w:val="16"/>
                <w:lang w:val="es-ES" w:eastAsia="en-US"/>
              </w:rPr>
            </w:pPr>
            <w:r>
              <w:rPr>
                <w:rFonts w:cs="Arial"/>
                <w:sz w:val="16"/>
                <w:szCs w:val="16"/>
                <w:lang w:val="es-ES" w:eastAsia="en-US"/>
              </w:rPr>
              <w:t>2.3.5 Protección Social en Salud.</w:t>
            </w:r>
          </w:p>
        </w:tc>
        <w:tc>
          <w:tcPr>
            <w:tcW w:w="1414" w:type="dxa"/>
            <w:tcBorders>
              <w:top w:val="single" w:sz="4" w:space="0" w:color="auto"/>
              <w:left w:val="single" w:sz="4" w:space="0" w:color="auto"/>
              <w:bottom w:val="single" w:sz="4" w:space="0" w:color="auto"/>
              <w:right w:val="single" w:sz="4" w:space="0" w:color="auto"/>
            </w:tcBorders>
            <w:vAlign w:val="center"/>
            <w:hideMark/>
          </w:tcPr>
          <w:p w14:paraId="777122EE" w14:textId="2088A8F9"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A56050A" w14:textId="335D7C40"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0C1EC8" w14:textId="243A69AB"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04BD65F8"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5E1BB3EF"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2.4. RECREACIÓN, CULTURA Y OTRAS MANIFESTACIONES SOCIALES.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7D2B854" w14:textId="11E2CA53" w:rsidR="00A41077" w:rsidRDefault="00A41077" w:rsidP="00A41077">
            <w:pPr>
              <w:spacing w:line="256" w:lineRule="auto"/>
              <w:jc w:val="right"/>
              <w:rPr>
                <w:rFonts w:cs="Arial"/>
                <w:b/>
                <w:sz w:val="16"/>
                <w:szCs w:val="16"/>
                <w:lang w:val="es-ES" w:eastAsia="en-US"/>
              </w:rPr>
            </w:pPr>
            <w:r>
              <w:rPr>
                <w:rFonts w:cs="Arial"/>
                <w:b/>
                <w:bCs/>
                <w:color w:val="000000"/>
                <w:sz w:val="16"/>
                <w:szCs w:val="16"/>
              </w:rPr>
              <w:t>217,756,560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9F66CEC" w14:textId="601B329B"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BD5D9F" w14:textId="2AC8B9B3" w:rsidR="00A41077" w:rsidRDefault="00A41077" w:rsidP="00A41077">
            <w:pPr>
              <w:spacing w:line="256" w:lineRule="auto"/>
              <w:jc w:val="right"/>
              <w:rPr>
                <w:rFonts w:cs="Arial"/>
                <w:b/>
                <w:sz w:val="16"/>
                <w:szCs w:val="16"/>
                <w:lang w:val="es-ES" w:eastAsia="en-US"/>
              </w:rPr>
            </w:pPr>
            <w:r>
              <w:rPr>
                <w:rFonts w:cs="Arial"/>
                <w:b/>
                <w:bCs/>
                <w:color w:val="000000"/>
                <w:sz w:val="16"/>
                <w:szCs w:val="16"/>
              </w:rPr>
              <w:t>217,756,560</w:t>
            </w:r>
          </w:p>
        </w:tc>
      </w:tr>
      <w:tr w:rsidR="00A41077" w14:paraId="40203E3C"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0FDA053" w14:textId="77777777" w:rsidR="00A41077" w:rsidRDefault="00A41077" w:rsidP="00A41077">
            <w:pPr>
              <w:spacing w:line="256" w:lineRule="auto"/>
              <w:rPr>
                <w:rFonts w:cs="Arial"/>
                <w:sz w:val="16"/>
                <w:szCs w:val="16"/>
                <w:lang w:val="es-ES" w:eastAsia="en-US"/>
              </w:rPr>
            </w:pPr>
            <w:r>
              <w:rPr>
                <w:rFonts w:cs="Arial"/>
                <w:sz w:val="16"/>
                <w:szCs w:val="16"/>
                <w:lang w:val="es-ES" w:eastAsia="en-US"/>
              </w:rPr>
              <w:t>2.4.1 Deporte y Recreación.</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CFC8A0F" w14:textId="2AA15B15" w:rsidR="00A41077" w:rsidRDefault="00A41077" w:rsidP="00A41077">
            <w:pPr>
              <w:spacing w:line="256" w:lineRule="auto"/>
              <w:jc w:val="right"/>
              <w:rPr>
                <w:rFonts w:cs="Arial"/>
                <w:sz w:val="16"/>
                <w:szCs w:val="16"/>
                <w:lang w:val="es-ES" w:eastAsia="en-US"/>
              </w:rPr>
            </w:pPr>
            <w:r>
              <w:rPr>
                <w:rFonts w:cs="Arial"/>
                <w:color w:val="000000"/>
                <w:sz w:val="16"/>
                <w:szCs w:val="16"/>
              </w:rPr>
              <w:t>78,037,815</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F494FAC" w14:textId="4A6C0883"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823462" w14:textId="7079098B" w:rsidR="00A41077" w:rsidRDefault="00A41077" w:rsidP="00A41077">
            <w:pPr>
              <w:spacing w:line="256" w:lineRule="auto"/>
              <w:jc w:val="right"/>
              <w:rPr>
                <w:rFonts w:cs="Arial"/>
                <w:sz w:val="16"/>
                <w:szCs w:val="16"/>
                <w:lang w:val="es-ES" w:eastAsia="en-US"/>
              </w:rPr>
            </w:pPr>
            <w:r>
              <w:rPr>
                <w:rFonts w:cs="Arial"/>
                <w:color w:val="000000"/>
                <w:sz w:val="16"/>
                <w:szCs w:val="16"/>
              </w:rPr>
              <w:t>78,037,815</w:t>
            </w:r>
          </w:p>
        </w:tc>
      </w:tr>
      <w:tr w:rsidR="00A41077" w14:paraId="73E59B8F"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30006B33" w14:textId="77777777" w:rsidR="00A41077" w:rsidRDefault="00A41077" w:rsidP="00A41077">
            <w:pPr>
              <w:spacing w:line="256" w:lineRule="auto"/>
              <w:rPr>
                <w:rFonts w:cs="Arial"/>
                <w:sz w:val="16"/>
                <w:szCs w:val="16"/>
                <w:lang w:val="es-ES" w:eastAsia="en-US"/>
              </w:rPr>
            </w:pPr>
            <w:r>
              <w:rPr>
                <w:rFonts w:cs="Arial"/>
                <w:sz w:val="16"/>
                <w:szCs w:val="16"/>
                <w:lang w:val="es-ES" w:eastAsia="en-US"/>
              </w:rPr>
              <w:t>2.4.2 Cultura.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B1D507B" w14:textId="5DFE351E" w:rsidR="00A41077" w:rsidRDefault="00A41077" w:rsidP="00A41077">
            <w:pPr>
              <w:spacing w:line="256" w:lineRule="auto"/>
              <w:jc w:val="right"/>
              <w:rPr>
                <w:rFonts w:cs="Arial"/>
                <w:sz w:val="16"/>
                <w:szCs w:val="16"/>
                <w:lang w:val="es-ES" w:eastAsia="en-US"/>
              </w:rPr>
            </w:pPr>
            <w:r>
              <w:rPr>
                <w:rFonts w:cs="Arial"/>
                <w:color w:val="000000"/>
                <w:sz w:val="16"/>
                <w:szCs w:val="16"/>
              </w:rPr>
              <w:t>108,184,463</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EA54710" w14:textId="09FF2529"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A41C7C" w14:textId="110183AB" w:rsidR="00A41077" w:rsidRDefault="00A41077" w:rsidP="00A41077">
            <w:pPr>
              <w:spacing w:line="256" w:lineRule="auto"/>
              <w:jc w:val="right"/>
              <w:rPr>
                <w:rFonts w:cs="Arial"/>
                <w:sz w:val="16"/>
                <w:szCs w:val="16"/>
                <w:lang w:val="es-ES" w:eastAsia="en-US"/>
              </w:rPr>
            </w:pPr>
            <w:r>
              <w:rPr>
                <w:rFonts w:cs="Arial"/>
                <w:color w:val="000000"/>
                <w:sz w:val="16"/>
                <w:szCs w:val="16"/>
              </w:rPr>
              <w:t>108,184,463</w:t>
            </w:r>
          </w:p>
        </w:tc>
      </w:tr>
      <w:tr w:rsidR="00A41077" w14:paraId="3ED9B785"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4A8DA6F9" w14:textId="77777777" w:rsidR="00A41077" w:rsidRDefault="00A41077" w:rsidP="00A41077">
            <w:pPr>
              <w:spacing w:line="256" w:lineRule="auto"/>
              <w:rPr>
                <w:rFonts w:cs="Arial"/>
                <w:sz w:val="16"/>
                <w:szCs w:val="16"/>
                <w:lang w:val="es-ES" w:eastAsia="en-US"/>
              </w:rPr>
            </w:pPr>
            <w:r>
              <w:rPr>
                <w:rFonts w:cs="Arial"/>
                <w:sz w:val="16"/>
                <w:szCs w:val="16"/>
                <w:lang w:val="es-ES" w:eastAsia="en-US"/>
              </w:rPr>
              <w:t>2.4.3 Radio, Televisión y Editoriales.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74B7932" w14:textId="5DD87AC9" w:rsidR="00A41077" w:rsidRDefault="00A41077" w:rsidP="00A41077">
            <w:pPr>
              <w:spacing w:line="256" w:lineRule="auto"/>
              <w:jc w:val="right"/>
              <w:rPr>
                <w:rFonts w:cs="Arial"/>
                <w:sz w:val="16"/>
                <w:szCs w:val="16"/>
                <w:lang w:val="es-ES" w:eastAsia="en-US"/>
              </w:rPr>
            </w:pPr>
            <w:r>
              <w:rPr>
                <w:rFonts w:cs="Arial"/>
                <w:color w:val="000000"/>
                <w:sz w:val="16"/>
                <w:szCs w:val="16"/>
              </w:rPr>
              <w:t>31,534,282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5754BBA" w14:textId="653019BA"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E7133B" w14:textId="25398E68" w:rsidR="00A41077" w:rsidRDefault="00A41077" w:rsidP="00A41077">
            <w:pPr>
              <w:spacing w:line="256" w:lineRule="auto"/>
              <w:jc w:val="right"/>
              <w:rPr>
                <w:rFonts w:cs="Arial"/>
                <w:sz w:val="16"/>
                <w:szCs w:val="16"/>
                <w:lang w:val="es-ES" w:eastAsia="en-US"/>
              </w:rPr>
            </w:pPr>
            <w:r>
              <w:rPr>
                <w:rFonts w:cs="Arial"/>
                <w:color w:val="000000"/>
                <w:sz w:val="16"/>
                <w:szCs w:val="16"/>
              </w:rPr>
              <w:t>31,534,282</w:t>
            </w:r>
          </w:p>
        </w:tc>
      </w:tr>
      <w:tr w:rsidR="00A41077" w14:paraId="0CCB31AB"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4162312C" w14:textId="77777777" w:rsidR="00A41077" w:rsidRDefault="00A41077" w:rsidP="00A41077">
            <w:pPr>
              <w:spacing w:line="256" w:lineRule="auto"/>
              <w:rPr>
                <w:rFonts w:cs="Arial"/>
                <w:sz w:val="16"/>
                <w:szCs w:val="16"/>
                <w:lang w:val="es-ES" w:eastAsia="en-US"/>
              </w:rPr>
            </w:pPr>
            <w:r>
              <w:rPr>
                <w:rFonts w:cs="Arial"/>
                <w:sz w:val="16"/>
                <w:szCs w:val="16"/>
                <w:lang w:val="es-ES" w:eastAsia="en-US"/>
              </w:rPr>
              <w:t>2.4.4 Asuntos Religiosos y Otras Manifestaciones Sociales.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F05463D" w14:textId="54CEBAE5"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8648986" w14:textId="77CB96BF"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FC9ACC" w14:textId="6EEE6A87"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78B5ED43"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6A3D3161"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2.5.  EDUCACIÓN.</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89C4249" w14:textId="184F8C5C" w:rsidR="00A41077" w:rsidRDefault="00A41077" w:rsidP="00A41077">
            <w:pPr>
              <w:spacing w:line="256" w:lineRule="auto"/>
              <w:jc w:val="right"/>
              <w:rPr>
                <w:rFonts w:cs="Arial"/>
                <w:b/>
                <w:sz w:val="16"/>
                <w:szCs w:val="16"/>
                <w:lang w:val="es-ES" w:eastAsia="en-US"/>
              </w:rPr>
            </w:pPr>
            <w:r>
              <w:rPr>
                <w:rFonts w:cs="Arial"/>
                <w:b/>
                <w:bCs/>
                <w:color w:val="000000"/>
                <w:sz w:val="16"/>
                <w:szCs w:val="16"/>
              </w:rPr>
              <w:t>9,204,865,062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DA7C183" w14:textId="2663689A" w:rsidR="00A41077" w:rsidRDefault="00A41077" w:rsidP="00A41077">
            <w:pPr>
              <w:spacing w:line="256" w:lineRule="auto"/>
              <w:jc w:val="right"/>
              <w:rPr>
                <w:rFonts w:cs="Arial"/>
                <w:b/>
                <w:sz w:val="16"/>
                <w:szCs w:val="16"/>
                <w:lang w:val="es-ES" w:eastAsia="en-US"/>
              </w:rPr>
            </w:pPr>
            <w:r>
              <w:rPr>
                <w:rFonts w:cs="Arial"/>
                <w:b/>
                <w:bCs/>
                <w:color w:val="000000"/>
                <w:sz w:val="16"/>
                <w:szCs w:val="16"/>
              </w:rPr>
              <w:t>5,000,000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B79403" w14:textId="671ECC88" w:rsidR="00A41077" w:rsidRDefault="00A41077" w:rsidP="00A41077">
            <w:pPr>
              <w:spacing w:line="256" w:lineRule="auto"/>
              <w:jc w:val="right"/>
              <w:rPr>
                <w:rFonts w:cs="Arial"/>
                <w:b/>
                <w:sz w:val="16"/>
                <w:szCs w:val="16"/>
                <w:lang w:val="es-ES" w:eastAsia="en-US"/>
              </w:rPr>
            </w:pPr>
            <w:r>
              <w:rPr>
                <w:rFonts w:cs="Arial"/>
                <w:b/>
                <w:bCs/>
                <w:color w:val="000000"/>
                <w:sz w:val="16"/>
                <w:szCs w:val="16"/>
              </w:rPr>
              <w:t>9,209,865,062</w:t>
            </w:r>
          </w:p>
        </w:tc>
      </w:tr>
      <w:tr w:rsidR="00A41077" w14:paraId="18D70C2C"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65C09B0" w14:textId="77777777" w:rsidR="00A41077" w:rsidRDefault="00A41077" w:rsidP="00A41077">
            <w:pPr>
              <w:spacing w:line="256" w:lineRule="auto"/>
              <w:rPr>
                <w:rFonts w:cs="Arial"/>
                <w:sz w:val="16"/>
                <w:szCs w:val="16"/>
                <w:lang w:val="es-ES" w:eastAsia="en-US"/>
              </w:rPr>
            </w:pPr>
            <w:r>
              <w:rPr>
                <w:rFonts w:cs="Arial"/>
                <w:sz w:val="16"/>
                <w:szCs w:val="16"/>
                <w:lang w:val="es-ES" w:eastAsia="en-US"/>
              </w:rPr>
              <w:t>2.5.1 Educación Básica.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3ECA9EF" w14:textId="51AE4444" w:rsidR="00A41077" w:rsidRDefault="00A41077" w:rsidP="00A41077">
            <w:pPr>
              <w:spacing w:line="256" w:lineRule="auto"/>
              <w:jc w:val="right"/>
              <w:rPr>
                <w:rFonts w:cs="Arial"/>
                <w:sz w:val="16"/>
                <w:szCs w:val="16"/>
                <w:lang w:val="es-ES" w:eastAsia="en-US"/>
              </w:rPr>
            </w:pPr>
            <w:r>
              <w:rPr>
                <w:rFonts w:cs="Arial"/>
                <w:color w:val="000000"/>
                <w:sz w:val="16"/>
                <w:szCs w:val="16"/>
              </w:rPr>
              <w:t>5,961,131,470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9401F8C" w14:textId="6650F1A7"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072303" w14:textId="032BC5E3" w:rsidR="00A41077" w:rsidRDefault="00A41077" w:rsidP="00A41077">
            <w:pPr>
              <w:spacing w:line="256" w:lineRule="auto"/>
              <w:jc w:val="right"/>
              <w:rPr>
                <w:rFonts w:cs="Arial"/>
                <w:sz w:val="16"/>
                <w:szCs w:val="16"/>
                <w:lang w:val="es-ES" w:eastAsia="en-US"/>
              </w:rPr>
            </w:pPr>
            <w:r>
              <w:rPr>
                <w:rFonts w:cs="Arial"/>
                <w:color w:val="000000"/>
                <w:sz w:val="16"/>
                <w:szCs w:val="16"/>
              </w:rPr>
              <w:t>5,961,131,470</w:t>
            </w:r>
          </w:p>
        </w:tc>
      </w:tr>
      <w:tr w:rsidR="00A41077" w14:paraId="7902200C"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0CFAC4E9" w14:textId="77777777" w:rsidR="00A41077" w:rsidRDefault="00A41077" w:rsidP="00A41077">
            <w:pPr>
              <w:spacing w:line="256" w:lineRule="auto"/>
              <w:rPr>
                <w:rFonts w:cs="Arial"/>
                <w:sz w:val="16"/>
                <w:szCs w:val="16"/>
                <w:lang w:val="es-ES" w:eastAsia="en-US"/>
              </w:rPr>
            </w:pPr>
            <w:r>
              <w:rPr>
                <w:rFonts w:cs="Arial"/>
                <w:sz w:val="16"/>
                <w:szCs w:val="16"/>
                <w:lang w:val="es-ES" w:eastAsia="en-US"/>
              </w:rPr>
              <w:t>2.5.2 Educación Media Superior.</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B60D8B8" w14:textId="32110383" w:rsidR="00A41077" w:rsidRDefault="00A41077" w:rsidP="00A41077">
            <w:pPr>
              <w:spacing w:line="256" w:lineRule="auto"/>
              <w:jc w:val="right"/>
              <w:rPr>
                <w:rFonts w:cs="Arial"/>
                <w:sz w:val="16"/>
                <w:szCs w:val="16"/>
                <w:lang w:val="es-ES" w:eastAsia="en-US"/>
              </w:rPr>
            </w:pPr>
            <w:r>
              <w:rPr>
                <w:rFonts w:cs="Arial"/>
                <w:color w:val="000000"/>
                <w:sz w:val="16"/>
                <w:szCs w:val="16"/>
              </w:rPr>
              <w:t>1,003,686,675</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D66B58E" w14:textId="628DA557"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4FD099" w14:textId="5C66D241" w:rsidR="00A41077" w:rsidRDefault="00A41077" w:rsidP="00A41077">
            <w:pPr>
              <w:spacing w:line="256" w:lineRule="auto"/>
              <w:jc w:val="right"/>
              <w:rPr>
                <w:rFonts w:cs="Arial"/>
                <w:sz w:val="16"/>
                <w:szCs w:val="16"/>
                <w:lang w:val="es-ES" w:eastAsia="en-US"/>
              </w:rPr>
            </w:pPr>
            <w:r>
              <w:rPr>
                <w:rFonts w:cs="Arial"/>
                <w:color w:val="000000"/>
                <w:sz w:val="16"/>
                <w:szCs w:val="16"/>
              </w:rPr>
              <w:t>1,003,686,675</w:t>
            </w:r>
          </w:p>
        </w:tc>
      </w:tr>
      <w:tr w:rsidR="00A41077" w14:paraId="783B6054"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61945B7A" w14:textId="77777777" w:rsidR="00A41077" w:rsidRDefault="00A41077" w:rsidP="00A41077">
            <w:pPr>
              <w:spacing w:line="256" w:lineRule="auto"/>
              <w:rPr>
                <w:rFonts w:cs="Arial"/>
                <w:sz w:val="16"/>
                <w:szCs w:val="16"/>
                <w:lang w:val="es-ES" w:eastAsia="en-US"/>
              </w:rPr>
            </w:pPr>
            <w:r>
              <w:rPr>
                <w:rFonts w:cs="Arial"/>
                <w:sz w:val="16"/>
                <w:szCs w:val="16"/>
                <w:lang w:val="es-ES" w:eastAsia="en-US"/>
              </w:rPr>
              <w:t>2.5.3 Educación Superior.</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3863F8C" w14:textId="729E587F" w:rsidR="00A41077" w:rsidRDefault="00A41077" w:rsidP="00A41077">
            <w:pPr>
              <w:spacing w:line="256" w:lineRule="auto"/>
              <w:jc w:val="right"/>
              <w:rPr>
                <w:rFonts w:cs="Arial"/>
                <w:sz w:val="16"/>
                <w:szCs w:val="16"/>
                <w:lang w:val="es-ES" w:eastAsia="en-US"/>
              </w:rPr>
            </w:pPr>
            <w:r>
              <w:rPr>
                <w:rFonts w:cs="Arial"/>
                <w:color w:val="000000"/>
                <w:sz w:val="16"/>
                <w:szCs w:val="16"/>
              </w:rPr>
              <w:t>2,215,486,597</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040AABD" w14:textId="430CE8CD" w:rsidR="00A41077" w:rsidRDefault="00A41077" w:rsidP="00A41077">
            <w:pPr>
              <w:spacing w:line="256" w:lineRule="auto"/>
              <w:jc w:val="right"/>
              <w:rPr>
                <w:rFonts w:cs="Arial"/>
                <w:sz w:val="16"/>
                <w:szCs w:val="16"/>
                <w:lang w:val="es-ES" w:eastAsia="en-US"/>
              </w:rPr>
            </w:pPr>
            <w:r>
              <w:rPr>
                <w:rFonts w:cs="Arial"/>
                <w:color w:val="000000"/>
                <w:sz w:val="16"/>
                <w:szCs w:val="16"/>
              </w:rPr>
              <w:t>5,000,000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E2D612" w14:textId="37FA0A1A" w:rsidR="00A41077" w:rsidRDefault="00A41077" w:rsidP="00A41077">
            <w:pPr>
              <w:spacing w:line="256" w:lineRule="auto"/>
              <w:jc w:val="right"/>
              <w:rPr>
                <w:rFonts w:cs="Arial"/>
                <w:sz w:val="16"/>
                <w:szCs w:val="16"/>
                <w:lang w:val="es-ES" w:eastAsia="en-US"/>
              </w:rPr>
            </w:pPr>
            <w:r>
              <w:rPr>
                <w:rFonts w:cs="Arial"/>
                <w:color w:val="000000"/>
                <w:sz w:val="16"/>
                <w:szCs w:val="16"/>
              </w:rPr>
              <w:t>2,220,486,597</w:t>
            </w:r>
          </w:p>
        </w:tc>
      </w:tr>
      <w:tr w:rsidR="00A41077" w14:paraId="4623F098"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18EB7705" w14:textId="77777777" w:rsidR="00A41077" w:rsidRDefault="00A41077" w:rsidP="00A41077">
            <w:pPr>
              <w:spacing w:line="256" w:lineRule="auto"/>
              <w:rPr>
                <w:rFonts w:cs="Arial"/>
                <w:sz w:val="16"/>
                <w:szCs w:val="16"/>
                <w:lang w:val="es-ES" w:eastAsia="en-US"/>
              </w:rPr>
            </w:pPr>
            <w:r>
              <w:rPr>
                <w:rFonts w:cs="Arial"/>
                <w:sz w:val="16"/>
                <w:szCs w:val="16"/>
                <w:lang w:val="es-ES" w:eastAsia="en-US"/>
              </w:rPr>
              <w:t>2.5.4 Posgrado.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C41C213" w14:textId="7051D2A5"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1BF22C7" w14:textId="552F8DD8"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A5F7E5" w14:textId="61CBCF4A"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47D857DF"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6BD1E057" w14:textId="77777777" w:rsidR="00A41077" w:rsidRDefault="00A41077" w:rsidP="00A41077">
            <w:pPr>
              <w:spacing w:line="256" w:lineRule="auto"/>
              <w:rPr>
                <w:rFonts w:cs="Arial"/>
                <w:sz w:val="16"/>
                <w:szCs w:val="16"/>
                <w:lang w:val="es-ES" w:eastAsia="en-US"/>
              </w:rPr>
            </w:pPr>
            <w:r>
              <w:rPr>
                <w:rFonts w:cs="Arial"/>
                <w:sz w:val="16"/>
                <w:szCs w:val="16"/>
                <w:lang w:val="es-ES" w:eastAsia="en-US"/>
              </w:rPr>
              <w:t>2.5.5 Educación para Adultos.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D9863BC" w14:textId="37B9E3AD" w:rsidR="00A41077" w:rsidRDefault="00A41077" w:rsidP="00A41077">
            <w:pPr>
              <w:spacing w:line="256" w:lineRule="auto"/>
              <w:jc w:val="right"/>
              <w:rPr>
                <w:rFonts w:cs="Arial"/>
                <w:sz w:val="16"/>
                <w:szCs w:val="16"/>
                <w:lang w:val="es-ES" w:eastAsia="en-US"/>
              </w:rPr>
            </w:pPr>
            <w:r>
              <w:rPr>
                <w:rFonts w:cs="Arial"/>
                <w:color w:val="000000"/>
                <w:sz w:val="16"/>
                <w:szCs w:val="16"/>
              </w:rPr>
              <w:t>7,938,289</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A372680" w14:textId="104027BF"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CCB214" w14:textId="56497924" w:rsidR="00A41077" w:rsidRDefault="00A41077" w:rsidP="00A41077">
            <w:pPr>
              <w:spacing w:line="256" w:lineRule="auto"/>
              <w:jc w:val="right"/>
              <w:rPr>
                <w:rFonts w:cs="Arial"/>
                <w:sz w:val="16"/>
                <w:szCs w:val="16"/>
                <w:lang w:val="es-ES" w:eastAsia="en-US"/>
              </w:rPr>
            </w:pPr>
            <w:r>
              <w:rPr>
                <w:rFonts w:cs="Arial"/>
                <w:color w:val="000000"/>
                <w:sz w:val="16"/>
                <w:szCs w:val="16"/>
              </w:rPr>
              <w:t>7,938,289</w:t>
            </w:r>
          </w:p>
        </w:tc>
      </w:tr>
      <w:tr w:rsidR="00A41077" w14:paraId="228E4B03"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51AFDF1A" w14:textId="77777777" w:rsidR="00A41077" w:rsidRDefault="00A41077" w:rsidP="00A41077">
            <w:pPr>
              <w:spacing w:line="256" w:lineRule="auto"/>
              <w:rPr>
                <w:rFonts w:cs="Arial"/>
                <w:sz w:val="16"/>
                <w:szCs w:val="16"/>
                <w:lang w:val="es-ES" w:eastAsia="en-US"/>
              </w:rPr>
            </w:pPr>
            <w:r>
              <w:rPr>
                <w:rFonts w:cs="Arial"/>
                <w:sz w:val="16"/>
                <w:szCs w:val="16"/>
                <w:lang w:val="es-ES" w:eastAsia="en-US"/>
              </w:rPr>
              <w:t>2.5.6 Otros Servicios Educativos y Actividades Inherentes.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30ECC9F" w14:textId="6E456ACB" w:rsidR="00A41077" w:rsidRDefault="00A41077" w:rsidP="00A41077">
            <w:pPr>
              <w:spacing w:line="256" w:lineRule="auto"/>
              <w:jc w:val="right"/>
              <w:rPr>
                <w:rFonts w:cs="Arial"/>
                <w:sz w:val="16"/>
                <w:szCs w:val="16"/>
                <w:lang w:val="es-ES" w:eastAsia="en-US"/>
              </w:rPr>
            </w:pPr>
            <w:r>
              <w:rPr>
                <w:rFonts w:cs="Arial"/>
                <w:color w:val="000000"/>
                <w:sz w:val="16"/>
                <w:szCs w:val="16"/>
              </w:rPr>
              <w:t>16,622,031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9CCEA58" w14:textId="55E611A9"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47121A" w14:textId="20002862" w:rsidR="00A41077" w:rsidRDefault="00A41077" w:rsidP="00A41077">
            <w:pPr>
              <w:spacing w:line="256" w:lineRule="auto"/>
              <w:jc w:val="right"/>
              <w:rPr>
                <w:rFonts w:cs="Arial"/>
                <w:sz w:val="16"/>
                <w:szCs w:val="16"/>
                <w:lang w:val="es-ES" w:eastAsia="en-US"/>
              </w:rPr>
            </w:pPr>
            <w:r>
              <w:rPr>
                <w:rFonts w:cs="Arial"/>
                <w:color w:val="000000"/>
                <w:sz w:val="16"/>
                <w:szCs w:val="16"/>
              </w:rPr>
              <w:t>16,622,031</w:t>
            </w:r>
          </w:p>
        </w:tc>
      </w:tr>
      <w:tr w:rsidR="00A41077" w14:paraId="32B56C70"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47E06437"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2.6.  PROTECCIÓN SOCIAL.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6717FAE" w14:textId="1B36A61C" w:rsidR="00A41077" w:rsidRDefault="00A41077" w:rsidP="00A41077">
            <w:pPr>
              <w:spacing w:line="256" w:lineRule="auto"/>
              <w:jc w:val="right"/>
              <w:rPr>
                <w:rFonts w:cs="Arial"/>
                <w:b/>
                <w:sz w:val="16"/>
                <w:szCs w:val="16"/>
                <w:lang w:val="es-ES" w:eastAsia="en-US"/>
              </w:rPr>
            </w:pPr>
            <w:r>
              <w:rPr>
                <w:rFonts w:cs="Arial"/>
                <w:b/>
                <w:bCs/>
                <w:color w:val="000000"/>
                <w:sz w:val="16"/>
                <w:szCs w:val="16"/>
              </w:rPr>
              <w:t>586,087,547</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B3BE6B0" w14:textId="077A4268" w:rsidR="00A41077" w:rsidRDefault="00A41077" w:rsidP="00A41077">
            <w:pPr>
              <w:spacing w:line="256" w:lineRule="auto"/>
              <w:jc w:val="right"/>
              <w:rPr>
                <w:rFonts w:cs="Arial"/>
                <w:b/>
                <w:sz w:val="16"/>
                <w:szCs w:val="16"/>
                <w:lang w:val="es-ES" w:eastAsia="en-US"/>
              </w:rPr>
            </w:pPr>
            <w:r>
              <w:rPr>
                <w:rFonts w:cs="Arial"/>
                <w:b/>
                <w:bCs/>
                <w:color w:val="000000"/>
                <w:sz w:val="16"/>
                <w:szCs w:val="16"/>
              </w:rPr>
              <w:t>1,628,747,107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0DDBC8" w14:textId="04F1236A" w:rsidR="00A41077" w:rsidRDefault="00A41077" w:rsidP="00A41077">
            <w:pPr>
              <w:spacing w:line="256" w:lineRule="auto"/>
              <w:jc w:val="right"/>
              <w:rPr>
                <w:rFonts w:cs="Arial"/>
                <w:b/>
                <w:sz w:val="16"/>
                <w:szCs w:val="16"/>
                <w:lang w:val="es-ES" w:eastAsia="en-US"/>
              </w:rPr>
            </w:pPr>
            <w:r>
              <w:rPr>
                <w:rFonts w:cs="Arial"/>
                <w:b/>
                <w:bCs/>
                <w:color w:val="000000"/>
                <w:sz w:val="16"/>
                <w:szCs w:val="16"/>
              </w:rPr>
              <w:t>2,214,834,654</w:t>
            </w:r>
          </w:p>
        </w:tc>
      </w:tr>
      <w:tr w:rsidR="00A41077" w14:paraId="3ECB0DCF"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50DC3ED" w14:textId="77777777" w:rsidR="00A41077" w:rsidRDefault="00A41077" w:rsidP="00A41077">
            <w:pPr>
              <w:spacing w:line="256" w:lineRule="auto"/>
              <w:rPr>
                <w:rFonts w:cs="Arial"/>
                <w:sz w:val="16"/>
                <w:szCs w:val="16"/>
                <w:lang w:val="es-ES" w:eastAsia="en-US"/>
              </w:rPr>
            </w:pPr>
            <w:r>
              <w:rPr>
                <w:rFonts w:cs="Arial"/>
                <w:sz w:val="16"/>
                <w:szCs w:val="16"/>
                <w:lang w:val="es-ES" w:eastAsia="en-US"/>
              </w:rPr>
              <w:t>2.6.1 Enfermedad e Incapacidad.</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C2240A1" w14:textId="3748B7F2"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91618C3" w14:textId="640F51FA"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C0B421" w14:textId="4476B32B"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275444BF"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0EDDA468" w14:textId="77777777" w:rsidR="00A41077" w:rsidRDefault="00A41077" w:rsidP="00A41077">
            <w:pPr>
              <w:spacing w:line="256" w:lineRule="auto"/>
              <w:rPr>
                <w:rFonts w:cs="Arial"/>
                <w:sz w:val="16"/>
                <w:szCs w:val="16"/>
                <w:lang w:val="es-ES" w:eastAsia="en-US"/>
              </w:rPr>
            </w:pPr>
            <w:r>
              <w:rPr>
                <w:rFonts w:cs="Arial"/>
                <w:sz w:val="16"/>
                <w:szCs w:val="16"/>
                <w:lang w:val="es-ES" w:eastAsia="en-US"/>
              </w:rPr>
              <w:t>2.6.2 Edad Avanzada.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7F8D3F7" w14:textId="3C912214" w:rsidR="00A41077" w:rsidRDefault="00A41077" w:rsidP="00A41077">
            <w:pPr>
              <w:spacing w:line="256" w:lineRule="auto"/>
              <w:jc w:val="right"/>
              <w:rPr>
                <w:rFonts w:cs="Arial"/>
                <w:sz w:val="16"/>
                <w:szCs w:val="16"/>
                <w:lang w:val="es-ES" w:eastAsia="en-US"/>
              </w:rPr>
            </w:pPr>
            <w:r>
              <w:rPr>
                <w:rFonts w:cs="Arial"/>
                <w:color w:val="000000"/>
                <w:sz w:val="16"/>
                <w:szCs w:val="16"/>
              </w:rPr>
              <w:t>7,261,237</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FE88EAF" w14:textId="59700300" w:rsidR="00A41077" w:rsidRDefault="00A41077" w:rsidP="00A41077">
            <w:pPr>
              <w:spacing w:line="256" w:lineRule="auto"/>
              <w:jc w:val="right"/>
              <w:rPr>
                <w:rFonts w:cs="Arial"/>
                <w:sz w:val="16"/>
                <w:szCs w:val="16"/>
                <w:lang w:val="es-ES" w:eastAsia="en-US"/>
              </w:rPr>
            </w:pPr>
            <w:r>
              <w:rPr>
                <w:rFonts w:cs="Arial"/>
                <w:color w:val="000000"/>
                <w:sz w:val="16"/>
                <w:szCs w:val="16"/>
              </w:rPr>
              <w:t>1,617,201,881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B6B541" w14:textId="012B6347" w:rsidR="00A41077" w:rsidRDefault="00A41077" w:rsidP="00A41077">
            <w:pPr>
              <w:spacing w:line="256" w:lineRule="auto"/>
              <w:jc w:val="right"/>
              <w:rPr>
                <w:rFonts w:cs="Arial"/>
                <w:sz w:val="16"/>
                <w:szCs w:val="16"/>
                <w:lang w:val="es-ES" w:eastAsia="en-US"/>
              </w:rPr>
            </w:pPr>
            <w:r>
              <w:rPr>
                <w:rFonts w:cs="Arial"/>
                <w:color w:val="000000"/>
                <w:sz w:val="16"/>
                <w:szCs w:val="16"/>
              </w:rPr>
              <w:t>1,624,463,118</w:t>
            </w:r>
          </w:p>
        </w:tc>
      </w:tr>
      <w:tr w:rsidR="00A41077" w14:paraId="69332BF2"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66DE2DD3" w14:textId="77777777" w:rsidR="00A41077" w:rsidRDefault="00A41077" w:rsidP="00A41077">
            <w:pPr>
              <w:spacing w:line="256" w:lineRule="auto"/>
              <w:rPr>
                <w:rFonts w:cs="Arial"/>
                <w:sz w:val="16"/>
                <w:szCs w:val="16"/>
                <w:lang w:val="es-ES" w:eastAsia="en-US"/>
              </w:rPr>
            </w:pPr>
            <w:r>
              <w:rPr>
                <w:rFonts w:cs="Arial"/>
                <w:sz w:val="16"/>
                <w:szCs w:val="16"/>
                <w:lang w:val="es-ES" w:eastAsia="en-US"/>
              </w:rPr>
              <w:t>2.6.3 Familia e Hijos.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7490DAB4" w14:textId="3B586B15" w:rsidR="00A41077" w:rsidRDefault="00A41077" w:rsidP="00A41077">
            <w:pPr>
              <w:spacing w:line="256" w:lineRule="auto"/>
              <w:jc w:val="right"/>
              <w:rPr>
                <w:rFonts w:cs="Arial"/>
                <w:sz w:val="16"/>
                <w:szCs w:val="16"/>
                <w:lang w:val="es-ES" w:eastAsia="en-US"/>
              </w:rPr>
            </w:pPr>
            <w:r>
              <w:rPr>
                <w:rFonts w:cs="Arial"/>
                <w:color w:val="000000"/>
                <w:sz w:val="16"/>
                <w:szCs w:val="16"/>
              </w:rPr>
              <w:t>19,112,133</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4233089" w14:textId="03F9F5DB"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09EF6F" w14:textId="31410FE4" w:rsidR="00A41077" w:rsidRDefault="00A41077" w:rsidP="00A41077">
            <w:pPr>
              <w:spacing w:line="256" w:lineRule="auto"/>
              <w:jc w:val="right"/>
              <w:rPr>
                <w:rFonts w:cs="Arial"/>
                <w:sz w:val="16"/>
                <w:szCs w:val="16"/>
                <w:lang w:val="es-ES" w:eastAsia="en-US"/>
              </w:rPr>
            </w:pPr>
            <w:r>
              <w:rPr>
                <w:rFonts w:cs="Arial"/>
                <w:color w:val="000000"/>
                <w:sz w:val="16"/>
                <w:szCs w:val="16"/>
              </w:rPr>
              <w:t>19,112,133</w:t>
            </w:r>
          </w:p>
        </w:tc>
      </w:tr>
      <w:tr w:rsidR="00A41077" w14:paraId="6B12AAC0"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6B29CCB6" w14:textId="77777777" w:rsidR="00A41077" w:rsidRDefault="00A41077" w:rsidP="00A41077">
            <w:pPr>
              <w:spacing w:line="256" w:lineRule="auto"/>
              <w:rPr>
                <w:rFonts w:cs="Arial"/>
                <w:sz w:val="16"/>
                <w:szCs w:val="16"/>
                <w:lang w:val="es-ES" w:eastAsia="en-US"/>
              </w:rPr>
            </w:pPr>
            <w:r>
              <w:rPr>
                <w:rFonts w:cs="Arial"/>
                <w:sz w:val="16"/>
                <w:szCs w:val="16"/>
                <w:lang w:val="es-ES" w:eastAsia="en-US"/>
              </w:rPr>
              <w:t>2.6.4 Desempleo.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D9F4E3D" w14:textId="57ECCFF8"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3895832" w14:textId="38BFF2CA"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094E6D" w14:textId="306E3BC3"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108DE51A"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462D6AF4" w14:textId="77777777" w:rsidR="00A41077" w:rsidRDefault="00A41077" w:rsidP="00A41077">
            <w:pPr>
              <w:spacing w:line="256" w:lineRule="auto"/>
              <w:rPr>
                <w:rFonts w:cs="Arial"/>
                <w:sz w:val="16"/>
                <w:szCs w:val="16"/>
                <w:lang w:val="es-ES" w:eastAsia="en-US"/>
              </w:rPr>
            </w:pPr>
            <w:r>
              <w:rPr>
                <w:rFonts w:cs="Arial"/>
                <w:sz w:val="16"/>
                <w:szCs w:val="16"/>
                <w:lang w:val="es-ES" w:eastAsia="en-US"/>
              </w:rPr>
              <w:t>2.6.5 Alimentación y Nutrición.</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76CFF5C" w14:textId="24A7085A"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B8D5BC5" w14:textId="68D509DC"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0644E5" w14:textId="1705B9C5"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68487AD5"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2E9ADD1B" w14:textId="77777777" w:rsidR="00A41077" w:rsidRDefault="00A41077" w:rsidP="00A41077">
            <w:pPr>
              <w:spacing w:line="256" w:lineRule="auto"/>
              <w:rPr>
                <w:rFonts w:cs="Arial"/>
                <w:sz w:val="16"/>
                <w:szCs w:val="16"/>
                <w:lang w:val="es-ES" w:eastAsia="en-US"/>
              </w:rPr>
            </w:pPr>
            <w:r>
              <w:rPr>
                <w:rFonts w:cs="Arial"/>
                <w:sz w:val="16"/>
                <w:szCs w:val="16"/>
                <w:lang w:val="es-ES" w:eastAsia="en-US"/>
              </w:rPr>
              <w:t>2.6.6 Apoyo Social para la Vivienda.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621134D" w14:textId="1632BC87" w:rsidR="00A41077" w:rsidRDefault="00A41077" w:rsidP="00A41077">
            <w:pPr>
              <w:spacing w:line="256" w:lineRule="auto"/>
              <w:jc w:val="right"/>
              <w:rPr>
                <w:rFonts w:cs="Arial"/>
                <w:sz w:val="16"/>
                <w:szCs w:val="16"/>
                <w:lang w:val="es-ES" w:eastAsia="en-US"/>
              </w:rPr>
            </w:pPr>
            <w:r>
              <w:rPr>
                <w:rFonts w:cs="Arial"/>
                <w:color w:val="000000"/>
                <w:sz w:val="16"/>
                <w:szCs w:val="16"/>
              </w:rPr>
              <w:t>50,152,755</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DEE372E" w14:textId="010406DF"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C7C11D" w14:textId="107B39A4" w:rsidR="00A41077" w:rsidRDefault="00A41077" w:rsidP="00A41077">
            <w:pPr>
              <w:spacing w:line="256" w:lineRule="auto"/>
              <w:jc w:val="right"/>
              <w:rPr>
                <w:rFonts w:cs="Arial"/>
                <w:sz w:val="16"/>
                <w:szCs w:val="16"/>
                <w:lang w:val="es-ES" w:eastAsia="en-US"/>
              </w:rPr>
            </w:pPr>
            <w:r>
              <w:rPr>
                <w:rFonts w:cs="Arial"/>
                <w:color w:val="000000"/>
                <w:sz w:val="16"/>
                <w:szCs w:val="16"/>
              </w:rPr>
              <w:t>50,152,755</w:t>
            </w:r>
          </w:p>
        </w:tc>
      </w:tr>
      <w:tr w:rsidR="00A41077" w14:paraId="64285DFB"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3F9D1C9D" w14:textId="77777777" w:rsidR="00A41077" w:rsidRDefault="00A41077" w:rsidP="00A41077">
            <w:pPr>
              <w:spacing w:line="256" w:lineRule="auto"/>
              <w:rPr>
                <w:rFonts w:cs="Arial"/>
                <w:sz w:val="16"/>
                <w:szCs w:val="16"/>
                <w:lang w:val="es-ES" w:eastAsia="en-US"/>
              </w:rPr>
            </w:pPr>
            <w:r>
              <w:rPr>
                <w:rFonts w:cs="Arial"/>
                <w:sz w:val="16"/>
                <w:szCs w:val="16"/>
                <w:lang w:val="es-ES" w:eastAsia="en-US"/>
              </w:rPr>
              <w:t>2.6.7 Indígenas.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95F87B5" w14:textId="7130843C" w:rsidR="00A41077" w:rsidRDefault="00A41077" w:rsidP="00A41077">
            <w:pPr>
              <w:spacing w:line="256" w:lineRule="auto"/>
              <w:jc w:val="right"/>
              <w:rPr>
                <w:rFonts w:cs="Arial"/>
                <w:sz w:val="16"/>
                <w:szCs w:val="16"/>
                <w:lang w:val="es-ES" w:eastAsia="en-US"/>
              </w:rPr>
            </w:pPr>
            <w:r>
              <w:rPr>
                <w:rFonts w:cs="Arial"/>
                <w:color w:val="000000"/>
                <w:sz w:val="16"/>
                <w:szCs w:val="16"/>
              </w:rPr>
              <w:t>713,795</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0E5E7F9" w14:textId="5ECBC3E4"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00FE4A" w14:textId="52106669" w:rsidR="00A41077" w:rsidRDefault="00A41077" w:rsidP="00A41077">
            <w:pPr>
              <w:spacing w:line="256" w:lineRule="auto"/>
              <w:jc w:val="right"/>
              <w:rPr>
                <w:rFonts w:cs="Arial"/>
                <w:sz w:val="16"/>
                <w:szCs w:val="16"/>
                <w:lang w:val="es-ES" w:eastAsia="en-US"/>
              </w:rPr>
            </w:pPr>
            <w:r>
              <w:rPr>
                <w:rFonts w:cs="Arial"/>
                <w:color w:val="000000"/>
                <w:sz w:val="16"/>
                <w:szCs w:val="16"/>
              </w:rPr>
              <w:t>713,795</w:t>
            </w:r>
          </w:p>
        </w:tc>
      </w:tr>
      <w:tr w:rsidR="00A41077" w14:paraId="5E031866"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BAA652F" w14:textId="77777777" w:rsidR="00A41077" w:rsidRDefault="00A41077" w:rsidP="00A41077">
            <w:pPr>
              <w:spacing w:line="256" w:lineRule="auto"/>
              <w:rPr>
                <w:rFonts w:cs="Arial"/>
                <w:sz w:val="16"/>
                <w:szCs w:val="16"/>
                <w:lang w:val="es-ES" w:eastAsia="en-US"/>
              </w:rPr>
            </w:pPr>
            <w:r>
              <w:rPr>
                <w:rFonts w:cs="Arial"/>
                <w:sz w:val="16"/>
                <w:szCs w:val="16"/>
                <w:lang w:val="es-ES" w:eastAsia="en-US"/>
              </w:rPr>
              <w:t>2.6.8 Otros Grupos Vulnerables.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2F8B7B5" w14:textId="574E074E" w:rsidR="00A41077" w:rsidRDefault="00A41077" w:rsidP="00A41077">
            <w:pPr>
              <w:spacing w:line="256" w:lineRule="auto"/>
              <w:jc w:val="right"/>
              <w:rPr>
                <w:rFonts w:cs="Arial"/>
                <w:sz w:val="16"/>
                <w:szCs w:val="16"/>
                <w:lang w:val="es-ES" w:eastAsia="en-US"/>
              </w:rPr>
            </w:pPr>
            <w:r>
              <w:rPr>
                <w:rFonts w:cs="Arial"/>
                <w:color w:val="000000"/>
                <w:sz w:val="16"/>
                <w:szCs w:val="16"/>
              </w:rPr>
              <w:t>506,280,283</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AAC6981" w14:textId="775E3739"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585008" w14:textId="75E7C3D1" w:rsidR="00A41077" w:rsidRDefault="00A41077" w:rsidP="00A41077">
            <w:pPr>
              <w:spacing w:line="256" w:lineRule="auto"/>
              <w:jc w:val="right"/>
              <w:rPr>
                <w:rFonts w:cs="Arial"/>
                <w:sz w:val="16"/>
                <w:szCs w:val="16"/>
                <w:lang w:val="es-ES" w:eastAsia="en-US"/>
              </w:rPr>
            </w:pPr>
            <w:r>
              <w:rPr>
                <w:rFonts w:cs="Arial"/>
                <w:color w:val="000000"/>
                <w:sz w:val="16"/>
                <w:szCs w:val="16"/>
              </w:rPr>
              <w:t>506,280,283</w:t>
            </w:r>
          </w:p>
        </w:tc>
      </w:tr>
      <w:tr w:rsidR="00A41077" w14:paraId="5100AD41"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37CBE48F" w14:textId="77777777" w:rsidR="00A41077" w:rsidRDefault="00A41077" w:rsidP="00A41077">
            <w:pPr>
              <w:spacing w:line="256" w:lineRule="auto"/>
              <w:rPr>
                <w:rFonts w:cs="Arial"/>
                <w:sz w:val="16"/>
                <w:szCs w:val="16"/>
                <w:lang w:val="es-ES" w:eastAsia="en-US"/>
              </w:rPr>
            </w:pPr>
            <w:r>
              <w:rPr>
                <w:rFonts w:cs="Arial"/>
                <w:sz w:val="16"/>
                <w:szCs w:val="16"/>
                <w:lang w:val="es-ES" w:eastAsia="en-US"/>
              </w:rPr>
              <w:t>2.6.9 Otros de Seguridad Social y Asistencia Social.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40C242F" w14:textId="3A8E59FE" w:rsidR="00A41077" w:rsidRDefault="00A41077" w:rsidP="00A41077">
            <w:pPr>
              <w:spacing w:line="256" w:lineRule="auto"/>
              <w:jc w:val="right"/>
              <w:rPr>
                <w:rFonts w:cs="Arial"/>
                <w:sz w:val="16"/>
                <w:szCs w:val="16"/>
                <w:lang w:val="es-ES" w:eastAsia="en-US"/>
              </w:rPr>
            </w:pPr>
            <w:r>
              <w:rPr>
                <w:rFonts w:cs="Arial"/>
                <w:color w:val="000000"/>
                <w:sz w:val="16"/>
                <w:szCs w:val="16"/>
              </w:rPr>
              <w:t>2,567,344</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0D4D793" w14:textId="0354F241" w:rsidR="00A41077" w:rsidRDefault="00A41077" w:rsidP="00A41077">
            <w:pPr>
              <w:spacing w:line="256" w:lineRule="auto"/>
              <w:jc w:val="right"/>
              <w:rPr>
                <w:rFonts w:cs="Arial"/>
                <w:sz w:val="16"/>
                <w:szCs w:val="16"/>
                <w:lang w:val="es-ES" w:eastAsia="en-US"/>
              </w:rPr>
            </w:pPr>
            <w:r>
              <w:rPr>
                <w:rFonts w:cs="Arial"/>
                <w:color w:val="000000"/>
                <w:sz w:val="16"/>
                <w:szCs w:val="16"/>
              </w:rPr>
              <w:t>11,545,226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5ED43C" w14:textId="2A5EFE42" w:rsidR="00A41077" w:rsidRDefault="00A41077" w:rsidP="00A41077">
            <w:pPr>
              <w:spacing w:line="256" w:lineRule="auto"/>
              <w:jc w:val="right"/>
              <w:rPr>
                <w:rFonts w:cs="Arial"/>
                <w:sz w:val="16"/>
                <w:szCs w:val="16"/>
                <w:lang w:val="es-ES" w:eastAsia="en-US"/>
              </w:rPr>
            </w:pPr>
            <w:r>
              <w:rPr>
                <w:rFonts w:cs="Arial"/>
                <w:color w:val="000000"/>
                <w:sz w:val="16"/>
                <w:szCs w:val="16"/>
              </w:rPr>
              <w:t>14,112,570</w:t>
            </w:r>
          </w:p>
        </w:tc>
      </w:tr>
      <w:tr w:rsidR="00A41077" w14:paraId="5CE03C84"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22038971"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2.7. OTROS ASUNTOS SOCIALES.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7CBC7490" w14:textId="39564915" w:rsidR="00A41077" w:rsidRDefault="00A41077" w:rsidP="00A41077">
            <w:pPr>
              <w:spacing w:line="256" w:lineRule="auto"/>
              <w:jc w:val="right"/>
              <w:rPr>
                <w:rFonts w:cs="Arial"/>
                <w:b/>
                <w:sz w:val="16"/>
                <w:szCs w:val="16"/>
                <w:lang w:val="es-ES" w:eastAsia="en-US"/>
              </w:rPr>
            </w:pPr>
            <w:r>
              <w:rPr>
                <w:rFonts w:cs="Arial"/>
                <w:b/>
                <w:bCs/>
                <w:color w:val="000000"/>
                <w:sz w:val="16"/>
                <w:szCs w:val="16"/>
              </w:rPr>
              <w:t>122,338,363</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4D0A136" w14:textId="7F897FF8" w:rsidR="00A41077" w:rsidRDefault="00A41077" w:rsidP="00A41077">
            <w:pPr>
              <w:spacing w:line="256" w:lineRule="auto"/>
              <w:jc w:val="right"/>
              <w:rPr>
                <w:rFonts w:cs="Arial"/>
                <w:b/>
                <w:sz w:val="16"/>
                <w:szCs w:val="16"/>
                <w:lang w:val="es-ES" w:eastAsia="en-US"/>
              </w:rPr>
            </w:pPr>
            <w:r>
              <w:rPr>
                <w:rFonts w:cs="Arial"/>
                <w:b/>
                <w:bCs/>
                <w:color w:val="000000"/>
                <w:sz w:val="16"/>
                <w:szCs w:val="16"/>
              </w:rPr>
              <w:t>444,464,432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C579D9" w14:textId="54C6B40C" w:rsidR="00A41077" w:rsidRDefault="00A41077" w:rsidP="00A41077">
            <w:pPr>
              <w:spacing w:line="256" w:lineRule="auto"/>
              <w:jc w:val="right"/>
              <w:rPr>
                <w:rFonts w:cs="Arial"/>
                <w:b/>
                <w:sz w:val="16"/>
                <w:szCs w:val="16"/>
                <w:lang w:val="es-ES" w:eastAsia="en-US"/>
              </w:rPr>
            </w:pPr>
            <w:r>
              <w:rPr>
                <w:rFonts w:cs="Arial"/>
                <w:b/>
                <w:bCs/>
                <w:color w:val="000000"/>
                <w:sz w:val="16"/>
                <w:szCs w:val="16"/>
              </w:rPr>
              <w:t>566,802,795</w:t>
            </w:r>
          </w:p>
        </w:tc>
      </w:tr>
      <w:tr w:rsidR="00A41077" w14:paraId="3DF4F94D"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217E871F" w14:textId="77777777" w:rsidR="00A41077" w:rsidRDefault="00A41077" w:rsidP="00A41077">
            <w:pPr>
              <w:spacing w:line="256" w:lineRule="auto"/>
              <w:rPr>
                <w:rFonts w:cs="Arial"/>
                <w:sz w:val="16"/>
                <w:szCs w:val="16"/>
                <w:lang w:val="es-ES" w:eastAsia="en-US"/>
              </w:rPr>
            </w:pPr>
            <w:r>
              <w:rPr>
                <w:rFonts w:cs="Arial"/>
                <w:sz w:val="16"/>
                <w:szCs w:val="16"/>
                <w:lang w:val="es-ES" w:eastAsia="en-US"/>
              </w:rPr>
              <w:t>2.7.1 Otros Asuntos Sociales.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E126AB6" w14:textId="2A59BF0E" w:rsidR="00A41077" w:rsidRDefault="00A41077" w:rsidP="00A41077">
            <w:pPr>
              <w:spacing w:line="256" w:lineRule="auto"/>
              <w:jc w:val="right"/>
              <w:rPr>
                <w:rFonts w:cs="Arial"/>
                <w:sz w:val="16"/>
                <w:szCs w:val="16"/>
                <w:lang w:val="es-ES" w:eastAsia="en-US"/>
              </w:rPr>
            </w:pPr>
            <w:r>
              <w:rPr>
                <w:rFonts w:cs="Arial"/>
                <w:color w:val="000000"/>
                <w:sz w:val="16"/>
                <w:szCs w:val="16"/>
              </w:rPr>
              <w:t>122,338,363</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3946F4D" w14:textId="292FABDA" w:rsidR="00A41077" w:rsidRDefault="00A41077" w:rsidP="00A41077">
            <w:pPr>
              <w:spacing w:line="256" w:lineRule="auto"/>
              <w:jc w:val="right"/>
              <w:rPr>
                <w:rFonts w:cs="Arial"/>
                <w:sz w:val="16"/>
                <w:szCs w:val="16"/>
                <w:lang w:val="es-ES" w:eastAsia="en-US"/>
              </w:rPr>
            </w:pPr>
            <w:r>
              <w:rPr>
                <w:rFonts w:cs="Arial"/>
                <w:color w:val="000000"/>
                <w:sz w:val="16"/>
                <w:szCs w:val="16"/>
              </w:rPr>
              <w:t>444,464,432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7EDD1A" w14:textId="561F002D" w:rsidR="00A41077" w:rsidRDefault="00A41077" w:rsidP="00A41077">
            <w:pPr>
              <w:spacing w:line="256" w:lineRule="auto"/>
              <w:jc w:val="right"/>
              <w:rPr>
                <w:rFonts w:cs="Arial"/>
                <w:sz w:val="16"/>
                <w:szCs w:val="16"/>
                <w:lang w:val="es-ES" w:eastAsia="en-US"/>
              </w:rPr>
            </w:pPr>
            <w:r>
              <w:rPr>
                <w:rFonts w:cs="Arial"/>
                <w:color w:val="000000"/>
                <w:sz w:val="16"/>
                <w:szCs w:val="16"/>
              </w:rPr>
              <w:t>566,802,795</w:t>
            </w:r>
          </w:p>
        </w:tc>
      </w:tr>
      <w:tr w:rsidR="00A41077" w14:paraId="344A6131"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A0CC40E"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3. DESARROLLO ECONÓMICO.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6CA390E" w14:textId="5E85F3AA" w:rsidR="00A41077" w:rsidRDefault="00A41077" w:rsidP="00A41077">
            <w:pPr>
              <w:spacing w:line="256" w:lineRule="auto"/>
              <w:jc w:val="right"/>
              <w:rPr>
                <w:rFonts w:cs="Arial"/>
                <w:b/>
                <w:sz w:val="16"/>
                <w:szCs w:val="16"/>
                <w:lang w:val="es-ES" w:eastAsia="en-US"/>
              </w:rPr>
            </w:pPr>
            <w:r>
              <w:rPr>
                <w:rFonts w:cs="Arial"/>
                <w:b/>
                <w:bCs/>
                <w:color w:val="000000"/>
                <w:sz w:val="16"/>
                <w:szCs w:val="16"/>
              </w:rPr>
              <w:t>639,604,350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6FBC48D" w14:textId="12422241"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B00F5E" w14:textId="510C201C" w:rsidR="00A41077" w:rsidRDefault="00A41077" w:rsidP="00A41077">
            <w:pPr>
              <w:spacing w:line="256" w:lineRule="auto"/>
              <w:jc w:val="right"/>
              <w:rPr>
                <w:rFonts w:cs="Arial"/>
                <w:b/>
                <w:sz w:val="16"/>
                <w:szCs w:val="16"/>
                <w:lang w:val="es-ES" w:eastAsia="en-US"/>
              </w:rPr>
            </w:pPr>
            <w:r>
              <w:rPr>
                <w:rFonts w:cs="Arial"/>
                <w:b/>
                <w:bCs/>
                <w:color w:val="000000"/>
                <w:sz w:val="16"/>
                <w:szCs w:val="16"/>
              </w:rPr>
              <w:t>639,604,350</w:t>
            </w:r>
          </w:p>
        </w:tc>
      </w:tr>
      <w:tr w:rsidR="00A41077" w14:paraId="224B1F7A"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247F58B0"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3.1. ASUNTOS ECONÓMICOS, COMERCIALES Y LABORALES EN GENERAL.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47A2124" w14:textId="6E14C1CB" w:rsidR="00A41077" w:rsidRDefault="00A41077" w:rsidP="00A41077">
            <w:pPr>
              <w:spacing w:line="256" w:lineRule="auto"/>
              <w:jc w:val="right"/>
              <w:rPr>
                <w:rFonts w:cs="Arial"/>
                <w:b/>
                <w:sz w:val="16"/>
                <w:szCs w:val="16"/>
                <w:lang w:val="es-ES" w:eastAsia="en-US"/>
              </w:rPr>
            </w:pPr>
            <w:r>
              <w:rPr>
                <w:rFonts w:cs="Arial"/>
                <w:b/>
                <w:bCs/>
                <w:color w:val="000000"/>
                <w:sz w:val="16"/>
                <w:szCs w:val="16"/>
              </w:rPr>
              <w:t>114,082,943</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C564DAD" w14:textId="2AC16E1D"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EEB965" w14:textId="6D43BA6B" w:rsidR="00A41077" w:rsidRDefault="00A41077" w:rsidP="00A41077">
            <w:pPr>
              <w:spacing w:line="256" w:lineRule="auto"/>
              <w:jc w:val="right"/>
              <w:rPr>
                <w:rFonts w:cs="Arial"/>
                <w:b/>
                <w:sz w:val="16"/>
                <w:szCs w:val="16"/>
                <w:lang w:val="es-ES" w:eastAsia="en-US"/>
              </w:rPr>
            </w:pPr>
            <w:r>
              <w:rPr>
                <w:rFonts w:cs="Arial"/>
                <w:b/>
                <w:bCs/>
                <w:color w:val="000000"/>
                <w:sz w:val="16"/>
                <w:szCs w:val="16"/>
              </w:rPr>
              <w:t>114,082,943</w:t>
            </w:r>
          </w:p>
        </w:tc>
      </w:tr>
      <w:tr w:rsidR="00A41077" w14:paraId="5F83B375"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37033F3F" w14:textId="77777777" w:rsidR="00A41077" w:rsidRDefault="00A41077" w:rsidP="00A41077">
            <w:pPr>
              <w:spacing w:line="256" w:lineRule="auto"/>
              <w:rPr>
                <w:rFonts w:cs="Arial"/>
                <w:sz w:val="16"/>
                <w:szCs w:val="16"/>
                <w:lang w:val="es-ES" w:eastAsia="en-US"/>
              </w:rPr>
            </w:pPr>
            <w:r>
              <w:rPr>
                <w:rFonts w:cs="Arial"/>
                <w:sz w:val="16"/>
                <w:szCs w:val="16"/>
                <w:lang w:val="es-ES" w:eastAsia="en-US"/>
              </w:rPr>
              <w:t>3.1.1 Asuntos Económicos y Comerciales en General.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29E2902" w14:textId="534EA6C9" w:rsidR="00A41077" w:rsidRDefault="00A41077" w:rsidP="00A41077">
            <w:pPr>
              <w:spacing w:line="256" w:lineRule="auto"/>
              <w:jc w:val="right"/>
              <w:rPr>
                <w:rFonts w:cs="Arial"/>
                <w:sz w:val="16"/>
                <w:szCs w:val="16"/>
                <w:lang w:val="es-ES" w:eastAsia="en-US"/>
              </w:rPr>
            </w:pPr>
            <w:r>
              <w:rPr>
                <w:rFonts w:cs="Arial"/>
                <w:color w:val="000000"/>
                <w:sz w:val="16"/>
                <w:szCs w:val="16"/>
              </w:rPr>
              <w:t>56,007,820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897F263" w14:textId="2F104A46"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3AB6CD" w14:textId="1977C2C9" w:rsidR="00A41077" w:rsidRDefault="00A41077" w:rsidP="00A41077">
            <w:pPr>
              <w:spacing w:line="256" w:lineRule="auto"/>
              <w:jc w:val="right"/>
              <w:rPr>
                <w:rFonts w:cs="Arial"/>
                <w:sz w:val="16"/>
                <w:szCs w:val="16"/>
                <w:lang w:val="es-ES" w:eastAsia="en-US"/>
              </w:rPr>
            </w:pPr>
            <w:r>
              <w:rPr>
                <w:rFonts w:cs="Arial"/>
                <w:color w:val="000000"/>
                <w:sz w:val="16"/>
                <w:szCs w:val="16"/>
              </w:rPr>
              <w:t>56,007,820</w:t>
            </w:r>
          </w:p>
        </w:tc>
      </w:tr>
      <w:tr w:rsidR="00A41077" w14:paraId="06E7E924"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5A88794D" w14:textId="77777777" w:rsidR="00A41077" w:rsidRDefault="00A41077" w:rsidP="00A41077">
            <w:pPr>
              <w:spacing w:line="256" w:lineRule="auto"/>
              <w:rPr>
                <w:rFonts w:cs="Arial"/>
                <w:sz w:val="16"/>
                <w:szCs w:val="16"/>
                <w:lang w:val="es-ES" w:eastAsia="en-US"/>
              </w:rPr>
            </w:pPr>
            <w:r>
              <w:rPr>
                <w:rFonts w:cs="Arial"/>
                <w:sz w:val="16"/>
                <w:szCs w:val="16"/>
                <w:lang w:val="es-ES" w:eastAsia="en-US"/>
              </w:rPr>
              <w:t>3.1.2 Asuntos Laborales Generales.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0A26B18" w14:textId="7D210A09" w:rsidR="00A41077" w:rsidRDefault="00A41077" w:rsidP="00A41077">
            <w:pPr>
              <w:spacing w:line="256" w:lineRule="auto"/>
              <w:jc w:val="right"/>
              <w:rPr>
                <w:rFonts w:cs="Arial"/>
                <w:sz w:val="16"/>
                <w:szCs w:val="16"/>
                <w:lang w:val="es-ES" w:eastAsia="en-US"/>
              </w:rPr>
            </w:pPr>
            <w:r>
              <w:rPr>
                <w:rFonts w:cs="Arial"/>
                <w:color w:val="000000"/>
                <w:sz w:val="16"/>
                <w:szCs w:val="16"/>
              </w:rPr>
              <w:t>58,075,123</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1F355AE" w14:textId="2B177489"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2AC582" w14:textId="1896B2F0" w:rsidR="00A41077" w:rsidRDefault="00A41077" w:rsidP="00A41077">
            <w:pPr>
              <w:spacing w:line="256" w:lineRule="auto"/>
              <w:jc w:val="right"/>
              <w:rPr>
                <w:rFonts w:cs="Arial"/>
                <w:sz w:val="16"/>
                <w:szCs w:val="16"/>
                <w:lang w:val="es-ES" w:eastAsia="en-US"/>
              </w:rPr>
            </w:pPr>
            <w:r>
              <w:rPr>
                <w:rFonts w:cs="Arial"/>
                <w:color w:val="000000"/>
                <w:sz w:val="16"/>
                <w:szCs w:val="16"/>
              </w:rPr>
              <w:t>58,075,123</w:t>
            </w:r>
          </w:p>
        </w:tc>
      </w:tr>
      <w:tr w:rsidR="00A41077" w14:paraId="57EF25E8"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09E7C68D"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3.2. AGROPECUARIA, SILVICULTURA, PESCA Y CAZA.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BB8B2BE" w14:textId="15C86D08" w:rsidR="00A41077" w:rsidRDefault="00A41077" w:rsidP="00A41077">
            <w:pPr>
              <w:spacing w:line="256" w:lineRule="auto"/>
              <w:jc w:val="right"/>
              <w:rPr>
                <w:rFonts w:cs="Arial"/>
                <w:b/>
                <w:sz w:val="16"/>
                <w:szCs w:val="16"/>
                <w:lang w:val="es-ES" w:eastAsia="en-US"/>
              </w:rPr>
            </w:pPr>
            <w:r>
              <w:rPr>
                <w:rFonts w:cs="Arial"/>
                <w:b/>
                <w:bCs/>
                <w:color w:val="000000"/>
                <w:sz w:val="16"/>
                <w:szCs w:val="16"/>
              </w:rPr>
              <w:t>106,711,551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7ADDA40" w14:textId="678408DB"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9A77B6" w14:textId="7BE3B37F" w:rsidR="00A41077" w:rsidRDefault="00A41077" w:rsidP="00A41077">
            <w:pPr>
              <w:spacing w:line="256" w:lineRule="auto"/>
              <w:jc w:val="right"/>
              <w:rPr>
                <w:rFonts w:cs="Arial"/>
                <w:b/>
                <w:sz w:val="16"/>
                <w:szCs w:val="16"/>
                <w:lang w:val="es-ES" w:eastAsia="en-US"/>
              </w:rPr>
            </w:pPr>
            <w:r>
              <w:rPr>
                <w:rFonts w:cs="Arial"/>
                <w:b/>
                <w:bCs/>
                <w:color w:val="000000"/>
                <w:sz w:val="16"/>
                <w:szCs w:val="16"/>
              </w:rPr>
              <w:t>106,711,551</w:t>
            </w:r>
          </w:p>
        </w:tc>
      </w:tr>
      <w:tr w:rsidR="00A41077" w14:paraId="59740C0F"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0C8E163E" w14:textId="77777777" w:rsidR="00A41077" w:rsidRDefault="00A41077" w:rsidP="00A41077">
            <w:pPr>
              <w:spacing w:line="256" w:lineRule="auto"/>
              <w:rPr>
                <w:rFonts w:cs="Arial"/>
                <w:sz w:val="16"/>
                <w:szCs w:val="16"/>
                <w:lang w:val="es-ES" w:eastAsia="en-US"/>
              </w:rPr>
            </w:pPr>
            <w:r>
              <w:rPr>
                <w:rFonts w:cs="Arial"/>
                <w:sz w:val="16"/>
                <w:szCs w:val="16"/>
                <w:lang w:val="es-ES" w:eastAsia="en-US"/>
              </w:rPr>
              <w:lastRenderedPageBreak/>
              <w:t>3.2.1 Agropecuaria.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1F7FDA6" w14:textId="25D842F9" w:rsidR="00A41077" w:rsidRDefault="00A41077" w:rsidP="00A41077">
            <w:pPr>
              <w:spacing w:line="256" w:lineRule="auto"/>
              <w:jc w:val="right"/>
              <w:rPr>
                <w:rFonts w:cs="Arial"/>
                <w:sz w:val="16"/>
                <w:szCs w:val="16"/>
                <w:lang w:val="es-ES" w:eastAsia="en-US"/>
              </w:rPr>
            </w:pPr>
            <w:r>
              <w:rPr>
                <w:rFonts w:cs="Arial"/>
                <w:color w:val="000000"/>
                <w:sz w:val="16"/>
                <w:szCs w:val="16"/>
              </w:rPr>
              <w:t>76,284,472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1CA9AD3" w14:textId="0A727C09"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A28278" w14:textId="45BCC38E" w:rsidR="00A41077" w:rsidRDefault="00A41077" w:rsidP="00A41077">
            <w:pPr>
              <w:spacing w:line="256" w:lineRule="auto"/>
              <w:jc w:val="right"/>
              <w:rPr>
                <w:rFonts w:cs="Arial"/>
                <w:sz w:val="16"/>
                <w:szCs w:val="16"/>
                <w:lang w:val="es-ES" w:eastAsia="en-US"/>
              </w:rPr>
            </w:pPr>
            <w:r>
              <w:rPr>
                <w:rFonts w:cs="Arial"/>
                <w:color w:val="000000"/>
                <w:sz w:val="16"/>
                <w:szCs w:val="16"/>
              </w:rPr>
              <w:t>76,284,472</w:t>
            </w:r>
          </w:p>
        </w:tc>
      </w:tr>
      <w:tr w:rsidR="00A41077" w14:paraId="5B9BFFFA"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53FF8CD1" w14:textId="77777777" w:rsidR="00A41077" w:rsidRDefault="00A41077" w:rsidP="00A41077">
            <w:pPr>
              <w:spacing w:line="256" w:lineRule="auto"/>
              <w:rPr>
                <w:rFonts w:cs="Arial"/>
                <w:sz w:val="16"/>
                <w:szCs w:val="16"/>
                <w:lang w:val="es-ES" w:eastAsia="en-US"/>
              </w:rPr>
            </w:pPr>
            <w:r>
              <w:rPr>
                <w:rFonts w:cs="Arial"/>
                <w:sz w:val="16"/>
                <w:szCs w:val="16"/>
                <w:lang w:val="es-ES" w:eastAsia="en-US"/>
              </w:rPr>
              <w:t>3.2.2 Silvicultura.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DCA00F3" w14:textId="20A3CA23" w:rsidR="00A41077" w:rsidRDefault="00A41077" w:rsidP="00A41077">
            <w:pPr>
              <w:spacing w:line="256" w:lineRule="auto"/>
              <w:jc w:val="right"/>
              <w:rPr>
                <w:rFonts w:cs="Arial"/>
                <w:sz w:val="16"/>
                <w:szCs w:val="16"/>
                <w:lang w:val="es-ES" w:eastAsia="en-US"/>
              </w:rPr>
            </w:pPr>
            <w:r>
              <w:rPr>
                <w:rFonts w:cs="Arial"/>
                <w:color w:val="000000"/>
                <w:sz w:val="16"/>
                <w:szCs w:val="16"/>
              </w:rPr>
              <w:t>10,643,121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99327A5" w14:textId="5D57AC70"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64B5B7" w14:textId="3380AA2E" w:rsidR="00A41077" w:rsidRDefault="00A41077" w:rsidP="00A41077">
            <w:pPr>
              <w:spacing w:line="256" w:lineRule="auto"/>
              <w:jc w:val="right"/>
              <w:rPr>
                <w:rFonts w:cs="Arial"/>
                <w:sz w:val="16"/>
                <w:szCs w:val="16"/>
                <w:lang w:val="es-ES" w:eastAsia="en-US"/>
              </w:rPr>
            </w:pPr>
            <w:r>
              <w:rPr>
                <w:rFonts w:cs="Arial"/>
                <w:color w:val="000000"/>
                <w:sz w:val="16"/>
                <w:szCs w:val="16"/>
              </w:rPr>
              <w:t>10,643,121</w:t>
            </w:r>
          </w:p>
        </w:tc>
      </w:tr>
      <w:tr w:rsidR="00A41077" w14:paraId="56C55716"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0AB7F323" w14:textId="77777777" w:rsidR="00A41077" w:rsidRDefault="00A41077" w:rsidP="00A41077">
            <w:pPr>
              <w:spacing w:line="256" w:lineRule="auto"/>
              <w:rPr>
                <w:rFonts w:cs="Arial"/>
                <w:sz w:val="16"/>
                <w:szCs w:val="16"/>
                <w:lang w:val="es-ES" w:eastAsia="en-US"/>
              </w:rPr>
            </w:pPr>
            <w:r>
              <w:rPr>
                <w:rFonts w:cs="Arial"/>
                <w:sz w:val="16"/>
                <w:szCs w:val="16"/>
                <w:lang w:val="es-ES" w:eastAsia="en-US"/>
              </w:rPr>
              <w:t>3.2.3 Acuacultura, Pesca y Caza.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DF74CF9" w14:textId="2273F99F" w:rsidR="00A41077" w:rsidRDefault="00A41077" w:rsidP="00A41077">
            <w:pPr>
              <w:spacing w:line="256" w:lineRule="auto"/>
              <w:jc w:val="right"/>
              <w:rPr>
                <w:rFonts w:cs="Arial"/>
                <w:sz w:val="16"/>
                <w:szCs w:val="16"/>
                <w:lang w:val="es-ES" w:eastAsia="en-US"/>
              </w:rPr>
            </w:pPr>
            <w:r>
              <w:rPr>
                <w:rFonts w:cs="Arial"/>
                <w:color w:val="000000"/>
                <w:sz w:val="16"/>
                <w:szCs w:val="16"/>
              </w:rPr>
              <w:t>2,503,558</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350BC55" w14:textId="59959BCF"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55D47B" w14:textId="6E53EC67" w:rsidR="00A41077" w:rsidRDefault="00A41077" w:rsidP="00A41077">
            <w:pPr>
              <w:spacing w:line="256" w:lineRule="auto"/>
              <w:jc w:val="right"/>
              <w:rPr>
                <w:rFonts w:cs="Arial"/>
                <w:sz w:val="16"/>
                <w:szCs w:val="16"/>
                <w:lang w:val="es-ES" w:eastAsia="en-US"/>
              </w:rPr>
            </w:pPr>
            <w:r>
              <w:rPr>
                <w:rFonts w:cs="Arial"/>
                <w:color w:val="000000"/>
                <w:sz w:val="16"/>
                <w:szCs w:val="16"/>
              </w:rPr>
              <w:t>2,503,558</w:t>
            </w:r>
          </w:p>
        </w:tc>
      </w:tr>
      <w:tr w:rsidR="00A41077" w14:paraId="5C29E2A6"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6BAAD01D" w14:textId="77777777" w:rsidR="00A41077" w:rsidRDefault="00A41077" w:rsidP="00A41077">
            <w:pPr>
              <w:spacing w:line="256" w:lineRule="auto"/>
              <w:rPr>
                <w:rFonts w:cs="Arial"/>
                <w:sz w:val="16"/>
                <w:szCs w:val="16"/>
                <w:lang w:val="es-ES" w:eastAsia="en-US"/>
              </w:rPr>
            </w:pPr>
            <w:r>
              <w:rPr>
                <w:rFonts w:cs="Arial"/>
                <w:sz w:val="16"/>
                <w:szCs w:val="16"/>
                <w:lang w:val="es-ES" w:eastAsia="en-US"/>
              </w:rPr>
              <w:t>3.2.4 Agroindustrial.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2FEE2AC" w14:textId="54081C0B"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74A96F5" w14:textId="7579B2B1"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8E10DD" w14:textId="359961C0"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222FFF41"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4DE8D784" w14:textId="77777777" w:rsidR="00A41077" w:rsidRDefault="00A41077" w:rsidP="00A41077">
            <w:pPr>
              <w:spacing w:line="256" w:lineRule="auto"/>
              <w:rPr>
                <w:rFonts w:cs="Arial"/>
                <w:sz w:val="16"/>
                <w:szCs w:val="16"/>
                <w:lang w:val="es-ES" w:eastAsia="en-US"/>
              </w:rPr>
            </w:pPr>
            <w:r>
              <w:rPr>
                <w:rFonts w:cs="Arial"/>
                <w:sz w:val="16"/>
                <w:szCs w:val="16"/>
                <w:lang w:val="es-ES" w:eastAsia="en-US"/>
              </w:rPr>
              <w:t>3.2.5 Hidroagrícola.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78A0BB4A" w14:textId="589B7661" w:rsidR="00A41077" w:rsidRDefault="00A41077" w:rsidP="00A41077">
            <w:pPr>
              <w:spacing w:line="256" w:lineRule="auto"/>
              <w:jc w:val="right"/>
              <w:rPr>
                <w:rFonts w:cs="Arial"/>
                <w:sz w:val="16"/>
                <w:szCs w:val="16"/>
                <w:lang w:val="es-ES" w:eastAsia="en-US"/>
              </w:rPr>
            </w:pPr>
            <w:r>
              <w:rPr>
                <w:rFonts w:cs="Arial"/>
                <w:color w:val="000000"/>
                <w:sz w:val="16"/>
                <w:szCs w:val="16"/>
              </w:rPr>
              <w:t>17,280,400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93E0C01" w14:textId="68273F52"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5F6198" w14:textId="74AE87E7" w:rsidR="00A41077" w:rsidRDefault="00A41077" w:rsidP="00A41077">
            <w:pPr>
              <w:spacing w:line="256" w:lineRule="auto"/>
              <w:jc w:val="right"/>
              <w:rPr>
                <w:rFonts w:cs="Arial"/>
                <w:sz w:val="16"/>
                <w:szCs w:val="16"/>
                <w:lang w:val="es-ES" w:eastAsia="en-US"/>
              </w:rPr>
            </w:pPr>
            <w:r>
              <w:rPr>
                <w:rFonts w:cs="Arial"/>
                <w:color w:val="000000"/>
                <w:sz w:val="16"/>
                <w:szCs w:val="16"/>
              </w:rPr>
              <w:t>17,280,400</w:t>
            </w:r>
          </w:p>
        </w:tc>
      </w:tr>
      <w:tr w:rsidR="00A41077" w14:paraId="3E29032F"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26601DFB" w14:textId="77777777" w:rsidR="00A41077" w:rsidRDefault="00A41077" w:rsidP="00A41077">
            <w:pPr>
              <w:spacing w:line="256" w:lineRule="auto"/>
              <w:rPr>
                <w:rFonts w:cs="Arial"/>
                <w:sz w:val="16"/>
                <w:szCs w:val="16"/>
                <w:lang w:val="es-ES" w:eastAsia="en-US"/>
              </w:rPr>
            </w:pPr>
            <w:r>
              <w:rPr>
                <w:rFonts w:cs="Arial"/>
                <w:sz w:val="16"/>
                <w:szCs w:val="16"/>
                <w:lang w:val="es-ES" w:eastAsia="en-US"/>
              </w:rPr>
              <w:t>3.2.6 Apoyo Financiero a la Banca y Seguro Agropecuario.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06AF6F5" w14:textId="38436CF3"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290E780" w14:textId="5203045B"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0DF2D0" w14:textId="7EF83D29"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08291209"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466BF206"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3.3.  COMBUSTIBLES Y ENERGÍA.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630A2C0" w14:textId="3F999C3E"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2E08009" w14:textId="77B56C69"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9C9C67" w14:textId="39784467"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r>
      <w:tr w:rsidR="00A41077" w14:paraId="00861D9D"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2AA59BFE" w14:textId="77777777" w:rsidR="00A41077" w:rsidRDefault="00A41077" w:rsidP="00A41077">
            <w:pPr>
              <w:spacing w:line="256" w:lineRule="auto"/>
              <w:rPr>
                <w:rFonts w:cs="Arial"/>
                <w:sz w:val="16"/>
                <w:szCs w:val="16"/>
                <w:lang w:val="es-ES" w:eastAsia="en-US"/>
              </w:rPr>
            </w:pPr>
            <w:r>
              <w:rPr>
                <w:rFonts w:cs="Arial"/>
                <w:sz w:val="16"/>
                <w:szCs w:val="16"/>
                <w:lang w:val="es-ES" w:eastAsia="en-US"/>
              </w:rPr>
              <w:t>3.3.1 Carbón y Otros Combustibles Minerales Sólidos.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E5E2602" w14:textId="4CD1BEC7"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CE4E02F" w14:textId="3B9B6DB0"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795387" w14:textId="28CCA034"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610CD575"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342AD306" w14:textId="77777777" w:rsidR="00A41077" w:rsidRDefault="00A41077" w:rsidP="00A41077">
            <w:pPr>
              <w:spacing w:line="256" w:lineRule="auto"/>
              <w:rPr>
                <w:rFonts w:cs="Arial"/>
                <w:sz w:val="16"/>
                <w:szCs w:val="16"/>
                <w:lang w:val="es-ES" w:eastAsia="en-US"/>
              </w:rPr>
            </w:pPr>
            <w:r>
              <w:rPr>
                <w:rFonts w:cs="Arial"/>
                <w:sz w:val="16"/>
                <w:szCs w:val="16"/>
                <w:lang w:val="es-ES" w:eastAsia="en-US"/>
              </w:rPr>
              <w:t>3.3.2 Petróleo y Gas Natural (Hidrocarburos).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9EE4F7D" w14:textId="77D0A4E5"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66C7098" w14:textId="76C76193"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287B3E" w14:textId="7C1E7680"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52D93F7B"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4465E4D6" w14:textId="77777777" w:rsidR="00A41077" w:rsidRDefault="00A41077" w:rsidP="00A41077">
            <w:pPr>
              <w:spacing w:line="256" w:lineRule="auto"/>
              <w:rPr>
                <w:rFonts w:cs="Arial"/>
                <w:sz w:val="16"/>
                <w:szCs w:val="16"/>
                <w:lang w:val="es-ES" w:eastAsia="en-US"/>
              </w:rPr>
            </w:pPr>
            <w:r>
              <w:rPr>
                <w:rFonts w:cs="Arial"/>
                <w:sz w:val="16"/>
                <w:szCs w:val="16"/>
                <w:lang w:val="es-ES" w:eastAsia="en-US"/>
              </w:rPr>
              <w:t>3.3.3 Combustibles Nucleares.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408BED6" w14:textId="37564B7B"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E8DCA18" w14:textId="36B59835"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8ED6F5" w14:textId="73B7F678"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1B5CFF28"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36540A6" w14:textId="77777777" w:rsidR="00A41077" w:rsidRDefault="00A41077" w:rsidP="00A41077">
            <w:pPr>
              <w:spacing w:line="256" w:lineRule="auto"/>
              <w:rPr>
                <w:rFonts w:cs="Arial"/>
                <w:sz w:val="16"/>
                <w:szCs w:val="16"/>
                <w:lang w:val="es-ES" w:eastAsia="en-US"/>
              </w:rPr>
            </w:pPr>
            <w:r>
              <w:rPr>
                <w:rFonts w:cs="Arial"/>
                <w:sz w:val="16"/>
                <w:szCs w:val="16"/>
                <w:lang w:val="es-ES" w:eastAsia="en-US"/>
              </w:rPr>
              <w:t>3.3.4 Otros Combustibles.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E6E20E3" w14:textId="41DCD9F7"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1F04C41" w14:textId="0AC67271"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AA1E65" w14:textId="611E2663"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71BD633E"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59B55BAD" w14:textId="77777777" w:rsidR="00A41077" w:rsidRDefault="00A41077" w:rsidP="00A41077">
            <w:pPr>
              <w:spacing w:line="256" w:lineRule="auto"/>
              <w:rPr>
                <w:rFonts w:cs="Arial"/>
                <w:sz w:val="16"/>
                <w:szCs w:val="16"/>
                <w:lang w:val="es-ES" w:eastAsia="en-US"/>
              </w:rPr>
            </w:pPr>
            <w:r>
              <w:rPr>
                <w:rFonts w:cs="Arial"/>
                <w:sz w:val="16"/>
                <w:szCs w:val="16"/>
                <w:lang w:val="es-ES" w:eastAsia="en-US"/>
              </w:rPr>
              <w:t>3.3.5 Electricidad.</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D8AD3E4" w14:textId="6D3E95E2"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1EF95B6" w14:textId="151A6661"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4F56B0" w14:textId="29646FFD"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40885FDF"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09954267" w14:textId="77777777" w:rsidR="00A41077" w:rsidRDefault="00A41077" w:rsidP="00A41077">
            <w:pPr>
              <w:spacing w:line="256" w:lineRule="auto"/>
              <w:rPr>
                <w:rFonts w:cs="Arial"/>
                <w:sz w:val="16"/>
                <w:szCs w:val="16"/>
                <w:lang w:val="es-ES" w:eastAsia="en-US"/>
              </w:rPr>
            </w:pPr>
            <w:r>
              <w:rPr>
                <w:rFonts w:cs="Arial"/>
                <w:sz w:val="16"/>
                <w:szCs w:val="16"/>
                <w:lang w:val="es-ES" w:eastAsia="en-US"/>
              </w:rPr>
              <w:t>3.3.6 Energía no Eléctrica.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E212D14" w14:textId="79D3D284"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9CB32EE" w14:textId="0BEE2FBB"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6DA60F" w14:textId="4DBA36CE"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463E0CC6"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4AD2C05C"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3.4.  MINERÍA, MANUFACTURAS Y CONSTRUCCIÓN.</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22A54CE" w14:textId="438D4F75"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D040BF8" w14:textId="46C49954"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4C1E95" w14:textId="17BEF4EC"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r>
      <w:tr w:rsidR="00A41077" w14:paraId="5FB57A94"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557CEF2E" w14:textId="77777777" w:rsidR="00A41077" w:rsidRDefault="00A41077" w:rsidP="00A41077">
            <w:pPr>
              <w:spacing w:line="256" w:lineRule="auto"/>
              <w:rPr>
                <w:rFonts w:cs="Arial"/>
                <w:sz w:val="16"/>
                <w:szCs w:val="16"/>
                <w:lang w:val="es-ES" w:eastAsia="en-US"/>
              </w:rPr>
            </w:pPr>
            <w:r>
              <w:rPr>
                <w:rFonts w:cs="Arial"/>
                <w:sz w:val="16"/>
                <w:szCs w:val="16"/>
                <w:lang w:val="es-ES" w:eastAsia="en-US"/>
              </w:rPr>
              <w:t>3.4.1 Extracción de Recursos Minerales Excepto los Combustibles Minerales.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4F09D17" w14:textId="494528BD"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DC74BFB" w14:textId="01B6B818"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BAA0BF" w14:textId="5EE482E0"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090C82F8"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502C6CA3" w14:textId="77777777" w:rsidR="00A41077" w:rsidRDefault="00A41077" w:rsidP="00A41077">
            <w:pPr>
              <w:spacing w:line="256" w:lineRule="auto"/>
              <w:rPr>
                <w:rFonts w:cs="Arial"/>
                <w:sz w:val="16"/>
                <w:szCs w:val="16"/>
                <w:lang w:val="es-ES" w:eastAsia="en-US"/>
              </w:rPr>
            </w:pPr>
            <w:r>
              <w:rPr>
                <w:rFonts w:cs="Arial"/>
                <w:sz w:val="16"/>
                <w:szCs w:val="16"/>
                <w:lang w:val="es-ES" w:eastAsia="en-US"/>
              </w:rPr>
              <w:t>3.4.2 Manufacturas.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3508021" w14:textId="14574836"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25066CD" w14:textId="2C6383DF"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84A721" w14:textId="6335C22F"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5498D57B"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40091FD0" w14:textId="77777777" w:rsidR="00A41077" w:rsidRDefault="00A41077" w:rsidP="00A41077">
            <w:pPr>
              <w:spacing w:line="256" w:lineRule="auto"/>
              <w:rPr>
                <w:rFonts w:cs="Arial"/>
                <w:sz w:val="16"/>
                <w:szCs w:val="16"/>
                <w:lang w:val="es-ES" w:eastAsia="en-US"/>
              </w:rPr>
            </w:pPr>
            <w:r>
              <w:rPr>
                <w:rFonts w:cs="Arial"/>
                <w:sz w:val="16"/>
                <w:szCs w:val="16"/>
                <w:lang w:val="es-ES" w:eastAsia="en-US"/>
              </w:rPr>
              <w:t>3.4.3 Construcción.</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9163F7C" w14:textId="394C4D29"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58E587B" w14:textId="07651A65"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E537C1" w14:textId="6F81800A"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73C56342"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0642BEE2"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3.5. TRANSPORTE.</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9A1867E" w14:textId="3C6A7E15" w:rsidR="00A41077" w:rsidRDefault="00A41077" w:rsidP="00A41077">
            <w:pPr>
              <w:spacing w:line="256" w:lineRule="auto"/>
              <w:jc w:val="right"/>
              <w:rPr>
                <w:rFonts w:cs="Arial"/>
                <w:b/>
                <w:sz w:val="16"/>
                <w:szCs w:val="16"/>
                <w:lang w:val="es-ES" w:eastAsia="en-US"/>
              </w:rPr>
            </w:pPr>
            <w:r>
              <w:rPr>
                <w:rFonts w:cs="Arial"/>
                <w:b/>
                <w:bCs/>
                <w:color w:val="000000"/>
                <w:sz w:val="16"/>
                <w:szCs w:val="16"/>
              </w:rPr>
              <w:t>322,875,390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4B177EC" w14:textId="5E6315AC"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528502" w14:textId="23A9223F" w:rsidR="00A41077" w:rsidRDefault="00A41077" w:rsidP="00A41077">
            <w:pPr>
              <w:spacing w:line="256" w:lineRule="auto"/>
              <w:jc w:val="right"/>
              <w:rPr>
                <w:rFonts w:cs="Arial"/>
                <w:b/>
                <w:sz w:val="16"/>
                <w:szCs w:val="16"/>
                <w:lang w:val="es-ES" w:eastAsia="en-US"/>
              </w:rPr>
            </w:pPr>
            <w:r>
              <w:rPr>
                <w:rFonts w:cs="Arial"/>
                <w:b/>
                <w:bCs/>
                <w:color w:val="000000"/>
                <w:sz w:val="16"/>
                <w:szCs w:val="16"/>
              </w:rPr>
              <w:t>322,875,390</w:t>
            </w:r>
          </w:p>
        </w:tc>
      </w:tr>
      <w:tr w:rsidR="00A41077" w14:paraId="71DA08B0"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67DCA64" w14:textId="77777777" w:rsidR="00A41077" w:rsidRDefault="00A41077" w:rsidP="00A41077">
            <w:pPr>
              <w:spacing w:line="256" w:lineRule="auto"/>
              <w:rPr>
                <w:rFonts w:cs="Arial"/>
                <w:sz w:val="16"/>
                <w:szCs w:val="16"/>
                <w:lang w:val="es-ES" w:eastAsia="en-US"/>
              </w:rPr>
            </w:pPr>
            <w:r>
              <w:rPr>
                <w:rFonts w:cs="Arial"/>
                <w:sz w:val="16"/>
                <w:szCs w:val="16"/>
                <w:lang w:val="es-ES" w:eastAsia="en-US"/>
              </w:rPr>
              <w:t>3.5.1 Transporte por Carretera.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2CA626D" w14:textId="78D09708" w:rsidR="00A41077" w:rsidRDefault="00A41077" w:rsidP="00A41077">
            <w:pPr>
              <w:spacing w:line="256" w:lineRule="auto"/>
              <w:jc w:val="right"/>
              <w:rPr>
                <w:rFonts w:cs="Arial"/>
                <w:sz w:val="16"/>
                <w:szCs w:val="16"/>
                <w:lang w:val="es-ES" w:eastAsia="en-US"/>
              </w:rPr>
            </w:pPr>
            <w:r>
              <w:rPr>
                <w:rFonts w:cs="Arial"/>
                <w:color w:val="000000"/>
                <w:sz w:val="16"/>
                <w:szCs w:val="16"/>
              </w:rPr>
              <w:t>322,875,390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92ED26E" w14:textId="0B4A252C"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4B8FD7" w14:textId="03A84E18" w:rsidR="00A41077" w:rsidRDefault="00A41077" w:rsidP="00A41077">
            <w:pPr>
              <w:spacing w:line="256" w:lineRule="auto"/>
              <w:jc w:val="right"/>
              <w:rPr>
                <w:rFonts w:cs="Arial"/>
                <w:sz w:val="16"/>
                <w:szCs w:val="16"/>
                <w:lang w:val="es-ES" w:eastAsia="en-US"/>
              </w:rPr>
            </w:pPr>
            <w:r>
              <w:rPr>
                <w:rFonts w:cs="Arial"/>
                <w:color w:val="000000"/>
                <w:sz w:val="16"/>
                <w:szCs w:val="16"/>
              </w:rPr>
              <w:t>322,875,390</w:t>
            </w:r>
          </w:p>
        </w:tc>
      </w:tr>
      <w:tr w:rsidR="00A41077" w14:paraId="52495271"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548C431E" w14:textId="77777777" w:rsidR="00A41077" w:rsidRDefault="00A41077" w:rsidP="00A41077">
            <w:pPr>
              <w:spacing w:line="256" w:lineRule="auto"/>
              <w:rPr>
                <w:rFonts w:cs="Arial"/>
                <w:sz w:val="16"/>
                <w:szCs w:val="16"/>
                <w:lang w:val="es-ES" w:eastAsia="en-US"/>
              </w:rPr>
            </w:pPr>
            <w:r>
              <w:rPr>
                <w:rFonts w:cs="Arial"/>
                <w:sz w:val="16"/>
                <w:szCs w:val="16"/>
                <w:lang w:val="es-ES" w:eastAsia="en-US"/>
              </w:rPr>
              <w:t>3.5.2 Transporte por Agua y Puertos.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3F7C76B" w14:textId="2F9B5779"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3AA0E76" w14:textId="0659F360"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F9C6B7" w14:textId="28F1B1C0"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5FDEAD4E"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61EC8B78" w14:textId="77777777" w:rsidR="00A41077" w:rsidRDefault="00A41077" w:rsidP="00A41077">
            <w:pPr>
              <w:spacing w:line="256" w:lineRule="auto"/>
              <w:rPr>
                <w:rFonts w:cs="Arial"/>
                <w:sz w:val="16"/>
                <w:szCs w:val="16"/>
                <w:lang w:val="es-ES" w:eastAsia="en-US"/>
              </w:rPr>
            </w:pPr>
            <w:r>
              <w:rPr>
                <w:rFonts w:cs="Arial"/>
                <w:sz w:val="16"/>
                <w:szCs w:val="16"/>
                <w:lang w:val="es-ES" w:eastAsia="en-US"/>
              </w:rPr>
              <w:t>3.5.3 Transporte por Ferrocarril.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AAF734E" w14:textId="4ABD74FE"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7E742B7" w14:textId="26C1286A"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F735FC" w14:textId="142ACF7B"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33322EB9"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CAB8257" w14:textId="77777777" w:rsidR="00A41077" w:rsidRDefault="00A41077" w:rsidP="00A41077">
            <w:pPr>
              <w:spacing w:line="256" w:lineRule="auto"/>
              <w:rPr>
                <w:rFonts w:cs="Arial"/>
                <w:sz w:val="16"/>
                <w:szCs w:val="16"/>
                <w:lang w:val="es-ES" w:eastAsia="en-US"/>
              </w:rPr>
            </w:pPr>
            <w:r>
              <w:rPr>
                <w:rFonts w:cs="Arial"/>
                <w:sz w:val="16"/>
                <w:szCs w:val="16"/>
                <w:lang w:val="es-ES" w:eastAsia="en-US"/>
              </w:rPr>
              <w:t>3.5.4 Transporte Aéreo.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AB45138" w14:textId="746268A2"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29CB6DF" w14:textId="212692B7"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206792" w14:textId="5C0FB212"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55AB1944"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27372B27" w14:textId="77777777" w:rsidR="00A41077" w:rsidRDefault="00A41077" w:rsidP="00A41077">
            <w:pPr>
              <w:spacing w:line="256" w:lineRule="auto"/>
              <w:rPr>
                <w:rFonts w:cs="Arial"/>
                <w:sz w:val="16"/>
                <w:szCs w:val="16"/>
                <w:lang w:val="es-ES" w:eastAsia="en-US"/>
              </w:rPr>
            </w:pPr>
            <w:r>
              <w:rPr>
                <w:rFonts w:cs="Arial"/>
                <w:sz w:val="16"/>
                <w:szCs w:val="16"/>
                <w:lang w:val="es-ES" w:eastAsia="en-US"/>
              </w:rPr>
              <w:t>3.5.5 Transporte por Oleoductos y Gasoductos y Otros Sistemas de Transporte.</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A7F36A3" w14:textId="6EF4CE7D"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D5FB8EC" w14:textId="364ED614"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4607EE" w14:textId="4A3AAC02"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5C6C6DD8"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1FF51D72" w14:textId="77777777" w:rsidR="00A41077" w:rsidRDefault="00A41077" w:rsidP="00A41077">
            <w:pPr>
              <w:spacing w:line="256" w:lineRule="auto"/>
              <w:rPr>
                <w:rFonts w:cs="Arial"/>
                <w:sz w:val="16"/>
                <w:szCs w:val="16"/>
                <w:lang w:val="es-ES" w:eastAsia="en-US"/>
              </w:rPr>
            </w:pPr>
            <w:r>
              <w:rPr>
                <w:rFonts w:cs="Arial"/>
                <w:sz w:val="16"/>
                <w:szCs w:val="16"/>
                <w:lang w:val="es-ES" w:eastAsia="en-US"/>
              </w:rPr>
              <w:t>3.5.6 Otros Relacionados con Transporte.</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9776CCB" w14:textId="50CDF882"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5955B13" w14:textId="4F133621"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D3ABA4" w14:textId="22A1E83C"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5DB7E64F"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46BEEB4F"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3.6.  COMUNICACIONES.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556087F" w14:textId="7DFE8912"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090BEF5" w14:textId="509E447F"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FAC080" w14:textId="108D960A"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r>
      <w:tr w:rsidR="00A41077" w14:paraId="5CB88746"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30B4F9E" w14:textId="77777777" w:rsidR="00A41077" w:rsidRDefault="00A41077" w:rsidP="00A41077">
            <w:pPr>
              <w:spacing w:line="256" w:lineRule="auto"/>
              <w:rPr>
                <w:rFonts w:cs="Arial"/>
                <w:sz w:val="16"/>
                <w:szCs w:val="16"/>
                <w:lang w:val="es-ES" w:eastAsia="en-US"/>
              </w:rPr>
            </w:pPr>
            <w:r>
              <w:rPr>
                <w:rFonts w:cs="Arial"/>
                <w:sz w:val="16"/>
                <w:szCs w:val="16"/>
                <w:lang w:val="es-ES" w:eastAsia="en-US"/>
              </w:rPr>
              <w:t>3.6.1 Comunicaciones.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3FA6852" w14:textId="7E0D15D0"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880D873" w14:textId="51B50BAD"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FC7244" w14:textId="3DCEEF28"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5F0D444C"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2E2A69D6"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3.7.  TURISMO.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C2B15AE" w14:textId="5889345E" w:rsidR="00A41077" w:rsidRDefault="00A41077" w:rsidP="00A41077">
            <w:pPr>
              <w:spacing w:line="256" w:lineRule="auto"/>
              <w:jc w:val="right"/>
              <w:rPr>
                <w:rFonts w:cs="Arial"/>
                <w:b/>
                <w:sz w:val="16"/>
                <w:szCs w:val="16"/>
                <w:lang w:val="es-ES" w:eastAsia="en-US"/>
              </w:rPr>
            </w:pPr>
            <w:r>
              <w:rPr>
                <w:rFonts w:cs="Arial"/>
                <w:b/>
                <w:bCs/>
                <w:color w:val="000000"/>
                <w:sz w:val="16"/>
                <w:szCs w:val="16"/>
              </w:rPr>
              <w:t>52,661,166</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BEB6D03" w14:textId="11A9DF05"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C1B36D" w14:textId="19A22F4E" w:rsidR="00A41077" w:rsidRDefault="00A41077" w:rsidP="00A41077">
            <w:pPr>
              <w:spacing w:line="256" w:lineRule="auto"/>
              <w:jc w:val="right"/>
              <w:rPr>
                <w:rFonts w:cs="Arial"/>
                <w:b/>
                <w:sz w:val="16"/>
                <w:szCs w:val="16"/>
                <w:lang w:val="es-ES" w:eastAsia="en-US"/>
              </w:rPr>
            </w:pPr>
            <w:r>
              <w:rPr>
                <w:rFonts w:cs="Arial"/>
                <w:b/>
                <w:bCs/>
                <w:color w:val="000000"/>
                <w:sz w:val="16"/>
                <w:szCs w:val="16"/>
              </w:rPr>
              <w:t>52,661,166</w:t>
            </w:r>
          </w:p>
        </w:tc>
      </w:tr>
      <w:tr w:rsidR="00A41077" w14:paraId="5297F462"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1B020070" w14:textId="77777777" w:rsidR="00A41077" w:rsidRDefault="00A41077" w:rsidP="00A41077">
            <w:pPr>
              <w:spacing w:line="256" w:lineRule="auto"/>
              <w:rPr>
                <w:rFonts w:cs="Arial"/>
                <w:sz w:val="16"/>
                <w:szCs w:val="16"/>
                <w:lang w:val="es-ES" w:eastAsia="en-US"/>
              </w:rPr>
            </w:pPr>
            <w:r>
              <w:rPr>
                <w:rFonts w:cs="Arial"/>
                <w:sz w:val="16"/>
                <w:szCs w:val="16"/>
                <w:lang w:val="es-ES" w:eastAsia="en-US"/>
              </w:rPr>
              <w:t>3.7.1 Turismo.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6D78096" w14:textId="01FFE181" w:rsidR="00A41077" w:rsidRDefault="00A41077" w:rsidP="00A41077">
            <w:pPr>
              <w:spacing w:line="256" w:lineRule="auto"/>
              <w:jc w:val="right"/>
              <w:rPr>
                <w:rFonts w:cs="Arial"/>
                <w:sz w:val="16"/>
                <w:szCs w:val="16"/>
                <w:lang w:val="es-ES" w:eastAsia="en-US"/>
              </w:rPr>
            </w:pPr>
            <w:r>
              <w:rPr>
                <w:rFonts w:cs="Arial"/>
                <w:color w:val="000000"/>
                <w:sz w:val="16"/>
                <w:szCs w:val="16"/>
              </w:rPr>
              <w:t>52,661,166</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46CC14E" w14:textId="0EB845E4"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407366" w14:textId="03E07E74" w:rsidR="00A41077" w:rsidRDefault="00A41077" w:rsidP="00A41077">
            <w:pPr>
              <w:spacing w:line="256" w:lineRule="auto"/>
              <w:jc w:val="right"/>
              <w:rPr>
                <w:rFonts w:cs="Arial"/>
                <w:sz w:val="16"/>
                <w:szCs w:val="16"/>
                <w:lang w:val="es-ES" w:eastAsia="en-US"/>
              </w:rPr>
            </w:pPr>
            <w:r>
              <w:rPr>
                <w:rFonts w:cs="Arial"/>
                <w:color w:val="000000"/>
                <w:sz w:val="16"/>
                <w:szCs w:val="16"/>
              </w:rPr>
              <w:t>52,661,166</w:t>
            </w:r>
          </w:p>
        </w:tc>
      </w:tr>
      <w:tr w:rsidR="00A41077" w14:paraId="1A5640FD"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2A8735C2" w14:textId="77777777" w:rsidR="00A41077" w:rsidRDefault="00A41077" w:rsidP="00A41077">
            <w:pPr>
              <w:spacing w:line="256" w:lineRule="auto"/>
              <w:rPr>
                <w:rFonts w:cs="Arial"/>
                <w:sz w:val="16"/>
                <w:szCs w:val="16"/>
                <w:lang w:val="es-ES" w:eastAsia="en-US"/>
              </w:rPr>
            </w:pPr>
            <w:r>
              <w:rPr>
                <w:rFonts w:cs="Arial"/>
                <w:sz w:val="16"/>
                <w:szCs w:val="16"/>
                <w:lang w:val="es-ES" w:eastAsia="en-US"/>
              </w:rPr>
              <w:t>3.7.2 Hoteles y Restaurantes.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0262B5F" w14:textId="357EF953"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35A9175" w14:textId="35EAB40C"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8B2D50" w14:textId="0205916C"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1E9733AE"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A07E52D"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3.8.  CIENCIA, TECNOLOGÍA E INNOVACIÓN.</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BEFE330" w14:textId="1F3F2F10" w:rsidR="00A41077" w:rsidRDefault="00A41077" w:rsidP="00A41077">
            <w:pPr>
              <w:spacing w:line="256" w:lineRule="auto"/>
              <w:jc w:val="right"/>
              <w:rPr>
                <w:rFonts w:cs="Arial"/>
                <w:b/>
                <w:sz w:val="16"/>
                <w:szCs w:val="16"/>
                <w:lang w:val="es-ES" w:eastAsia="en-US"/>
              </w:rPr>
            </w:pPr>
            <w:r>
              <w:rPr>
                <w:rFonts w:cs="Arial"/>
                <w:b/>
                <w:bCs/>
                <w:color w:val="000000"/>
                <w:sz w:val="16"/>
                <w:szCs w:val="16"/>
              </w:rPr>
              <w:t>7,280,218</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CEB7B62" w14:textId="6D5C5BC2"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E93B5D" w14:textId="27FC36E9" w:rsidR="00A41077" w:rsidRDefault="00A41077" w:rsidP="00A41077">
            <w:pPr>
              <w:spacing w:line="256" w:lineRule="auto"/>
              <w:jc w:val="right"/>
              <w:rPr>
                <w:rFonts w:cs="Arial"/>
                <w:b/>
                <w:sz w:val="16"/>
                <w:szCs w:val="16"/>
                <w:lang w:val="es-ES" w:eastAsia="en-US"/>
              </w:rPr>
            </w:pPr>
            <w:r>
              <w:rPr>
                <w:rFonts w:cs="Arial"/>
                <w:b/>
                <w:bCs/>
                <w:color w:val="000000"/>
                <w:sz w:val="16"/>
                <w:szCs w:val="16"/>
              </w:rPr>
              <w:t>7,280,218</w:t>
            </w:r>
          </w:p>
        </w:tc>
      </w:tr>
      <w:tr w:rsidR="00A41077" w14:paraId="2F59610C"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29A66C56" w14:textId="77777777" w:rsidR="00A41077" w:rsidRDefault="00A41077" w:rsidP="00A41077">
            <w:pPr>
              <w:spacing w:line="256" w:lineRule="auto"/>
              <w:rPr>
                <w:rFonts w:cs="Arial"/>
                <w:sz w:val="16"/>
                <w:szCs w:val="16"/>
                <w:lang w:val="es-ES" w:eastAsia="en-US"/>
              </w:rPr>
            </w:pPr>
            <w:r>
              <w:rPr>
                <w:rFonts w:cs="Arial"/>
                <w:sz w:val="16"/>
                <w:szCs w:val="16"/>
                <w:lang w:val="es-ES" w:eastAsia="en-US"/>
              </w:rPr>
              <w:t>3.8.1 Investigación Científica.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7096D5B6" w14:textId="73007D0A"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591A957" w14:textId="7E2A6BC3"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1A631F" w14:textId="73BDA904"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4D55F25D"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12ECD976" w14:textId="77777777" w:rsidR="00A41077" w:rsidRDefault="00A41077" w:rsidP="00A41077">
            <w:pPr>
              <w:spacing w:line="256" w:lineRule="auto"/>
              <w:rPr>
                <w:rFonts w:cs="Arial"/>
                <w:sz w:val="16"/>
                <w:szCs w:val="16"/>
                <w:lang w:val="es-ES" w:eastAsia="en-US"/>
              </w:rPr>
            </w:pPr>
            <w:r>
              <w:rPr>
                <w:rFonts w:cs="Arial"/>
                <w:sz w:val="16"/>
                <w:szCs w:val="16"/>
                <w:lang w:val="es-ES" w:eastAsia="en-US"/>
              </w:rPr>
              <w:t>3.8.2 Desarrollo Tecnológico.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35F3E03" w14:textId="6E170066" w:rsidR="00A41077" w:rsidRDefault="00A41077" w:rsidP="00A41077">
            <w:pPr>
              <w:spacing w:line="256" w:lineRule="auto"/>
              <w:jc w:val="right"/>
              <w:rPr>
                <w:rFonts w:cs="Arial"/>
                <w:sz w:val="16"/>
                <w:szCs w:val="16"/>
                <w:lang w:val="es-ES" w:eastAsia="en-US"/>
              </w:rPr>
            </w:pPr>
            <w:r>
              <w:rPr>
                <w:rFonts w:cs="Arial"/>
                <w:color w:val="000000"/>
                <w:sz w:val="16"/>
                <w:szCs w:val="16"/>
              </w:rPr>
              <w:t>7,280,218</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7DAD122" w14:textId="0DD88DA0"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95C93D" w14:textId="5E88EDFB" w:rsidR="00A41077" w:rsidRDefault="00A41077" w:rsidP="00A41077">
            <w:pPr>
              <w:spacing w:line="256" w:lineRule="auto"/>
              <w:jc w:val="right"/>
              <w:rPr>
                <w:rFonts w:cs="Arial"/>
                <w:sz w:val="16"/>
                <w:szCs w:val="16"/>
                <w:lang w:val="es-ES" w:eastAsia="en-US"/>
              </w:rPr>
            </w:pPr>
            <w:r>
              <w:rPr>
                <w:rFonts w:cs="Arial"/>
                <w:color w:val="000000"/>
                <w:sz w:val="16"/>
                <w:szCs w:val="16"/>
              </w:rPr>
              <w:t>7,280,218</w:t>
            </w:r>
          </w:p>
        </w:tc>
      </w:tr>
      <w:tr w:rsidR="00A41077" w14:paraId="4FC920AA"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53FC561" w14:textId="77777777" w:rsidR="00A41077" w:rsidRDefault="00A41077" w:rsidP="00A41077">
            <w:pPr>
              <w:spacing w:line="256" w:lineRule="auto"/>
              <w:rPr>
                <w:rFonts w:cs="Arial"/>
                <w:sz w:val="16"/>
                <w:szCs w:val="16"/>
                <w:lang w:val="es-ES" w:eastAsia="en-US"/>
              </w:rPr>
            </w:pPr>
            <w:r>
              <w:rPr>
                <w:rFonts w:cs="Arial"/>
                <w:sz w:val="16"/>
                <w:szCs w:val="16"/>
                <w:lang w:val="es-ES" w:eastAsia="en-US"/>
              </w:rPr>
              <w:t>3.8.3 Servicios Científicos y Tecnológicos.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A841426" w14:textId="21B8379D"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805BDAA" w14:textId="606D9759"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49DDA6" w14:textId="207F2EAA"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54ECDAC4"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71F7013B" w14:textId="77777777" w:rsidR="00A41077" w:rsidRDefault="00A41077" w:rsidP="00A41077">
            <w:pPr>
              <w:spacing w:line="256" w:lineRule="auto"/>
              <w:rPr>
                <w:rFonts w:cs="Arial"/>
                <w:sz w:val="16"/>
                <w:szCs w:val="16"/>
                <w:lang w:val="es-ES" w:eastAsia="en-US"/>
              </w:rPr>
            </w:pPr>
            <w:r>
              <w:rPr>
                <w:rFonts w:cs="Arial"/>
                <w:sz w:val="16"/>
                <w:szCs w:val="16"/>
                <w:lang w:val="es-ES" w:eastAsia="en-US"/>
              </w:rPr>
              <w:t>3.8.4 Innovación.</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BF72EB8" w14:textId="5FBACC37"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4C80D1A" w14:textId="5A9124EF"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AB8A7E" w14:textId="5496718F"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2DF23CA6"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1D9166A0"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3.9.  OTRAS INDUSTRIAS Y OTROS ASUNTOS ECONÓMICOS.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E1ABE4C" w14:textId="584174B7" w:rsidR="00A41077" w:rsidRDefault="00A41077" w:rsidP="00A41077">
            <w:pPr>
              <w:spacing w:line="256" w:lineRule="auto"/>
              <w:jc w:val="right"/>
              <w:rPr>
                <w:rFonts w:cs="Arial"/>
                <w:b/>
                <w:sz w:val="16"/>
                <w:szCs w:val="16"/>
                <w:lang w:val="es-ES" w:eastAsia="en-US"/>
              </w:rPr>
            </w:pPr>
            <w:r>
              <w:rPr>
                <w:rFonts w:cs="Arial"/>
                <w:b/>
                <w:bCs/>
                <w:color w:val="000000"/>
                <w:sz w:val="16"/>
                <w:szCs w:val="16"/>
              </w:rPr>
              <w:t>35,993,082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3034FF7" w14:textId="21510D7C"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1F6F01" w14:textId="4D309A6D" w:rsidR="00A41077" w:rsidRDefault="00A41077" w:rsidP="00A41077">
            <w:pPr>
              <w:spacing w:line="256" w:lineRule="auto"/>
              <w:jc w:val="right"/>
              <w:rPr>
                <w:rFonts w:cs="Arial"/>
                <w:b/>
                <w:sz w:val="16"/>
                <w:szCs w:val="16"/>
                <w:lang w:val="es-ES" w:eastAsia="en-US"/>
              </w:rPr>
            </w:pPr>
            <w:r>
              <w:rPr>
                <w:rFonts w:cs="Arial"/>
                <w:b/>
                <w:bCs/>
                <w:color w:val="000000"/>
                <w:sz w:val="16"/>
                <w:szCs w:val="16"/>
              </w:rPr>
              <w:t>35,993,082</w:t>
            </w:r>
          </w:p>
        </w:tc>
      </w:tr>
      <w:tr w:rsidR="00A41077" w14:paraId="0007637D"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410D8A7E" w14:textId="77777777" w:rsidR="00A41077" w:rsidRDefault="00A41077" w:rsidP="00A41077">
            <w:pPr>
              <w:spacing w:line="256" w:lineRule="auto"/>
              <w:rPr>
                <w:rFonts w:cs="Arial"/>
                <w:sz w:val="16"/>
                <w:szCs w:val="16"/>
                <w:lang w:val="es-ES" w:eastAsia="en-US"/>
              </w:rPr>
            </w:pPr>
            <w:r>
              <w:rPr>
                <w:rFonts w:cs="Arial"/>
                <w:sz w:val="16"/>
                <w:szCs w:val="16"/>
                <w:lang w:val="es-ES" w:eastAsia="en-US"/>
              </w:rPr>
              <w:t>3.9.1 Comercio, Distribución, Almacenamiento y Depósito.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F86CF1D" w14:textId="2FDC9136"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1C46AB2" w14:textId="23B2CE9B"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3DFC5D" w14:textId="0B0D4319"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51C03BCB"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368074DF" w14:textId="77777777" w:rsidR="00A41077" w:rsidRDefault="00A41077" w:rsidP="00A41077">
            <w:pPr>
              <w:spacing w:line="256" w:lineRule="auto"/>
              <w:rPr>
                <w:rFonts w:cs="Arial"/>
                <w:sz w:val="16"/>
                <w:szCs w:val="16"/>
                <w:lang w:val="es-ES" w:eastAsia="en-US"/>
              </w:rPr>
            </w:pPr>
            <w:r>
              <w:rPr>
                <w:rFonts w:cs="Arial"/>
                <w:sz w:val="16"/>
                <w:szCs w:val="16"/>
                <w:lang w:val="es-ES" w:eastAsia="en-US"/>
              </w:rPr>
              <w:t>3.9.2 Otras Industrias.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79106D45" w14:textId="5389BFE8"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63CEAE1" w14:textId="5ABEC89C"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0B621F" w14:textId="295B6D22"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39414BC2"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56C2B03D" w14:textId="77777777" w:rsidR="00A41077" w:rsidRDefault="00A41077" w:rsidP="00A41077">
            <w:pPr>
              <w:spacing w:line="256" w:lineRule="auto"/>
              <w:rPr>
                <w:rFonts w:cs="Arial"/>
                <w:sz w:val="16"/>
                <w:szCs w:val="16"/>
                <w:lang w:val="es-ES" w:eastAsia="en-US"/>
              </w:rPr>
            </w:pPr>
            <w:r>
              <w:rPr>
                <w:rFonts w:cs="Arial"/>
                <w:sz w:val="16"/>
                <w:szCs w:val="16"/>
                <w:lang w:val="es-ES" w:eastAsia="en-US"/>
              </w:rPr>
              <w:t>3.9.3 Otros Asuntos Económicos.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5EFF7AB" w14:textId="6517505C" w:rsidR="00A41077" w:rsidRDefault="00A41077" w:rsidP="00A41077">
            <w:pPr>
              <w:spacing w:line="256" w:lineRule="auto"/>
              <w:jc w:val="right"/>
              <w:rPr>
                <w:rFonts w:cs="Arial"/>
                <w:sz w:val="16"/>
                <w:szCs w:val="16"/>
                <w:lang w:val="es-ES" w:eastAsia="en-US"/>
              </w:rPr>
            </w:pPr>
            <w:r>
              <w:rPr>
                <w:rFonts w:cs="Arial"/>
                <w:color w:val="000000"/>
                <w:sz w:val="16"/>
                <w:szCs w:val="16"/>
              </w:rPr>
              <w:t>35,993,082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1FD16FD" w14:textId="30701F31"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67C6C5" w14:textId="5C42DC13" w:rsidR="00A41077" w:rsidRDefault="00A41077" w:rsidP="00A41077">
            <w:pPr>
              <w:spacing w:line="256" w:lineRule="auto"/>
              <w:jc w:val="right"/>
              <w:rPr>
                <w:rFonts w:cs="Arial"/>
                <w:sz w:val="16"/>
                <w:szCs w:val="16"/>
                <w:lang w:val="es-ES" w:eastAsia="en-US"/>
              </w:rPr>
            </w:pPr>
            <w:r>
              <w:rPr>
                <w:rFonts w:cs="Arial"/>
                <w:color w:val="000000"/>
                <w:sz w:val="16"/>
                <w:szCs w:val="16"/>
              </w:rPr>
              <w:t>35,993,082</w:t>
            </w:r>
          </w:p>
        </w:tc>
      </w:tr>
      <w:tr w:rsidR="00A41077" w14:paraId="1F8F3E59"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1904234D"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4. OTRAS NO CLASIFICADAS EN FUNCIONES ANTERIORES.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ECB01EF" w14:textId="3661831E" w:rsidR="00A41077" w:rsidRDefault="00A41077" w:rsidP="00A41077">
            <w:pPr>
              <w:spacing w:line="256" w:lineRule="auto"/>
              <w:jc w:val="right"/>
              <w:rPr>
                <w:rFonts w:cs="Arial"/>
                <w:b/>
                <w:sz w:val="16"/>
                <w:szCs w:val="16"/>
                <w:lang w:val="es-ES" w:eastAsia="en-US"/>
              </w:rPr>
            </w:pPr>
            <w:r>
              <w:rPr>
                <w:rFonts w:cs="Arial"/>
                <w:b/>
                <w:bCs/>
                <w:color w:val="000000"/>
                <w:sz w:val="16"/>
                <w:szCs w:val="16"/>
              </w:rPr>
              <w:t>366,858,099</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D161A2B" w14:textId="6F20AA99" w:rsidR="00A41077" w:rsidRDefault="00A41077" w:rsidP="00A41077">
            <w:pPr>
              <w:spacing w:line="256" w:lineRule="auto"/>
              <w:jc w:val="right"/>
              <w:rPr>
                <w:rFonts w:cs="Arial"/>
                <w:b/>
                <w:sz w:val="16"/>
                <w:szCs w:val="16"/>
                <w:lang w:val="es-ES" w:eastAsia="en-US"/>
              </w:rPr>
            </w:pPr>
            <w:r>
              <w:rPr>
                <w:rFonts w:cs="Arial"/>
                <w:b/>
                <w:bCs/>
                <w:color w:val="000000"/>
                <w:sz w:val="16"/>
                <w:szCs w:val="16"/>
              </w:rPr>
              <w:t>3,893,344,494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F6D67D" w14:textId="0084E415" w:rsidR="00A41077" w:rsidRDefault="00A41077" w:rsidP="00A41077">
            <w:pPr>
              <w:spacing w:line="256" w:lineRule="auto"/>
              <w:jc w:val="right"/>
              <w:rPr>
                <w:rFonts w:cs="Arial"/>
                <w:b/>
                <w:sz w:val="16"/>
                <w:szCs w:val="16"/>
                <w:lang w:val="es-ES" w:eastAsia="en-US"/>
              </w:rPr>
            </w:pPr>
            <w:r>
              <w:rPr>
                <w:rFonts w:cs="Arial"/>
                <w:b/>
                <w:bCs/>
                <w:color w:val="000000"/>
                <w:sz w:val="16"/>
                <w:szCs w:val="16"/>
              </w:rPr>
              <w:t>4,260,202,593</w:t>
            </w:r>
          </w:p>
        </w:tc>
      </w:tr>
      <w:tr w:rsidR="00A41077" w14:paraId="443C1C5C"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55579401"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lastRenderedPageBreak/>
              <w:t>4.1. TRANSACCIONES DE LA DEUDA PÚBLICA / COSTO FINANCIERO DE LA DEUDA.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BD5C2A2" w14:textId="6C7CC1EB" w:rsidR="00A41077" w:rsidRDefault="00A41077" w:rsidP="00A41077">
            <w:pPr>
              <w:spacing w:line="256" w:lineRule="auto"/>
              <w:jc w:val="right"/>
              <w:rPr>
                <w:rFonts w:cs="Arial"/>
                <w:b/>
                <w:sz w:val="16"/>
                <w:szCs w:val="16"/>
                <w:lang w:val="es-ES" w:eastAsia="en-US"/>
              </w:rPr>
            </w:pPr>
            <w:r>
              <w:rPr>
                <w:rFonts w:cs="Arial"/>
                <w:b/>
                <w:bCs/>
                <w:color w:val="000000"/>
                <w:sz w:val="16"/>
                <w:szCs w:val="16"/>
              </w:rPr>
              <w:t>366,858,099</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2987347" w14:textId="66B3938C" w:rsidR="00A41077" w:rsidRDefault="00A41077" w:rsidP="00A41077">
            <w:pPr>
              <w:spacing w:line="256" w:lineRule="auto"/>
              <w:jc w:val="right"/>
              <w:rPr>
                <w:rFonts w:cs="Arial"/>
                <w:b/>
                <w:sz w:val="16"/>
                <w:szCs w:val="16"/>
                <w:lang w:val="es-ES" w:eastAsia="en-US"/>
              </w:rPr>
            </w:pPr>
            <w:r>
              <w:rPr>
                <w:rFonts w:cs="Arial"/>
                <w:b/>
                <w:bCs/>
                <w:color w:val="000000"/>
                <w:sz w:val="16"/>
                <w:szCs w:val="16"/>
              </w:rPr>
              <w:t>401,566,953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8B4DFF" w14:textId="6012EC53" w:rsidR="00A41077" w:rsidRDefault="00A41077" w:rsidP="00A41077">
            <w:pPr>
              <w:spacing w:line="256" w:lineRule="auto"/>
              <w:jc w:val="right"/>
              <w:rPr>
                <w:rFonts w:cs="Arial"/>
                <w:b/>
                <w:sz w:val="16"/>
                <w:szCs w:val="16"/>
                <w:lang w:val="es-ES" w:eastAsia="en-US"/>
              </w:rPr>
            </w:pPr>
            <w:r>
              <w:rPr>
                <w:rFonts w:cs="Arial"/>
                <w:b/>
                <w:bCs/>
                <w:color w:val="000000"/>
                <w:sz w:val="16"/>
                <w:szCs w:val="16"/>
              </w:rPr>
              <w:t>768,425,052</w:t>
            </w:r>
          </w:p>
        </w:tc>
      </w:tr>
      <w:tr w:rsidR="00A41077" w14:paraId="4F7C2F5F"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5118BE67" w14:textId="77777777" w:rsidR="00A41077" w:rsidRDefault="00A41077" w:rsidP="00A41077">
            <w:pPr>
              <w:spacing w:line="256" w:lineRule="auto"/>
              <w:rPr>
                <w:rFonts w:cs="Arial"/>
                <w:sz w:val="16"/>
                <w:szCs w:val="16"/>
                <w:lang w:val="es-ES" w:eastAsia="en-US"/>
              </w:rPr>
            </w:pPr>
            <w:r>
              <w:rPr>
                <w:rFonts w:cs="Arial"/>
                <w:sz w:val="16"/>
                <w:szCs w:val="16"/>
                <w:lang w:val="es-ES" w:eastAsia="en-US"/>
              </w:rPr>
              <w:t>4.1.1 Deuda Pública Interna.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D4D4C1C" w14:textId="344919A8" w:rsidR="00A41077" w:rsidRDefault="00A41077" w:rsidP="00A41077">
            <w:pPr>
              <w:spacing w:line="256" w:lineRule="auto"/>
              <w:jc w:val="right"/>
              <w:rPr>
                <w:rFonts w:cs="Arial"/>
                <w:sz w:val="16"/>
                <w:szCs w:val="16"/>
                <w:lang w:val="es-ES" w:eastAsia="en-US"/>
              </w:rPr>
            </w:pPr>
            <w:r>
              <w:rPr>
                <w:rFonts w:cs="Arial"/>
                <w:color w:val="000000"/>
                <w:sz w:val="16"/>
                <w:szCs w:val="16"/>
              </w:rPr>
              <w:t>366,858,099</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96DAE14" w14:textId="45499363" w:rsidR="00A41077" w:rsidRDefault="00A41077" w:rsidP="00A41077">
            <w:pPr>
              <w:spacing w:line="256" w:lineRule="auto"/>
              <w:jc w:val="right"/>
              <w:rPr>
                <w:rFonts w:cs="Arial"/>
                <w:sz w:val="16"/>
                <w:szCs w:val="16"/>
                <w:lang w:val="es-ES" w:eastAsia="en-US"/>
              </w:rPr>
            </w:pPr>
            <w:r>
              <w:rPr>
                <w:rFonts w:cs="Arial"/>
                <w:color w:val="000000"/>
                <w:sz w:val="16"/>
                <w:szCs w:val="16"/>
              </w:rPr>
              <w:t>401,566,953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BC2249" w14:textId="7551B093" w:rsidR="00A41077" w:rsidRDefault="00A41077" w:rsidP="00A41077">
            <w:pPr>
              <w:spacing w:line="256" w:lineRule="auto"/>
              <w:jc w:val="right"/>
              <w:rPr>
                <w:rFonts w:cs="Arial"/>
                <w:sz w:val="16"/>
                <w:szCs w:val="16"/>
                <w:lang w:val="es-ES" w:eastAsia="en-US"/>
              </w:rPr>
            </w:pPr>
            <w:r>
              <w:rPr>
                <w:rFonts w:cs="Arial"/>
                <w:color w:val="000000"/>
                <w:sz w:val="16"/>
                <w:szCs w:val="16"/>
              </w:rPr>
              <w:t>768,425,052</w:t>
            </w:r>
          </w:p>
        </w:tc>
      </w:tr>
      <w:tr w:rsidR="00A41077" w14:paraId="433D996C"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6A323C15" w14:textId="77777777" w:rsidR="00A41077" w:rsidRDefault="00A41077" w:rsidP="00A41077">
            <w:pPr>
              <w:spacing w:line="256" w:lineRule="auto"/>
              <w:rPr>
                <w:rFonts w:cs="Arial"/>
                <w:sz w:val="16"/>
                <w:szCs w:val="16"/>
                <w:lang w:val="es-ES" w:eastAsia="en-US"/>
              </w:rPr>
            </w:pPr>
            <w:r>
              <w:rPr>
                <w:rFonts w:cs="Arial"/>
                <w:sz w:val="16"/>
                <w:szCs w:val="16"/>
                <w:lang w:val="es-ES" w:eastAsia="en-US"/>
              </w:rPr>
              <w:t>4.1.2 Deuda Pública Externa.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437D30A" w14:textId="644B9A74"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CA7DF35" w14:textId="699E951A"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2AAD0D" w14:textId="1B69A6E8"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2A2DA48D"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2D33ABF0"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4.2.  TRANSFERENCIAS, PARTICIPACIONES Y APORTACIONES ENTRE DIFERENTES NIVELES Y ÓRDENES DE GOBIERNO.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257D8A6" w14:textId="686DBFCF"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F1F3690" w14:textId="03CA59DA" w:rsidR="00A41077" w:rsidRDefault="00A41077" w:rsidP="00A41077">
            <w:pPr>
              <w:spacing w:line="256" w:lineRule="auto"/>
              <w:jc w:val="right"/>
              <w:rPr>
                <w:rFonts w:cs="Arial"/>
                <w:b/>
                <w:sz w:val="16"/>
                <w:szCs w:val="16"/>
                <w:lang w:val="es-ES" w:eastAsia="en-US"/>
              </w:rPr>
            </w:pPr>
            <w:r>
              <w:rPr>
                <w:rFonts w:cs="Arial"/>
                <w:b/>
                <w:bCs/>
                <w:color w:val="000000"/>
                <w:sz w:val="16"/>
                <w:szCs w:val="16"/>
              </w:rPr>
              <w:t>3,334,416,398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7D1F7C" w14:textId="7836A12A" w:rsidR="00A41077" w:rsidRDefault="00A41077" w:rsidP="00A41077">
            <w:pPr>
              <w:spacing w:line="256" w:lineRule="auto"/>
              <w:jc w:val="right"/>
              <w:rPr>
                <w:rFonts w:cs="Arial"/>
                <w:b/>
                <w:sz w:val="16"/>
                <w:szCs w:val="16"/>
                <w:lang w:val="es-ES" w:eastAsia="en-US"/>
              </w:rPr>
            </w:pPr>
            <w:r>
              <w:rPr>
                <w:rFonts w:cs="Arial"/>
                <w:b/>
                <w:bCs/>
                <w:color w:val="000000"/>
                <w:sz w:val="16"/>
                <w:szCs w:val="16"/>
              </w:rPr>
              <w:t>3,334,416,398</w:t>
            </w:r>
          </w:p>
        </w:tc>
      </w:tr>
      <w:tr w:rsidR="00A41077" w14:paraId="2C7BD2D0"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340E7A28" w14:textId="77777777" w:rsidR="00A41077" w:rsidRDefault="00A41077" w:rsidP="00A41077">
            <w:pPr>
              <w:spacing w:line="256" w:lineRule="auto"/>
              <w:rPr>
                <w:rFonts w:cs="Arial"/>
                <w:sz w:val="16"/>
                <w:szCs w:val="16"/>
                <w:lang w:val="es-ES" w:eastAsia="en-US"/>
              </w:rPr>
            </w:pPr>
            <w:r>
              <w:rPr>
                <w:rFonts w:cs="Arial"/>
                <w:sz w:val="16"/>
                <w:szCs w:val="16"/>
                <w:lang w:val="es-ES" w:eastAsia="en-US"/>
              </w:rPr>
              <w:t>4.2.1 Transferencias entre Diferentes Niveles y Órdenes de Gobierno.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A712E91" w14:textId="2665B8C9"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31448F1" w14:textId="5C5BB2A0"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3F1E57" w14:textId="75610679"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2B4FD6DA"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25533BEC" w14:textId="77777777" w:rsidR="00A41077" w:rsidRDefault="00A41077" w:rsidP="00A41077">
            <w:pPr>
              <w:spacing w:line="256" w:lineRule="auto"/>
              <w:rPr>
                <w:rFonts w:cs="Arial"/>
                <w:sz w:val="16"/>
                <w:szCs w:val="16"/>
                <w:lang w:val="es-ES" w:eastAsia="en-US"/>
              </w:rPr>
            </w:pPr>
            <w:r>
              <w:rPr>
                <w:rFonts w:cs="Arial"/>
                <w:sz w:val="16"/>
                <w:szCs w:val="16"/>
                <w:lang w:val="es-ES" w:eastAsia="en-US"/>
              </w:rPr>
              <w:t>4.2.2 Participaciones entre Diferentes Niveles y Órdenes de Gobierno.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52E95B8" w14:textId="59B39F16"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732642C" w14:textId="01072426" w:rsidR="00A41077" w:rsidRDefault="00A41077" w:rsidP="00A41077">
            <w:pPr>
              <w:spacing w:line="256" w:lineRule="auto"/>
              <w:jc w:val="right"/>
              <w:rPr>
                <w:rFonts w:cs="Arial"/>
                <w:sz w:val="16"/>
                <w:szCs w:val="16"/>
                <w:lang w:val="es-ES" w:eastAsia="en-US"/>
              </w:rPr>
            </w:pPr>
            <w:r>
              <w:rPr>
                <w:rFonts w:cs="Arial"/>
                <w:color w:val="000000"/>
                <w:sz w:val="16"/>
                <w:szCs w:val="16"/>
              </w:rPr>
              <w:t>2,169,346,883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39CBE5" w14:textId="1D4F612F" w:rsidR="00A41077" w:rsidRDefault="00A41077" w:rsidP="00A41077">
            <w:pPr>
              <w:spacing w:line="256" w:lineRule="auto"/>
              <w:jc w:val="right"/>
              <w:rPr>
                <w:rFonts w:cs="Arial"/>
                <w:sz w:val="16"/>
                <w:szCs w:val="16"/>
                <w:lang w:val="es-ES" w:eastAsia="en-US"/>
              </w:rPr>
            </w:pPr>
            <w:r>
              <w:rPr>
                <w:rFonts w:cs="Arial"/>
                <w:color w:val="000000"/>
                <w:sz w:val="16"/>
                <w:szCs w:val="16"/>
              </w:rPr>
              <w:t>2,169,346,883</w:t>
            </w:r>
          </w:p>
        </w:tc>
      </w:tr>
      <w:tr w:rsidR="00A41077" w14:paraId="5962965C"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30F227B0" w14:textId="77777777" w:rsidR="00A41077" w:rsidRDefault="00A41077" w:rsidP="00A41077">
            <w:pPr>
              <w:spacing w:line="256" w:lineRule="auto"/>
              <w:rPr>
                <w:rFonts w:cs="Arial"/>
                <w:sz w:val="16"/>
                <w:szCs w:val="16"/>
                <w:lang w:val="es-ES" w:eastAsia="en-US"/>
              </w:rPr>
            </w:pPr>
            <w:r>
              <w:rPr>
                <w:rFonts w:cs="Arial"/>
                <w:sz w:val="16"/>
                <w:szCs w:val="16"/>
                <w:lang w:val="es-ES" w:eastAsia="en-US"/>
              </w:rPr>
              <w:t>4.2.3 Aportaciones entre Diferentes Niveles y Órdenes de Gobierno.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4E95125" w14:textId="5E1CFEB0"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5DAD9DA" w14:textId="1C3ED36E" w:rsidR="00A41077" w:rsidRDefault="00A41077" w:rsidP="00A41077">
            <w:pPr>
              <w:spacing w:line="256" w:lineRule="auto"/>
              <w:jc w:val="right"/>
              <w:rPr>
                <w:rFonts w:cs="Arial"/>
                <w:sz w:val="16"/>
                <w:szCs w:val="16"/>
                <w:lang w:val="es-ES" w:eastAsia="en-US"/>
              </w:rPr>
            </w:pPr>
            <w:r>
              <w:rPr>
                <w:rFonts w:cs="Arial"/>
                <w:color w:val="000000"/>
                <w:sz w:val="16"/>
                <w:szCs w:val="16"/>
              </w:rPr>
              <w:t>1,165,069,515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E438C5" w14:textId="4827FD33" w:rsidR="00A41077" w:rsidRDefault="00A41077" w:rsidP="00A41077">
            <w:pPr>
              <w:spacing w:line="256" w:lineRule="auto"/>
              <w:jc w:val="right"/>
              <w:rPr>
                <w:rFonts w:cs="Arial"/>
                <w:sz w:val="16"/>
                <w:szCs w:val="16"/>
                <w:lang w:val="es-ES" w:eastAsia="en-US"/>
              </w:rPr>
            </w:pPr>
            <w:r>
              <w:rPr>
                <w:rFonts w:cs="Arial"/>
                <w:color w:val="000000"/>
                <w:sz w:val="16"/>
                <w:szCs w:val="16"/>
              </w:rPr>
              <w:t>1,165,069,515</w:t>
            </w:r>
          </w:p>
        </w:tc>
      </w:tr>
      <w:tr w:rsidR="00A41077" w14:paraId="74F6DE8B"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362F3B7D"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4.3.  SANEAMIENTO DEL SISTEMA FINANCIERO.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D09EBBF" w14:textId="6EE7B65E"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0A5E737" w14:textId="64CC9D1E"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A3E0E0" w14:textId="5EA59856"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r>
      <w:tr w:rsidR="00A41077" w14:paraId="7083E8C8"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3DC46D49" w14:textId="77777777" w:rsidR="00A41077" w:rsidRDefault="00A41077" w:rsidP="00A41077">
            <w:pPr>
              <w:spacing w:line="256" w:lineRule="auto"/>
              <w:rPr>
                <w:rFonts w:cs="Arial"/>
                <w:sz w:val="16"/>
                <w:szCs w:val="16"/>
                <w:lang w:val="es-ES" w:eastAsia="en-US"/>
              </w:rPr>
            </w:pPr>
            <w:r>
              <w:rPr>
                <w:rFonts w:cs="Arial"/>
                <w:sz w:val="16"/>
                <w:szCs w:val="16"/>
                <w:lang w:val="es-ES" w:eastAsia="en-US"/>
              </w:rPr>
              <w:t>4.3.1 Saneamiento del Sistema Financiero.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3A16DD9" w14:textId="3E551C92"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2FFFFFD" w14:textId="46381652"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0C64CD" w14:textId="20CEA589"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1775DD2F"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0F863878" w14:textId="77777777" w:rsidR="00A41077" w:rsidRDefault="00A41077" w:rsidP="00A41077">
            <w:pPr>
              <w:spacing w:line="256" w:lineRule="auto"/>
              <w:rPr>
                <w:rFonts w:cs="Arial"/>
                <w:sz w:val="16"/>
                <w:szCs w:val="16"/>
                <w:lang w:val="es-ES" w:eastAsia="en-US"/>
              </w:rPr>
            </w:pPr>
            <w:r>
              <w:rPr>
                <w:rFonts w:cs="Arial"/>
                <w:sz w:val="16"/>
                <w:szCs w:val="16"/>
                <w:lang w:val="es-ES" w:eastAsia="en-US"/>
              </w:rPr>
              <w:t>4.3.2 Apoyos IPAB.</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B311828" w14:textId="55485889"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57871BA" w14:textId="73C56C71"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AFB314" w14:textId="1F2305E6"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4BD610A6"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1FB32287" w14:textId="77777777" w:rsidR="00A41077" w:rsidRDefault="00A41077" w:rsidP="00A41077">
            <w:pPr>
              <w:spacing w:line="256" w:lineRule="auto"/>
              <w:rPr>
                <w:rFonts w:cs="Arial"/>
                <w:sz w:val="16"/>
                <w:szCs w:val="16"/>
                <w:lang w:val="es-ES" w:eastAsia="en-US"/>
              </w:rPr>
            </w:pPr>
            <w:r>
              <w:rPr>
                <w:rFonts w:cs="Arial"/>
                <w:sz w:val="16"/>
                <w:szCs w:val="16"/>
                <w:lang w:val="es-ES" w:eastAsia="en-US"/>
              </w:rPr>
              <w:t>4.3.3 Banca de Desarrollo.</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6404F57" w14:textId="07EA20BB"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C307C38" w14:textId="763552C7"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1A5259" w14:textId="2E58DBDF"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3231B190"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6E4994DB" w14:textId="77777777" w:rsidR="00A41077" w:rsidRDefault="00A41077" w:rsidP="00A41077">
            <w:pPr>
              <w:spacing w:line="256" w:lineRule="auto"/>
              <w:rPr>
                <w:rFonts w:cs="Arial"/>
                <w:sz w:val="16"/>
                <w:szCs w:val="16"/>
                <w:lang w:val="es-ES" w:eastAsia="en-US"/>
              </w:rPr>
            </w:pPr>
            <w:r>
              <w:rPr>
                <w:rFonts w:cs="Arial"/>
                <w:sz w:val="16"/>
                <w:szCs w:val="16"/>
                <w:lang w:val="es-ES" w:eastAsia="en-US"/>
              </w:rPr>
              <w:t>4.3.4 Apoyo a los Programas de Reestructura en Unidades de Inversión (UDIS).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7E08C9F" w14:textId="3845895F"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C7F7B5E" w14:textId="35C1D40E"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AC8330" w14:textId="23B362F6" w:rsidR="00A41077" w:rsidRDefault="00A41077" w:rsidP="00A41077">
            <w:pPr>
              <w:spacing w:line="256" w:lineRule="auto"/>
              <w:jc w:val="right"/>
              <w:rPr>
                <w:rFonts w:cs="Arial"/>
                <w:sz w:val="16"/>
                <w:szCs w:val="16"/>
                <w:lang w:val="es-ES" w:eastAsia="en-US"/>
              </w:rPr>
            </w:pPr>
            <w:r>
              <w:rPr>
                <w:rFonts w:cs="Arial"/>
                <w:color w:val="000000"/>
                <w:sz w:val="16"/>
                <w:szCs w:val="16"/>
              </w:rPr>
              <w:t>0</w:t>
            </w:r>
          </w:p>
        </w:tc>
      </w:tr>
      <w:tr w:rsidR="00A41077" w14:paraId="4D3AA5A6"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3775B515" w14:textId="77777777" w:rsidR="00A41077" w:rsidRDefault="00A41077" w:rsidP="00A41077">
            <w:pPr>
              <w:spacing w:line="256" w:lineRule="auto"/>
              <w:rPr>
                <w:rFonts w:cs="Arial"/>
                <w:b/>
                <w:sz w:val="16"/>
                <w:szCs w:val="16"/>
                <w:lang w:val="es-ES" w:eastAsia="en-US"/>
              </w:rPr>
            </w:pPr>
            <w:r>
              <w:rPr>
                <w:rFonts w:cs="Arial"/>
                <w:b/>
                <w:sz w:val="16"/>
                <w:szCs w:val="16"/>
                <w:lang w:val="es-ES" w:eastAsia="en-US"/>
              </w:rPr>
              <w:t>4.4.  ADEUDOS DE EJERCICIOS FISCALES ANTERIORES.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9B0C351" w14:textId="6CE2F096" w:rsidR="00A41077" w:rsidRDefault="00A41077" w:rsidP="00A41077">
            <w:pPr>
              <w:spacing w:line="256" w:lineRule="auto"/>
              <w:jc w:val="right"/>
              <w:rPr>
                <w:rFonts w:cs="Arial"/>
                <w:b/>
                <w:sz w:val="16"/>
                <w:szCs w:val="16"/>
                <w:lang w:val="es-ES" w:eastAsia="en-US"/>
              </w:rPr>
            </w:pPr>
            <w:r>
              <w:rPr>
                <w:rFonts w:cs="Arial"/>
                <w:b/>
                <w:bCs/>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D41C85A" w14:textId="52CA9454" w:rsidR="00A41077" w:rsidRDefault="00A41077" w:rsidP="00A41077">
            <w:pPr>
              <w:spacing w:line="256" w:lineRule="auto"/>
              <w:jc w:val="right"/>
              <w:rPr>
                <w:rFonts w:cs="Arial"/>
                <w:b/>
                <w:sz w:val="16"/>
                <w:szCs w:val="16"/>
                <w:lang w:val="es-ES" w:eastAsia="en-US"/>
              </w:rPr>
            </w:pPr>
            <w:r>
              <w:rPr>
                <w:rFonts w:cs="Arial"/>
                <w:b/>
                <w:bCs/>
                <w:color w:val="000000"/>
                <w:sz w:val="16"/>
                <w:szCs w:val="16"/>
              </w:rPr>
              <w:t>157,361,143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AFFAEF" w14:textId="34A3CBBE" w:rsidR="00A41077" w:rsidRDefault="00A41077" w:rsidP="00A41077">
            <w:pPr>
              <w:spacing w:line="256" w:lineRule="auto"/>
              <w:jc w:val="right"/>
              <w:rPr>
                <w:rFonts w:cs="Arial"/>
                <w:b/>
                <w:sz w:val="16"/>
                <w:szCs w:val="16"/>
                <w:lang w:val="es-ES" w:eastAsia="en-US"/>
              </w:rPr>
            </w:pPr>
            <w:r>
              <w:rPr>
                <w:rFonts w:cs="Arial"/>
                <w:b/>
                <w:bCs/>
                <w:color w:val="000000"/>
                <w:sz w:val="16"/>
                <w:szCs w:val="16"/>
              </w:rPr>
              <w:t>157,361,143</w:t>
            </w:r>
          </w:p>
        </w:tc>
      </w:tr>
      <w:tr w:rsidR="00A41077" w14:paraId="755CDAF2"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5DF1B0D6" w14:textId="77777777" w:rsidR="00A41077" w:rsidRDefault="00A41077" w:rsidP="00A41077">
            <w:pPr>
              <w:spacing w:line="256" w:lineRule="auto"/>
              <w:rPr>
                <w:rFonts w:cs="Arial"/>
                <w:sz w:val="16"/>
                <w:szCs w:val="16"/>
                <w:lang w:val="es-ES" w:eastAsia="en-US"/>
              </w:rPr>
            </w:pPr>
            <w:r>
              <w:rPr>
                <w:rFonts w:cs="Arial"/>
                <w:sz w:val="16"/>
                <w:szCs w:val="16"/>
                <w:lang w:val="es-ES" w:eastAsia="en-US"/>
              </w:rPr>
              <w:t>4.4.1 Adeudos de Ejercicios Fiscales Anteriores.</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C19F249" w14:textId="50914B92" w:rsidR="00A41077" w:rsidRDefault="00A41077" w:rsidP="00A41077">
            <w:pPr>
              <w:spacing w:line="256" w:lineRule="auto"/>
              <w:jc w:val="right"/>
              <w:rPr>
                <w:rFonts w:cs="Arial"/>
                <w:sz w:val="16"/>
                <w:szCs w:val="16"/>
                <w:lang w:val="es-ES" w:eastAsia="en-US"/>
              </w:rPr>
            </w:pPr>
            <w:r>
              <w:rPr>
                <w:rFonts w:cs="Arial"/>
                <w:color w:val="000000"/>
                <w:sz w:val="16"/>
                <w:szCs w:val="16"/>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A70AD9E" w14:textId="1A95D602" w:rsidR="00A41077" w:rsidRDefault="00A41077" w:rsidP="00A41077">
            <w:pPr>
              <w:spacing w:line="256" w:lineRule="auto"/>
              <w:jc w:val="right"/>
              <w:rPr>
                <w:rFonts w:cs="Arial"/>
                <w:sz w:val="16"/>
                <w:szCs w:val="16"/>
                <w:lang w:val="es-ES" w:eastAsia="en-US"/>
              </w:rPr>
            </w:pPr>
            <w:r>
              <w:rPr>
                <w:rFonts w:cs="Arial"/>
                <w:color w:val="000000"/>
                <w:sz w:val="16"/>
                <w:szCs w:val="16"/>
              </w:rPr>
              <w:t>157,361,143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C14ABC" w14:textId="057C220D" w:rsidR="00A41077" w:rsidRDefault="00A41077" w:rsidP="00A41077">
            <w:pPr>
              <w:spacing w:line="256" w:lineRule="auto"/>
              <w:jc w:val="right"/>
              <w:rPr>
                <w:rFonts w:cs="Arial"/>
                <w:sz w:val="16"/>
                <w:szCs w:val="16"/>
                <w:lang w:val="es-ES" w:eastAsia="en-US"/>
              </w:rPr>
            </w:pPr>
            <w:r>
              <w:rPr>
                <w:rFonts w:cs="Arial"/>
                <w:color w:val="000000"/>
                <w:sz w:val="16"/>
                <w:szCs w:val="16"/>
              </w:rPr>
              <w:t>157,361,143</w:t>
            </w:r>
          </w:p>
        </w:tc>
      </w:tr>
      <w:tr w:rsidR="00A41077" w14:paraId="29ED3248" w14:textId="77777777" w:rsidTr="00A41077">
        <w:trPr>
          <w:trHeight w:val="20"/>
          <w:jc w:val="center"/>
        </w:trPr>
        <w:tc>
          <w:tcPr>
            <w:tcW w:w="3976" w:type="dxa"/>
            <w:tcBorders>
              <w:top w:val="single" w:sz="4" w:space="0" w:color="auto"/>
              <w:left w:val="single" w:sz="4" w:space="0" w:color="auto"/>
              <w:bottom w:val="single" w:sz="4" w:space="0" w:color="auto"/>
              <w:right w:val="single" w:sz="4" w:space="0" w:color="auto"/>
            </w:tcBorders>
            <w:vAlign w:val="center"/>
            <w:hideMark/>
          </w:tcPr>
          <w:p w14:paraId="06486F27" w14:textId="77777777" w:rsidR="00A41077" w:rsidRDefault="00A41077" w:rsidP="00A41077">
            <w:pPr>
              <w:spacing w:line="256" w:lineRule="auto"/>
              <w:jc w:val="center"/>
              <w:rPr>
                <w:rFonts w:cs="Arial"/>
                <w:b/>
                <w:sz w:val="16"/>
                <w:szCs w:val="16"/>
                <w:lang w:val="es-ES" w:eastAsia="en-US"/>
              </w:rPr>
            </w:pPr>
            <w:r>
              <w:rPr>
                <w:rFonts w:cs="Arial"/>
                <w:b/>
                <w:sz w:val="16"/>
                <w:szCs w:val="16"/>
                <w:lang w:val="es-ES" w:eastAsia="en-US"/>
              </w:rPr>
              <w:t>Total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3DCDAC0" w14:textId="4A24594A" w:rsidR="00A41077" w:rsidRDefault="00A41077" w:rsidP="00A41077">
            <w:pPr>
              <w:spacing w:line="256" w:lineRule="auto"/>
              <w:jc w:val="right"/>
              <w:rPr>
                <w:rFonts w:cs="Arial"/>
                <w:b/>
                <w:sz w:val="16"/>
                <w:szCs w:val="16"/>
                <w:lang w:val="es-ES" w:eastAsia="en-US"/>
              </w:rPr>
            </w:pPr>
            <w:r>
              <w:rPr>
                <w:rFonts w:cs="Arial"/>
                <w:b/>
                <w:bCs/>
                <w:color w:val="000000"/>
                <w:sz w:val="16"/>
                <w:szCs w:val="16"/>
              </w:rPr>
              <w:t xml:space="preserve">16,868,856,185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AC0B856" w14:textId="6F823F20" w:rsidR="00A41077" w:rsidRDefault="00A41077" w:rsidP="00A41077">
            <w:pPr>
              <w:spacing w:line="256" w:lineRule="auto"/>
              <w:jc w:val="right"/>
              <w:rPr>
                <w:rFonts w:cs="Arial"/>
                <w:b/>
                <w:sz w:val="16"/>
                <w:szCs w:val="16"/>
                <w:lang w:val="es-ES" w:eastAsia="en-US"/>
              </w:rPr>
            </w:pPr>
            <w:r>
              <w:rPr>
                <w:rFonts w:cs="Arial"/>
                <w:b/>
                <w:bCs/>
                <w:color w:val="000000"/>
                <w:sz w:val="16"/>
                <w:szCs w:val="16"/>
              </w:rPr>
              <w:t xml:space="preserve">6,135,274,094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6CAB1B" w14:textId="0A0703AA" w:rsidR="00A41077" w:rsidRDefault="00A41077" w:rsidP="00A41077">
            <w:pPr>
              <w:spacing w:line="256" w:lineRule="auto"/>
              <w:jc w:val="right"/>
              <w:rPr>
                <w:rFonts w:cs="Arial"/>
                <w:b/>
                <w:sz w:val="16"/>
                <w:szCs w:val="16"/>
                <w:lang w:val="es-ES" w:eastAsia="en-US"/>
              </w:rPr>
            </w:pPr>
            <w:r>
              <w:rPr>
                <w:rFonts w:cs="Arial"/>
                <w:b/>
                <w:bCs/>
                <w:color w:val="000000"/>
                <w:sz w:val="16"/>
                <w:szCs w:val="16"/>
              </w:rPr>
              <w:t xml:space="preserve"> 23,004,130,279 </w:t>
            </w:r>
          </w:p>
        </w:tc>
      </w:tr>
    </w:tbl>
    <w:p w14:paraId="0BAEB738" w14:textId="77777777" w:rsidR="00BF5974" w:rsidRDefault="00BF5974" w:rsidP="00BF5974">
      <w:pPr>
        <w:rPr>
          <w:rFonts w:cs="Arial"/>
          <w:b/>
          <w:lang w:val="es-ES"/>
        </w:rPr>
      </w:pPr>
    </w:p>
    <w:p w14:paraId="48B7A8A0" w14:textId="77777777" w:rsidR="00BF5974" w:rsidRDefault="00BF5974" w:rsidP="00BF5974">
      <w:pPr>
        <w:tabs>
          <w:tab w:val="left" w:pos="7951"/>
        </w:tabs>
        <w:rPr>
          <w:rFonts w:cs="Arial"/>
          <w:lang w:val="es-ES"/>
        </w:rPr>
      </w:pPr>
      <w:r>
        <w:rPr>
          <w:rFonts w:cs="Arial"/>
          <w:lang w:val="es-ES"/>
        </w:rPr>
        <w:t xml:space="preserve">IV. La </w:t>
      </w:r>
      <w:r>
        <w:rPr>
          <w:rFonts w:cs="Arial"/>
          <w:b/>
          <w:lang w:val="es-ES"/>
        </w:rPr>
        <w:t>Clasificación por Fuentes de Financiamiento</w:t>
      </w:r>
      <w:r>
        <w:rPr>
          <w:rFonts w:cs="Arial"/>
          <w:lang w:val="es-ES"/>
        </w:rPr>
        <w:t>, es la siguiente:</w:t>
      </w:r>
      <w:r>
        <w:rPr>
          <w:rFonts w:cs="Arial"/>
          <w:lang w:val="es-ES"/>
        </w:rPr>
        <w:tab/>
      </w:r>
    </w:p>
    <w:p w14:paraId="48CCCE54" w14:textId="77777777" w:rsidR="00BF5974" w:rsidRDefault="00BF5974" w:rsidP="00BF5974">
      <w:pPr>
        <w:keepNext/>
        <w:keepLines/>
        <w:jc w:val="center"/>
        <w:outlineLvl w:val="1"/>
        <w:rPr>
          <w:rFonts w:eastAsia="Times New Roman" w:cs="Arial"/>
          <w:b/>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688"/>
        <w:gridCol w:w="1424"/>
        <w:gridCol w:w="1276"/>
        <w:gridCol w:w="1417"/>
      </w:tblGrid>
      <w:tr w:rsidR="00BF5974" w14:paraId="474C54B5" w14:textId="77777777" w:rsidTr="00BF5974">
        <w:trPr>
          <w:trHeight w:val="227"/>
          <w:tblHeader/>
          <w:jc w:val="center"/>
        </w:trPr>
        <w:tc>
          <w:tcPr>
            <w:tcW w:w="7371" w:type="dxa"/>
            <w:gridSpan w:val="5"/>
            <w:tcBorders>
              <w:top w:val="nil"/>
              <w:left w:val="nil"/>
              <w:bottom w:val="single" w:sz="4" w:space="0" w:color="auto"/>
              <w:right w:val="nil"/>
            </w:tcBorders>
            <w:vAlign w:val="center"/>
            <w:hideMark/>
          </w:tcPr>
          <w:p w14:paraId="74143BF0" w14:textId="77777777" w:rsidR="00BF5974" w:rsidRDefault="00BF5974">
            <w:pPr>
              <w:spacing w:line="256" w:lineRule="auto"/>
              <w:jc w:val="center"/>
              <w:rPr>
                <w:rFonts w:cs="Arial"/>
                <w:b/>
                <w:bCs/>
                <w:sz w:val="20"/>
                <w:szCs w:val="16"/>
                <w:lang w:val="es-ES" w:eastAsia="en-US"/>
              </w:rPr>
            </w:pPr>
            <w:bookmarkStart w:id="338" w:name="_Toc22983260"/>
            <w:bookmarkStart w:id="339" w:name="_Toc22022026"/>
            <w:r>
              <w:rPr>
                <w:rFonts w:eastAsia="Times New Roman" w:cs="Arial"/>
                <w:b/>
                <w:sz w:val="20"/>
                <w:szCs w:val="16"/>
                <w:lang w:val="es-ES" w:eastAsia="en-US"/>
              </w:rPr>
              <w:t>Tabla 70. Clasificación por Fuentes de Financiamiento</w:t>
            </w:r>
            <w:bookmarkEnd w:id="338"/>
            <w:bookmarkEnd w:id="339"/>
          </w:p>
        </w:tc>
      </w:tr>
      <w:tr w:rsidR="00BF5974" w14:paraId="68B36677" w14:textId="77777777" w:rsidTr="00BF5974">
        <w:trPr>
          <w:trHeight w:val="227"/>
          <w:tblHeader/>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565A7A98" w14:textId="77777777" w:rsidR="00BF5974" w:rsidRDefault="00BF5974">
            <w:pPr>
              <w:spacing w:line="256" w:lineRule="auto"/>
              <w:jc w:val="center"/>
              <w:rPr>
                <w:rFonts w:cs="Arial"/>
                <w:b/>
                <w:bCs/>
                <w:sz w:val="16"/>
                <w:szCs w:val="16"/>
                <w:lang w:val="es-ES" w:eastAsia="en-US"/>
              </w:rPr>
            </w:pPr>
            <w:r>
              <w:rPr>
                <w:rFonts w:cs="Arial"/>
                <w:b/>
                <w:bCs/>
                <w:sz w:val="16"/>
                <w:szCs w:val="16"/>
                <w:lang w:val="es-ES" w:eastAsia="en-US"/>
              </w:rPr>
              <w:t>No.</w:t>
            </w:r>
          </w:p>
        </w:tc>
        <w:tc>
          <w:tcPr>
            <w:tcW w:w="2688" w:type="dxa"/>
            <w:tcBorders>
              <w:top w:val="single" w:sz="4" w:space="0" w:color="auto"/>
              <w:left w:val="single" w:sz="4" w:space="0" w:color="auto"/>
              <w:bottom w:val="single" w:sz="4" w:space="0" w:color="auto"/>
              <w:right w:val="single" w:sz="4" w:space="0" w:color="auto"/>
            </w:tcBorders>
            <w:vAlign w:val="center"/>
            <w:hideMark/>
          </w:tcPr>
          <w:p w14:paraId="681E0710" w14:textId="77777777" w:rsidR="00BF5974" w:rsidRDefault="00BF5974">
            <w:pPr>
              <w:spacing w:line="256" w:lineRule="auto"/>
              <w:jc w:val="center"/>
              <w:rPr>
                <w:rFonts w:cs="Arial"/>
                <w:b/>
                <w:bCs/>
                <w:sz w:val="16"/>
                <w:szCs w:val="16"/>
                <w:lang w:val="es-ES" w:eastAsia="en-US"/>
              </w:rPr>
            </w:pPr>
            <w:r>
              <w:rPr>
                <w:rFonts w:cs="Arial"/>
                <w:b/>
                <w:bCs/>
                <w:sz w:val="16"/>
                <w:szCs w:val="16"/>
                <w:lang w:val="es-ES" w:eastAsia="en-US"/>
              </w:rPr>
              <w:t>Concepto</w:t>
            </w:r>
          </w:p>
        </w:tc>
        <w:tc>
          <w:tcPr>
            <w:tcW w:w="1424" w:type="dxa"/>
            <w:tcBorders>
              <w:top w:val="single" w:sz="4" w:space="0" w:color="auto"/>
              <w:left w:val="single" w:sz="4" w:space="0" w:color="auto"/>
              <w:bottom w:val="single" w:sz="4" w:space="0" w:color="auto"/>
              <w:right w:val="single" w:sz="4" w:space="0" w:color="auto"/>
            </w:tcBorders>
            <w:vAlign w:val="center"/>
            <w:hideMark/>
          </w:tcPr>
          <w:p w14:paraId="6301D597" w14:textId="77777777" w:rsidR="00BF5974" w:rsidRDefault="00BF5974">
            <w:pPr>
              <w:spacing w:line="256" w:lineRule="auto"/>
              <w:jc w:val="center"/>
              <w:rPr>
                <w:rFonts w:cs="Arial"/>
                <w:b/>
                <w:bCs/>
                <w:sz w:val="16"/>
                <w:szCs w:val="16"/>
                <w:lang w:val="es-ES" w:eastAsia="en-US"/>
              </w:rPr>
            </w:pPr>
            <w:r>
              <w:rPr>
                <w:rFonts w:cs="Arial"/>
                <w:b/>
                <w:sz w:val="16"/>
                <w:szCs w:val="16"/>
                <w:lang w:val="es-ES" w:eastAsia="en-US"/>
              </w:rPr>
              <w:t>Gasto Programable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6BE775" w14:textId="77777777" w:rsidR="00BF5974" w:rsidRDefault="00BF5974">
            <w:pPr>
              <w:spacing w:line="256" w:lineRule="auto"/>
              <w:jc w:val="center"/>
              <w:rPr>
                <w:rFonts w:cs="Arial"/>
                <w:b/>
                <w:bCs/>
                <w:sz w:val="16"/>
                <w:szCs w:val="16"/>
                <w:lang w:val="es-ES" w:eastAsia="en-US"/>
              </w:rPr>
            </w:pPr>
            <w:r>
              <w:rPr>
                <w:rFonts w:cs="Arial"/>
                <w:b/>
                <w:sz w:val="16"/>
                <w:szCs w:val="16"/>
                <w:lang w:val="es-ES" w:eastAsia="en-US"/>
              </w:rPr>
              <w:t>Gasto No Programable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9B5908" w14:textId="77777777" w:rsidR="00BF5974" w:rsidRDefault="00BF5974">
            <w:pPr>
              <w:spacing w:line="256" w:lineRule="auto"/>
              <w:jc w:val="center"/>
              <w:rPr>
                <w:rFonts w:cs="Arial"/>
                <w:b/>
                <w:bCs/>
                <w:sz w:val="16"/>
                <w:szCs w:val="16"/>
                <w:lang w:val="es-ES" w:eastAsia="en-US"/>
              </w:rPr>
            </w:pPr>
            <w:r>
              <w:rPr>
                <w:rFonts w:cs="Arial"/>
                <w:b/>
                <w:bCs/>
                <w:sz w:val="16"/>
                <w:szCs w:val="16"/>
                <w:lang w:val="es-ES" w:eastAsia="en-US"/>
              </w:rPr>
              <w:t>Asignación Presupuestal</w:t>
            </w:r>
          </w:p>
        </w:tc>
      </w:tr>
      <w:tr w:rsidR="001B0B5A" w14:paraId="6B190DA0" w14:textId="77777777" w:rsidTr="001B0B5A">
        <w:trPr>
          <w:trHeight w:val="22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456EC5E9" w14:textId="77777777" w:rsidR="001B0B5A" w:rsidRDefault="001B0B5A" w:rsidP="001B0B5A">
            <w:pPr>
              <w:spacing w:line="256" w:lineRule="auto"/>
              <w:jc w:val="center"/>
              <w:rPr>
                <w:rFonts w:cs="Arial"/>
                <w:b/>
                <w:sz w:val="16"/>
                <w:szCs w:val="16"/>
                <w:lang w:val="es-ES" w:eastAsia="en-US"/>
              </w:rPr>
            </w:pPr>
            <w:r>
              <w:rPr>
                <w:rFonts w:cs="Arial"/>
                <w:b/>
                <w:sz w:val="16"/>
                <w:szCs w:val="16"/>
                <w:lang w:val="es-ES" w:eastAsia="en-US"/>
              </w:rPr>
              <w:t>1</w:t>
            </w:r>
          </w:p>
        </w:tc>
        <w:tc>
          <w:tcPr>
            <w:tcW w:w="2688" w:type="dxa"/>
            <w:tcBorders>
              <w:top w:val="single" w:sz="4" w:space="0" w:color="auto"/>
              <w:left w:val="single" w:sz="4" w:space="0" w:color="auto"/>
              <w:bottom w:val="single" w:sz="4" w:space="0" w:color="auto"/>
              <w:right w:val="single" w:sz="4" w:space="0" w:color="auto"/>
            </w:tcBorders>
            <w:vAlign w:val="center"/>
            <w:hideMark/>
          </w:tcPr>
          <w:p w14:paraId="45AB5DF3" w14:textId="77777777" w:rsidR="001B0B5A" w:rsidRDefault="001B0B5A" w:rsidP="001B0B5A">
            <w:pPr>
              <w:spacing w:line="256" w:lineRule="auto"/>
              <w:rPr>
                <w:rFonts w:cs="Arial"/>
                <w:b/>
                <w:sz w:val="16"/>
                <w:szCs w:val="16"/>
                <w:lang w:val="es-ES" w:eastAsia="en-US"/>
              </w:rPr>
            </w:pPr>
            <w:r>
              <w:rPr>
                <w:rFonts w:cs="Arial"/>
                <w:b/>
                <w:sz w:val="16"/>
                <w:szCs w:val="16"/>
                <w:lang w:val="es-ES" w:eastAsia="en-US"/>
              </w:rPr>
              <w:t>No Etiquetado.</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0191B" w14:textId="10526584" w:rsidR="001B0B5A" w:rsidRPr="001B0B5A" w:rsidRDefault="001B0B5A" w:rsidP="001B0B5A">
            <w:pPr>
              <w:spacing w:line="256" w:lineRule="auto"/>
              <w:jc w:val="right"/>
              <w:rPr>
                <w:rFonts w:cs="Arial"/>
                <w:b/>
                <w:bCs/>
                <w:sz w:val="16"/>
                <w:szCs w:val="16"/>
                <w:lang w:val="es-ES" w:eastAsia="en-US"/>
              </w:rPr>
            </w:pPr>
            <w:r w:rsidRPr="001B0B5A">
              <w:rPr>
                <w:b/>
                <w:bCs/>
                <w:sz w:val="16"/>
                <w:szCs w:val="16"/>
              </w:rPr>
              <w:t xml:space="preserve">6,207,859,459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0FF4E0" w14:textId="4A095724" w:rsidR="001B0B5A" w:rsidRPr="001B0B5A" w:rsidRDefault="001B0B5A" w:rsidP="001B0B5A">
            <w:pPr>
              <w:spacing w:line="256" w:lineRule="auto"/>
              <w:jc w:val="right"/>
              <w:rPr>
                <w:rFonts w:cs="Arial"/>
                <w:b/>
                <w:bCs/>
                <w:sz w:val="16"/>
                <w:szCs w:val="16"/>
                <w:lang w:val="es-ES" w:eastAsia="en-US"/>
              </w:rPr>
            </w:pPr>
            <w:r w:rsidRPr="001B0B5A">
              <w:rPr>
                <w:b/>
                <w:bCs/>
                <w:sz w:val="16"/>
                <w:szCs w:val="16"/>
              </w:rPr>
              <w:t xml:space="preserve">4,786,497,859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322DEF" w14:textId="136FD6BF" w:rsidR="001B0B5A" w:rsidRPr="001B0B5A" w:rsidRDefault="001B0B5A" w:rsidP="001B0B5A">
            <w:pPr>
              <w:spacing w:line="256" w:lineRule="auto"/>
              <w:jc w:val="right"/>
              <w:rPr>
                <w:rFonts w:cs="Arial"/>
                <w:b/>
                <w:bCs/>
                <w:sz w:val="16"/>
                <w:szCs w:val="16"/>
                <w:lang w:val="es-ES" w:eastAsia="en-US"/>
              </w:rPr>
            </w:pPr>
            <w:r w:rsidRPr="001B0B5A">
              <w:rPr>
                <w:b/>
                <w:bCs/>
                <w:sz w:val="16"/>
                <w:szCs w:val="16"/>
              </w:rPr>
              <w:t xml:space="preserve">10,994,357,318 </w:t>
            </w:r>
          </w:p>
        </w:tc>
      </w:tr>
      <w:tr w:rsidR="001B0B5A" w14:paraId="4BF92FC2" w14:textId="77777777" w:rsidTr="001B0B5A">
        <w:trPr>
          <w:trHeight w:val="22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3B2CB13B" w14:textId="77777777" w:rsidR="001B0B5A" w:rsidRDefault="001B0B5A" w:rsidP="001B0B5A">
            <w:pPr>
              <w:spacing w:line="256" w:lineRule="auto"/>
              <w:jc w:val="center"/>
              <w:rPr>
                <w:rFonts w:cs="Arial"/>
                <w:sz w:val="16"/>
                <w:szCs w:val="16"/>
                <w:lang w:val="es-ES" w:eastAsia="en-US"/>
              </w:rPr>
            </w:pPr>
            <w:r>
              <w:rPr>
                <w:rFonts w:cs="Arial"/>
                <w:sz w:val="16"/>
                <w:szCs w:val="16"/>
                <w:lang w:val="es-ES" w:eastAsia="en-US"/>
              </w:rPr>
              <w:t>11.</w:t>
            </w:r>
          </w:p>
        </w:tc>
        <w:tc>
          <w:tcPr>
            <w:tcW w:w="2688" w:type="dxa"/>
            <w:tcBorders>
              <w:top w:val="single" w:sz="4" w:space="0" w:color="auto"/>
              <w:left w:val="single" w:sz="4" w:space="0" w:color="auto"/>
              <w:bottom w:val="single" w:sz="4" w:space="0" w:color="auto"/>
              <w:right w:val="single" w:sz="4" w:space="0" w:color="auto"/>
            </w:tcBorders>
            <w:vAlign w:val="center"/>
            <w:hideMark/>
          </w:tcPr>
          <w:p w14:paraId="3C97F2E2" w14:textId="77777777" w:rsidR="001B0B5A" w:rsidRDefault="001B0B5A" w:rsidP="001B0B5A">
            <w:pPr>
              <w:spacing w:line="256" w:lineRule="auto"/>
              <w:rPr>
                <w:rFonts w:cs="Arial"/>
                <w:sz w:val="16"/>
                <w:szCs w:val="16"/>
                <w:lang w:val="es-ES" w:eastAsia="en-US"/>
              </w:rPr>
            </w:pPr>
            <w:r>
              <w:rPr>
                <w:rFonts w:cs="Arial"/>
                <w:sz w:val="16"/>
                <w:szCs w:val="16"/>
                <w:lang w:val="es-ES" w:eastAsia="en-US"/>
              </w:rPr>
              <w:t>Recursos Fiscales.</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DA8C3" w14:textId="1C123E77" w:rsidR="001B0B5A" w:rsidRPr="001B0B5A" w:rsidRDefault="001B0B5A" w:rsidP="001B0B5A">
            <w:pPr>
              <w:spacing w:line="256" w:lineRule="auto"/>
              <w:jc w:val="right"/>
              <w:rPr>
                <w:rFonts w:cs="Arial"/>
                <w:sz w:val="16"/>
                <w:szCs w:val="16"/>
                <w:lang w:val="es-ES" w:eastAsia="en-US"/>
              </w:rPr>
            </w:pPr>
            <w:r w:rsidRPr="001B0B5A">
              <w:rPr>
                <w:sz w:val="16"/>
                <w:szCs w:val="16"/>
              </w:rPr>
              <w:t xml:space="preserve">1,079,901,162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500074" w14:textId="427C5C6F" w:rsidR="001B0B5A" w:rsidRPr="001B0B5A" w:rsidRDefault="001B0B5A" w:rsidP="001B0B5A">
            <w:pPr>
              <w:spacing w:line="256" w:lineRule="auto"/>
              <w:jc w:val="right"/>
              <w:rPr>
                <w:rFonts w:cs="Arial"/>
                <w:sz w:val="16"/>
                <w:szCs w:val="16"/>
                <w:lang w:val="es-ES" w:eastAsia="en-US"/>
              </w:rPr>
            </w:pPr>
            <w:r w:rsidRPr="001B0B5A">
              <w:rPr>
                <w:sz w:val="16"/>
                <w:szCs w:val="16"/>
              </w:rPr>
              <w:t xml:space="preserve">954,764,062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2E4426" w14:textId="7BEFA55F" w:rsidR="001B0B5A" w:rsidRPr="001B0B5A" w:rsidRDefault="001B0B5A" w:rsidP="001B0B5A">
            <w:pPr>
              <w:spacing w:line="256" w:lineRule="auto"/>
              <w:jc w:val="right"/>
              <w:rPr>
                <w:rFonts w:cs="Arial"/>
                <w:sz w:val="16"/>
                <w:szCs w:val="16"/>
                <w:lang w:val="es-ES" w:eastAsia="en-US"/>
              </w:rPr>
            </w:pPr>
            <w:r w:rsidRPr="001B0B5A">
              <w:rPr>
                <w:sz w:val="16"/>
                <w:szCs w:val="16"/>
              </w:rPr>
              <w:t xml:space="preserve">2,034,665,224 </w:t>
            </w:r>
          </w:p>
        </w:tc>
      </w:tr>
      <w:tr w:rsidR="001B0B5A" w14:paraId="3A6A3A1E" w14:textId="77777777" w:rsidTr="001B0B5A">
        <w:trPr>
          <w:trHeight w:val="22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31AA0A08" w14:textId="77777777" w:rsidR="001B0B5A" w:rsidRDefault="001B0B5A" w:rsidP="001B0B5A">
            <w:pPr>
              <w:spacing w:line="256" w:lineRule="auto"/>
              <w:jc w:val="center"/>
              <w:rPr>
                <w:rFonts w:cs="Arial"/>
                <w:sz w:val="16"/>
                <w:szCs w:val="16"/>
                <w:lang w:val="es-ES" w:eastAsia="en-US"/>
              </w:rPr>
            </w:pPr>
            <w:r>
              <w:rPr>
                <w:rFonts w:cs="Arial"/>
                <w:sz w:val="16"/>
                <w:szCs w:val="16"/>
                <w:lang w:val="es-ES" w:eastAsia="en-US"/>
              </w:rPr>
              <w:t>12.</w:t>
            </w:r>
          </w:p>
        </w:tc>
        <w:tc>
          <w:tcPr>
            <w:tcW w:w="2688" w:type="dxa"/>
            <w:tcBorders>
              <w:top w:val="single" w:sz="4" w:space="0" w:color="auto"/>
              <w:left w:val="single" w:sz="4" w:space="0" w:color="auto"/>
              <w:bottom w:val="single" w:sz="4" w:space="0" w:color="auto"/>
              <w:right w:val="single" w:sz="4" w:space="0" w:color="auto"/>
            </w:tcBorders>
            <w:vAlign w:val="center"/>
            <w:hideMark/>
          </w:tcPr>
          <w:p w14:paraId="634FA59A" w14:textId="77777777" w:rsidR="001B0B5A" w:rsidRDefault="001B0B5A" w:rsidP="001B0B5A">
            <w:pPr>
              <w:spacing w:line="256" w:lineRule="auto"/>
              <w:rPr>
                <w:rFonts w:cs="Arial"/>
                <w:sz w:val="16"/>
                <w:szCs w:val="16"/>
                <w:lang w:val="es-ES" w:eastAsia="en-US"/>
              </w:rPr>
            </w:pPr>
            <w:r>
              <w:rPr>
                <w:rFonts w:cs="Arial"/>
                <w:sz w:val="16"/>
                <w:szCs w:val="16"/>
                <w:lang w:val="es-ES" w:eastAsia="en-US"/>
              </w:rPr>
              <w:t>Financiamientos Internos.</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0F6D7" w14:textId="5398B220" w:rsidR="001B0B5A" w:rsidRPr="001B0B5A" w:rsidRDefault="001B0B5A" w:rsidP="001B0B5A">
            <w:pPr>
              <w:spacing w:line="256" w:lineRule="auto"/>
              <w:jc w:val="right"/>
              <w:rPr>
                <w:rFonts w:cs="Arial"/>
                <w:sz w:val="16"/>
                <w:szCs w:val="16"/>
                <w:lang w:val="es-ES" w:eastAsia="en-US"/>
              </w:rPr>
            </w:pPr>
            <w:r w:rsidRPr="001B0B5A">
              <w:rPr>
                <w:sz w:val="16"/>
                <w:szCs w:val="16"/>
              </w:rPr>
              <w:t xml:space="preserve">333,241,473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5A4D2E" w14:textId="3E4757E4" w:rsidR="001B0B5A" w:rsidRPr="001B0B5A" w:rsidRDefault="001B0B5A" w:rsidP="001B0B5A">
            <w:pPr>
              <w:spacing w:line="256" w:lineRule="auto"/>
              <w:jc w:val="right"/>
              <w:rPr>
                <w:rFonts w:cs="Arial"/>
                <w:sz w:val="16"/>
                <w:szCs w:val="16"/>
                <w:lang w:val="es-ES" w:eastAsia="en-US"/>
              </w:rPr>
            </w:pPr>
            <w:r w:rsidRPr="001B0B5A">
              <w:rPr>
                <w:sz w:val="16"/>
                <w:szCs w:val="16"/>
              </w:rPr>
              <w:t xml:space="preserve">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4FA497" w14:textId="6E8D2640" w:rsidR="001B0B5A" w:rsidRPr="001B0B5A" w:rsidRDefault="001B0B5A" w:rsidP="001B0B5A">
            <w:pPr>
              <w:spacing w:line="256" w:lineRule="auto"/>
              <w:jc w:val="right"/>
              <w:rPr>
                <w:rFonts w:cs="Arial"/>
                <w:sz w:val="16"/>
                <w:szCs w:val="16"/>
                <w:lang w:val="es-ES" w:eastAsia="en-US"/>
              </w:rPr>
            </w:pPr>
            <w:r w:rsidRPr="001B0B5A">
              <w:rPr>
                <w:sz w:val="16"/>
                <w:szCs w:val="16"/>
              </w:rPr>
              <w:t xml:space="preserve">333,241,473 </w:t>
            </w:r>
          </w:p>
        </w:tc>
      </w:tr>
      <w:tr w:rsidR="001B0B5A" w14:paraId="10AB7580" w14:textId="77777777" w:rsidTr="001B0B5A">
        <w:trPr>
          <w:trHeight w:val="22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18445982" w14:textId="77777777" w:rsidR="001B0B5A" w:rsidRDefault="001B0B5A" w:rsidP="001B0B5A">
            <w:pPr>
              <w:spacing w:line="256" w:lineRule="auto"/>
              <w:jc w:val="center"/>
              <w:rPr>
                <w:rFonts w:cs="Arial"/>
                <w:sz w:val="16"/>
                <w:szCs w:val="16"/>
                <w:lang w:val="es-ES" w:eastAsia="en-US"/>
              </w:rPr>
            </w:pPr>
            <w:r>
              <w:rPr>
                <w:rFonts w:cs="Arial"/>
                <w:sz w:val="16"/>
                <w:szCs w:val="16"/>
                <w:lang w:val="es-ES" w:eastAsia="en-US"/>
              </w:rPr>
              <w:t>13.</w:t>
            </w:r>
          </w:p>
        </w:tc>
        <w:tc>
          <w:tcPr>
            <w:tcW w:w="2688" w:type="dxa"/>
            <w:tcBorders>
              <w:top w:val="single" w:sz="4" w:space="0" w:color="auto"/>
              <w:left w:val="single" w:sz="4" w:space="0" w:color="auto"/>
              <w:bottom w:val="single" w:sz="4" w:space="0" w:color="auto"/>
              <w:right w:val="single" w:sz="4" w:space="0" w:color="auto"/>
            </w:tcBorders>
            <w:vAlign w:val="center"/>
            <w:hideMark/>
          </w:tcPr>
          <w:p w14:paraId="112A8415" w14:textId="77777777" w:rsidR="001B0B5A" w:rsidRDefault="001B0B5A" w:rsidP="001B0B5A">
            <w:pPr>
              <w:spacing w:line="256" w:lineRule="auto"/>
              <w:rPr>
                <w:rFonts w:cs="Arial"/>
                <w:sz w:val="16"/>
                <w:szCs w:val="16"/>
                <w:lang w:val="es-ES" w:eastAsia="en-US"/>
              </w:rPr>
            </w:pPr>
            <w:r>
              <w:rPr>
                <w:rFonts w:cs="Arial"/>
                <w:sz w:val="16"/>
                <w:szCs w:val="16"/>
                <w:lang w:val="es-ES" w:eastAsia="en-US"/>
              </w:rPr>
              <w:t>Financiamientos Externos.</w:t>
            </w:r>
          </w:p>
        </w:tc>
        <w:tc>
          <w:tcPr>
            <w:tcW w:w="1424" w:type="dxa"/>
            <w:tcBorders>
              <w:top w:val="single" w:sz="4" w:space="0" w:color="auto"/>
              <w:left w:val="single" w:sz="4" w:space="0" w:color="auto"/>
              <w:bottom w:val="single" w:sz="4" w:space="0" w:color="auto"/>
              <w:right w:val="single" w:sz="4" w:space="0" w:color="auto"/>
            </w:tcBorders>
            <w:vAlign w:val="center"/>
            <w:hideMark/>
          </w:tcPr>
          <w:p w14:paraId="2719C16B" w14:textId="25AFA6B8" w:rsidR="001B0B5A" w:rsidRPr="001B0B5A" w:rsidRDefault="001B0B5A" w:rsidP="001B0B5A">
            <w:pPr>
              <w:spacing w:line="256" w:lineRule="auto"/>
              <w:jc w:val="right"/>
              <w:rPr>
                <w:rFonts w:cs="Arial"/>
                <w:sz w:val="16"/>
                <w:szCs w:val="16"/>
                <w:lang w:val="es-ES" w:eastAsia="en-US"/>
              </w:rPr>
            </w:pPr>
            <w:r w:rsidRPr="001B0B5A">
              <w:rPr>
                <w:sz w:val="16"/>
                <w:szCs w:val="16"/>
              </w:rPr>
              <w:t xml:space="preserve">0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1DEAA8" w14:textId="13D1E5BA" w:rsidR="001B0B5A" w:rsidRPr="001B0B5A" w:rsidRDefault="001B0B5A" w:rsidP="001B0B5A">
            <w:pPr>
              <w:spacing w:line="256" w:lineRule="auto"/>
              <w:jc w:val="right"/>
              <w:rPr>
                <w:rFonts w:cs="Arial"/>
                <w:sz w:val="16"/>
                <w:szCs w:val="16"/>
                <w:lang w:val="es-ES" w:eastAsia="en-US"/>
              </w:rPr>
            </w:pPr>
            <w:r w:rsidRPr="001B0B5A">
              <w:rPr>
                <w:sz w:val="16"/>
                <w:szCs w:val="16"/>
              </w:rPr>
              <w:t xml:space="preserve">0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0BFFF20" w14:textId="62FF898D" w:rsidR="001B0B5A" w:rsidRPr="001B0B5A" w:rsidRDefault="001B0B5A" w:rsidP="001B0B5A">
            <w:pPr>
              <w:spacing w:line="256" w:lineRule="auto"/>
              <w:jc w:val="right"/>
              <w:rPr>
                <w:rFonts w:cs="Arial"/>
                <w:sz w:val="16"/>
                <w:szCs w:val="16"/>
                <w:lang w:val="es-ES" w:eastAsia="en-US"/>
              </w:rPr>
            </w:pPr>
            <w:r w:rsidRPr="001B0B5A">
              <w:rPr>
                <w:sz w:val="16"/>
                <w:szCs w:val="16"/>
              </w:rPr>
              <w:t xml:space="preserve">0 </w:t>
            </w:r>
          </w:p>
        </w:tc>
      </w:tr>
      <w:tr w:rsidR="001B0B5A" w14:paraId="64F7E8B2" w14:textId="77777777" w:rsidTr="001B0B5A">
        <w:trPr>
          <w:trHeight w:val="22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1CC7612E" w14:textId="77777777" w:rsidR="001B0B5A" w:rsidRDefault="001B0B5A" w:rsidP="001B0B5A">
            <w:pPr>
              <w:spacing w:line="256" w:lineRule="auto"/>
              <w:jc w:val="center"/>
              <w:rPr>
                <w:rFonts w:cs="Arial"/>
                <w:sz w:val="16"/>
                <w:szCs w:val="16"/>
                <w:lang w:val="es-ES" w:eastAsia="en-US"/>
              </w:rPr>
            </w:pPr>
            <w:r>
              <w:rPr>
                <w:rFonts w:cs="Arial"/>
                <w:sz w:val="16"/>
                <w:szCs w:val="16"/>
                <w:lang w:val="es-ES" w:eastAsia="en-US"/>
              </w:rPr>
              <w:t>14.</w:t>
            </w:r>
          </w:p>
        </w:tc>
        <w:tc>
          <w:tcPr>
            <w:tcW w:w="2688" w:type="dxa"/>
            <w:tcBorders>
              <w:top w:val="single" w:sz="4" w:space="0" w:color="auto"/>
              <w:left w:val="single" w:sz="4" w:space="0" w:color="auto"/>
              <w:bottom w:val="single" w:sz="4" w:space="0" w:color="auto"/>
              <w:right w:val="single" w:sz="4" w:space="0" w:color="auto"/>
            </w:tcBorders>
            <w:vAlign w:val="center"/>
            <w:hideMark/>
          </w:tcPr>
          <w:p w14:paraId="27E7E599" w14:textId="77777777" w:rsidR="001B0B5A" w:rsidRDefault="001B0B5A" w:rsidP="001B0B5A">
            <w:pPr>
              <w:spacing w:line="256" w:lineRule="auto"/>
              <w:rPr>
                <w:rFonts w:cs="Arial"/>
                <w:sz w:val="16"/>
                <w:szCs w:val="16"/>
                <w:lang w:val="es-ES" w:eastAsia="en-US"/>
              </w:rPr>
            </w:pPr>
            <w:r>
              <w:rPr>
                <w:rFonts w:cs="Arial"/>
                <w:sz w:val="16"/>
                <w:szCs w:val="16"/>
                <w:lang w:val="es-ES" w:eastAsia="en-US"/>
              </w:rPr>
              <w:t>Ingresos Propios.</w:t>
            </w:r>
          </w:p>
        </w:tc>
        <w:tc>
          <w:tcPr>
            <w:tcW w:w="1424" w:type="dxa"/>
            <w:tcBorders>
              <w:top w:val="single" w:sz="4" w:space="0" w:color="auto"/>
              <w:left w:val="single" w:sz="4" w:space="0" w:color="auto"/>
              <w:bottom w:val="single" w:sz="4" w:space="0" w:color="auto"/>
              <w:right w:val="single" w:sz="4" w:space="0" w:color="auto"/>
            </w:tcBorders>
            <w:vAlign w:val="center"/>
            <w:hideMark/>
          </w:tcPr>
          <w:p w14:paraId="065FE7CA" w14:textId="1D8D5F2C" w:rsidR="001B0B5A" w:rsidRPr="001B0B5A" w:rsidRDefault="001B0B5A" w:rsidP="001B0B5A">
            <w:pPr>
              <w:spacing w:line="256" w:lineRule="auto"/>
              <w:jc w:val="right"/>
              <w:rPr>
                <w:rFonts w:cs="Arial"/>
                <w:sz w:val="16"/>
                <w:szCs w:val="16"/>
                <w:lang w:val="es-ES" w:eastAsia="en-US"/>
              </w:rPr>
            </w:pPr>
            <w:r w:rsidRPr="001B0B5A">
              <w:rPr>
                <w:sz w:val="16"/>
                <w:szCs w:val="16"/>
              </w:rPr>
              <w:t xml:space="preserve">0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4BF59E" w14:textId="46F4706B" w:rsidR="001B0B5A" w:rsidRPr="001B0B5A" w:rsidRDefault="001B0B5A" w:rsidP="001B0B5A">
            <w:pPr>
              <w:spacing w:line="256" w:lineRule="auto"/>
              <w:jc w:val="right"/>
              <w:rPr>
                <w:rFonts w:cs="Arial"/>
                <w:sz w:val="16"/>
                <w:szCs w:val="16"/>
                <w:lang w:val="es-ES" w:eastAsia="en-US"/>
              </w:rPr>
            </w:pPr>
            <w:r w:rsidRPr="001B0B5A">
              <w:rPr>
                <w:sz w:val="16"/>
                <w:szCs w:val="16"/>
              </w:rPr>
              <w:t xml:space="preserve">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1A81F3" w14:textId="7C3E113B" w:rsidR="001B0B5A" w:rsidRPr="001B0B5A" w:rsidRDefault="001B0B5A" w:rsidP="001B0B5A">
            <w:pPr>
              <w:spacing w:line="256" w:lineRule="auto"/>
              <w:jc w:val="right"/>
              <w:rPr>
                <w:rFonts w:cs="Arial"/>
                <w:sz w:val="16"/>
                <w:szCs w:val="16"/>
                <w:lang w:val="es-ES" w:eastAsia="en-US"/>
              </w:rPr>
            </w:pPr>
            <w:r w:rsidRPr="001B0B5A">
              <w:rPr>
                <w:sz w:val="16"/>
                <w:szCs w:val="16"/>
              </w:rPr>
              <w:t xml:space="preserve">0 </w:t>
            </w:r>
          </w:p>
        </w:tc>
      </w:tr>
      <w:tr w:rsidR="001B0B5A" w14:paraId="37836FDF" w14:textId="77777777" w:rsidTr="001B0B5A">
        <w:trPr>
          <w:trHeight w:val="22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15A6CEF5" w14:textId="77777777" w:rsidR="001B0B5A" w:rsidRDefault="001B0B5A" w:rsidP="001B0B5A">
            <w:pPr>
              <w:spacing w:line="256" w:lineRule="auto"/>
              <w:jc w:val="center"/>
              <w:rPr>
                <w:rFonts w:cs="Arial"/>
                <w:sz w:val="16"/>
                <w:szCs w:val="16"/>
                <w:lang w:val="es-ES" w:eastAsia="en-US"/>
              </w:rPr>
            </w:pPr>
            <w:r>
              <w:rPr>
                <w:rFonts w:cs="Arial"/>
                <w:sz w:val="16"/>
                <w:szCs w:val="16"/>
                <w:lang w:val="es-ES" w:eastAsia="en-US"/>
              </w:rPr>
              <w:t>15.</w:t>
            </w:r>
          </w:p>
        </w:tc>
        <w:tc>
          <w:tcPr>
            <w:tcW w:w="2688" w:type="dxa"/>
            <w:tcBorders>
              <w:top w:val="single" w:sz="4" w:space="0" w:color="auto"/>
              <w:left w:val="single" w:sz="4" w:space="0" w:color="auto"/>
              <w:bottom w:val="single" w:sz="4" w:space="0" w:color="auto"/>
              <w:right w:val="single" w:sz="4" w:space="0" w:color="auto"/>
            </w:tcBorders>
            <w:vAlign w:val="center"/>
            <w:hideMark/>
          </w:tcPr>
          <w:p w14:paraId="3B5E3BC3" w14:textId="77777777" w:rsidR="001B0B5A" w:rsidRDefault="001B0B5A" w:rsidP="001B0B5A">
            <w:pPr>
              <w:spacing w:line="256" w:lineRule="auto"/>
              <w:rPr>
                <w:rFonts w:cs="Arial"/>
                <w:sz w:val="16"/>
                <w:szCs w:val="16"/>
                <w:lang w:val="es-ES" w:eastAsia="en-US"/>
              </w:rPr>
            </w:pPr>
            <w:r>
              <w:rPr>
                <w:rFonts w:cs="Arial"/>
                <w:sz w:val="16"/>
                <w:szCs w:val="16"/>
                <w:lang w:val="es-ES" w:eastAsia="en-US"/>
              </w:rPr>
              <w:t>Recursos Federales.</w:t>
            </w:r>
          </w:p>
        </w:tc>
        <w:tc>
          <w:tcPr>
            <w:tcW w:w="1424" w:type="dxa"/>
            <w:tcBorders>
              <w:top w:val="single" w:sz="4" w:space="0" w:color="auto"/>
              <w:left w:val="single" w:sz="4" w:space="0" w:color="auto"/>
              <w:bottom w:val="single" w:sz="4" w:space="0" w:color="auto"/>
              <w:right w:val="single" w:sz="4" w:space="0" w:color="auto"/>
            </w:tcBorders>
            <w:vAlign w:val="center"/>
            <w:hideMark/>
          </w:tcPr>
          <w:p w14:paraId="29276881" w14:textId="3FA5632F" w:rsidR="001B0B5A" w:rsidRPr="001B0B5A" w:rsidRDefault="001B0B5A" w:rsidP="001B0B5A">
            <w:pPr>
              <w:spacing w:line="256" w:lineRule="auto"/>
              <w:jc w:val="right"/>
              <w:rPr>
                <w:rFonts w:cs="Arial"/>
                <w:sz w:val="16"/>
                <w:szCs w:val="16"/>
                <w:lang w:val="es-ES" w:eastAsia="en-US"/>
              </w:rPr>
            </w:pPr>
            <w:r w:rsidRPr="001B0B5A">
              <w:rPr>
                <w:sz w:val="16"/>
                <w:szCs w:val="16"/>
              </w:rPr>
              <w:t xml:space="preserve">4,432,000,428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E0ED56" w14:textId="55952D48" w:rsidR="001B0B5A" w:rsidRPr="001B0B5A" w:rsidRDefault="001B0B5A" w:rsidP="001B0B5A">
            <w:pPr>
              <w:spacing w:line="256" w:lineRule="auto"/>
              <w:jc w:val="right"/>
              <w:rPr>
                <w:rFonts w:cs="Arial"/>
                <w:sz w:val="16"/>
                <w:szCs w:val="16"/>
                <w:lang w:val="es-ES" w:eastAsia="en-US"/>
              </w:rPr>
            </w:pPr>
            <w:r w:rsidRPr="001B0B5A">
              <w:rPr>
                <w:sz w:val="16"/>
                <w:szCs w:val="16"/>
              </w:rPr>
              <w:t xml:space="preserve">3,831,733,797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FDD93B" w14:textId="5E42FE10" w:rsidR="001B0B5A" w:rsidRPr="001B0B5A" w:rsidRDefault="001B0B5A" w:rsidP="001B0B5A">
            <w:pPr>
              <w:spacing w:line="256" w:lineRule="auto"/>
              <w:jc w:val="right"/>
              <w:rPr>
                <w:rFonts w:cs="Arial"/>
                <w:sz w:val="16"/>
                <w:szCs w:val="16"/>
                <w:lang w:val="es-ES" w:eastAsia="en-US"/>
              </w:rPr>
            </w:pPr>
            <w:r w:rsidRPr="001B0B5A">
              <w:rPr>
                <w:sz w:val="16"/>
                <w:szCs w:val="16"/>
              </w:rPr>
              <w:t xml:space="preserve">8,263,734,225 </w:t>
            </w:r>
          </w:p>
        </w:tc>
      </w:tr>
      <w:tr w:rsidR="001B0B5A" w14:paraId="3DE596E6" w14:textId="77777777" w:rsidTr="001B0B5A">
        <w:trPr>
          <w:trHeight w:val="22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486783C5" w14:textId="77777777" w:rsidR="001B0B5A" w:rsidRDefault="001B0B5A" w:rsidP="001B0B5A">
            <w:pPr>
              <w:spacing w:line="256" w:lineRule="auto"/>
              <w:jc w:val="center"/>
              <w:rPr>
                <w:rFonts w:cs="Arial"/>
                <w:sz w:val="16"/>
                <w:szCs w:val="16"/>
                <w:lang w:val="es-ES" w:eastAsia="en-US"/>
              </w:rPr>
            </w:pPr>
            <w:r>
              <w:rPr>
                <w:rFonts w:cs="Arial"/>
                <w:sz w:val="16"/>
                <w:szCs w:val="16"/>
                <w:lang w:val="es-ES" w:eastAsia="en-US"/>
              </w:rPr>
              <w:t>16.</w:t>
            </w:r>
          </w:p>
        </w:tc>
        <w:tc>
          <w:tcPr>
            <w:tcW w:w="2688" w:type="dxa"/>
            <w:tcBorders>
              <w:top w:val="single" w:sz="4" w:space="0" w:color="auto"/>
              <w:left w:val="single" w:sz="4" w:space="0" w:color="auto"/>
              <w:bottom w:val="single" w:sz="4" w:space="0" w:color="auto"/>
              <w:right w:val="single" w:sz="4" w:space="0" w:color="auto"/>
            </w:tcBorders>
            <w:vAlign w:val="center"/>
            <w:hideMark/>
          </w:tcPr>
          <w:p w14:paraId="4636FA87" w14:textId="77777777" w:rsidR="001B0B5A" w:rsidRDefault="001B0B5A" w:rsidP="001B0B5A">
            <w:pPr>
              <w:spacing w:line="256" w:lineRule="auto"/>
              <w:rPr>
                <w:rFonts w:cs="Arial"/>
                <w:sz w:val="16"/>
                <w:szCs w:val="16"/>
                <w:lang w:val="es-ES" w:eastAsia="en-US"/>
              </w:rPr>
            </w:pPr>
            <w:r>
              <w:rPr>
                <w:rFonts w:cs="Arial"/>
                <w:sz w:val="16"/>
                <w:szCs w:val="16"/>
                <w:lang w:val="es-ES" w:eastAsia="en-US"/>
              </w:rPr>
              <w:t>Recursos Estatales.</w:t>
            </w:r>
          </w:p>
        </w:tc>
        <w:tc>
          <w:tcPr>
            <w:tcW w:w="1424" w:type="dxa"/>
            <w:tcBorders>
              <w:top w:val="single" w:sz="4" w:space="0" w:color="auto"/>
              <w:left w:val="single" w:sz="4" w:space="0" w:color="auto"/>
              <w:bottom w:val="single" w:sz="4" w:space="0" w:color="auto"/>
              <w:right w:val="single" w:sz="4" w:space="0" w:color="auto"/>
            </w:tcBorders>
            <w:vAlign w:val="center"/>
            <w:hideMark/>
          </w:tcPr>
          <w:p w14:paraId="4635DE57" w14:textId="301A4775" w:rsidR="001B0B5A" w:rsidRPr="001B0B5A" w:rsidRDefault="001B0B5A" w:rsidP="001B0B5A">
            <w:pPr>
              <w:spacing w:line="256" w:lineRule="auto"/>
              <w:jc w:val="right"/>
              <w:rPr>
                <w:rFonts w:cs="Arial"/>
                <w:sz w:val="16"/>
                <w:szCs w:val="16"/>
                <w:lang w:val="es-ES" w:eastAsia="en-US"/>
              </w:rPr>
            </w:pPr>
            <w:r w:rsidRPr="001B0B5A">
              <w:rPr>
                <w:sz w:val="16"/>
                <w:szCs w:val="16"/>
              </w:rPr>
              <w:t xml:space="preserve">0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9F8C85" w14:textId="1AD664FD" w:rsidR="001B0B5A" w:rsidRPr="001B0B5A" w:rsidRDefault="001B0B5A" w:rsidP="001B0B5A">
            <w:pPr>
              <w:spacing w:line="256" w:lineRule="auto"/>
              <w:jc w:val="right"/>
              <w:rPr>
                <w:rFonts w:cs="Arial"/>
                <w:sz w:val="16"/>
                <w:szCs w:val="16"/>
                <w:lang w:val="es-ES" w:eastAsia="en-US"/>
              </w:rPr>
            </w:pPr>
            <w:r w:rsidRPr="001B0B5A">
              <w:rPr>
                <w:sz w:val="16"/>
                <w:szCs w:val="16"/>
              </w:rPr>
              <w:t xml:space="preserve">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DE86C8" w14:textId="79538DD6" w:rsidR="001B0B5A" w:rsidRPr="001B0B5A" w:rsidRDefault="001B0B5A" w:rsidP="001B0B5A">
            <w:pPr>
              <w:spacing w:line="256" w:lineRule="auto"/>
              <w:jc w:val="right"/>
              <w:rPr>
                <w:rFonts w:cs="Arial"/>
                <w:sz w:val="16"/>
                <w:szCs w:val="16"/>
                <w:lang w:val="es-ES" w:eastAsia="en-US"/>
              </w:rPr>
            </w:pPr>
            <w:r w:rsidRPr="001B0B5A">
              <w:rPr>
                <w:sz w:val="16"/>
                <w:szCs w:val="16"/>
              </w:rPr>
              <w:t xml:space="preserve">0 </w:t>
            </w:r>
          </w:p>
        </w:tc>
      </w:tr>
      <w:tr w:rsidR="001B0B5A" w14:paraId="66DB32E7" w14:textId="77777777" w:rsidTr="001B0B5A">
        <w:trPr>
          <w:trHeight w:val="22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2BDAD324" w14:textId="77777777" w:rsidR="001B0B5A" w:rsidRDefault="001B0B5A" w:rsidP="001B0B5A">
            <w:pPr>
              <w:spacing w:line="256" w:lineRule="auto"/>
              <w:jc w:val="center"/>
              <w:rPr>
                <w:rFonts w:cs="Arial"/>
                <w:sz w:val="16"/>
                <w:szCs w:val="16"/>
                <w:lang w:val="es-ES" w:eastAsia="en-US"/>
              </w:rPr>
            </w:pPr>
            <w:r>
              <w:rPr>
                <w:rFonts w:cs="Arial"/>
                <w:sz w:val="16"/>
                <w:szCs w:val="16"/>
                <w:lang w:val="es-ES" w:eastAsia="en-US"/>
              </w:rPr>
              <w:t>17.</w:t>
            </w:r>
          </w:p>
        </w:tc>
        <w:tc>
          <w:tcPr>
            <w:tcW w:w="2688" w:type="dxa"/>
            <w:tcBorders>
              <w:top w:val="single" w:sz="4" w:space="0" w:color="auto"/>
              <w:left w:val="single" w:sz="4" w:space="0" w:color="auto"/>
              <w:bottom w:val="single" w:sz="4" w:space="0" w:color="auto"/>
              <w:right w:val="single" w:sz="4" w:space="0" w:color="auto"/>
            </w:tcBorders>
            <w:vAlign w:val="center"/>
            <w:hideMark/>
          </w:tcPr>
          <w:p w14:paraId="04E2E0E7" w14:textId="77777777" w:rsidR="001B0B5A" w:rsidRDefault="001B0B5A" w:rsidP="001B0B5A">
            <w:pPr>
              <w:spacing w:line="256" w:lineRule="auto"/>
              <w:rPr>
                <w:rFonts w:cs="Arial"/>
                <w:sz w:val="16"/>
                <w:szCs w:val="16"/>
                <w:lang w:val="es-ES" w:eastAsia="en-US"/>
              </w:rPr>
            </w:pPr>
            <w:r>
              <w:rPr>
                <w:rFonts w:cs="Arial"/>
                <w:sz w:val="16"/>
                <w:szCs w:val="16"/>
                <w:lang w:val="es-ES" w:eastAsia="en-US"/>
              </w:rPr>
              <w:t>Otros Recursos de Libre Disposición.</w:t>
            </w:r>
          </w:p>
        </w:tc>
        <w:tc>
          <w:tcPr>
            <w:tcW w:w="1424" w:type="dxa"/>
            <w:tcBorders>
              <w:top w:val="single" w:sz="4" w:space="0" w:color="auto"/>
              <w:left w:val="single" w:sz="4" w:space="0" w:color="auto"/>
              <w:bottom w:val="single" w:sz="4" w:space="0" w:color="auto"/>
              <w:right w:val="single" w:sz="4" w:space="0" w:color="auto"/>
            </w:tcBorders>
            <w:vAlign w:val="center"/>
            <w:hideMark/>
          </w:tcPr>
          <w:p w14:paraId="0EDAA2B6" w14:textId="4E6A4770" w:rsidR="001B0B5A" w:rsidRPr="001B0B5A" w:rsidRDefault="001B0B5A" w:rsidP="001B0B5A">
            <w:pPr>
              <w:spacing w:line="256" w:lineRule="auto"/>
              <w:jc w:val="right"/>
              <w:rPr>
                <w:rFonts w:cs="Arial"/>
                <w:sz w:val="16"/>
                <w:szCs w:val="16"/>
                <w:lang w:val="es-ES" w:eastAsia="en-US"/>
              </w:rPr>
            </w:pPr>
            <w:r w:rsidRPr="001B0B5A">
              <w:rPr>
                <w:sz w:val="16"/>
                <w:szCs w:val="16"/>
              </w:rPr>
              <w:t xml:space="preserve">362,716,396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A0DAB5" w14:textId="5D62F37A" w:rsidR="001B0B5A" w:rsidRPr="001B0B5A" w:rsidRDefault="001B0B5A" w:rsidP="001B0B5A">
            <w:pPr>
              <w:spacing w:line="256" w:lineRule="auto"/>
              <w:jc w:val="right"/>
              <w:rPr>
                <w:rFonts w:cs="Arial"/>
                <w:sz w:val="16"/>
                <w:szCs w:val="16"/>
                <w:lang w:val="es-ES" w:eastAsia="en-US"/>
              </w:rPr>
            </w:pPr>
            <w:r w:rsidRPr="001B0B5A">
              <w:rPr>
                <w:sz w:val="16"/>
                <w:szCs w:val="16"/>
              </w:rPr>
              <w:t xml:space="preserve">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F3539A" w14:textId="465D03D4" w:rsidR="001B0B5A" w:rsidRPr="001B0B5A" w:rsidRDefault="001B0B5A" w:rsidP="001B0B5A">
            <w:pPr>
              <w:spacing w:line="256" w:lineRule="auto"/>
              <w:jc w:val="right"/>
              <w:rPr>
                <w:rFonts w:cs="Arial"/>
                <w:sz w:val="16"/>
                <w:szCs w:val="16"/>
                <w:lang w:val="es-ES" w:eastAsia="en-US"/>
              </w:rPr>
            </w:pPr>
            <w:r w:rsidRPr="001B0B5A">
              <w:rPr>
                <w:sz w:val="16"/>
                <w:szCs w:val="16"/>
              </w:rPr>
              <w:t xml:space="preserve">362,716,396 </w:t>
            </w:r>
          </w:p>
        </w:tc>
      </w:tr>
      <w:tr w:rsidR="001B0B5A" w14:paraId="23D5844B" w14:textId="77777777" w:rsidTr="001B0B5A">
        <w:trPr>
          <w:trHeight w:val="22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023CC0B5" w14:textId="77777777" w:rsidR="001B0B5A" w:rsidRDefault="001B0B5A" w:rsidP="001B0B5A">
            <w:pPr>
              <w:spacing w:line="256" w:lineRule="auto"/>
              <w:jc w:val="center"/>
              <w:rPr>
                <w:rFonts w:cs="Arial"/>
                <w:b/>
                <w:sz w:val="16"/>
                <w:szCs w:val="16"/>
                <w:lang w:val="es-ES" w:eastAsia="en-US"/>
              </w:rPr>
            </w:pPr>
            <w:r>
              <w:rPr>
                <w:rFonts w:cs="Arial"/>
                <w:b/>
                <w:sz w:val="16"/>
                <w:szCs w:val="16"/>
                <w:lang w:val="es-ES" w:eastAsia="en-US"/>
              </w:rPr>
              <w:t>2</w:t>
            </w:r>
          </w:p>
        </w:tc>
        <w:tc>
          <w:tcPr>
            <w:tcW w:w="2688" w:type="dxa"/>
            <w:tcBorders>
              <w:top w:val="single" w:sz="4" w:space="0" w:color="auto"/>
              <w:left w:val="single" w:sz="4" w:space="0" w:color="auto"/>
              <w:bottom w:val="single" w:sz="4" w:space="0" w:color="auto"/>
              <w:right w:val="single" w:sz="4" w:space="0" w:color="auto"/>
            </w:tcBorders>
            <w:vAlign w:val="center"/>
            <w:hideMark/>
          </w:tcPr>
          <w:p w14:paraId="6FB98BBC" w14:textId="77777777" w:rsidR="001B0B5A" w:rsidRDefault="001B0B5A" w:rsidP="001B0B5A">
            <w:pPr>
              <w:spacing w:line="256" w:lineRule="auto"/>
              <w:rPr>
                <w:rFonts w:cs="Arial"/>
                <w:b/>
                <w:sz w:val="16"/>
                <w:szCs w:val="16"/>
                <w:lang w:val="es-ES" w:eastAsia="en-US"/>
              </w:rPr>
            </w:pPr>
            <w:r>
              <w:rPr>
                <w:rFonts w:cs="Arial"/>
                <w:b/>
                <w:sz w:val="16"/>
                <w:szCs w:val="16"/>
                <w:lang w:val="es-ES" w:eastAsia="en-US"/>
              </w:rPr>
              <w:t>Etiquetado.</w:t>
            </w:r>
          </w:p>
        </w:tc>
        <w:tc>
          <w:tcPr>
            <w:tcW w:w="1424" w:type="dxa"/>
            <w:tcBorders>
              <w:top w:val="single" w:sz="4" w:space="0" w:color="auto"/>
              <w:left w:val="single" w:sz="4" w:space="0" w:color="auto"/>
              <w:bottom w:val="single" w:sz="4" w:space="0" w:color="auto"/>
              <w:right w:val="single" w:sz="4" w:space="0" w:color="auto"/>
            </w:tcBorders>
            <w:vAlign w:val="center"/>
            <w:hideMark/>
          </w:tcPr>
          <w:p w14:paraId="3C329D0A" w14:textId="3F4C58CB" w:rsidR="001B0B5A" w:rsidRPr="001B0B5A" w:rsidRDefault="001B0B5A" w:rsidP="001B0B5A">
            <w:pPr>
              <w:spacing w:line="256" w:lineRule="auto"/>
              <w:jc w:val="right"/>
              <w:rPr>
                <w:rFonts w:cs="Arial"/>
                <w:b/>
                <w:bCs/>
                <w:sz w:val="16"/>
                <w:szCs w:val="16"/>
                <w:lang w:val="es-ES" w:eastAsia="en-US"/>
              </w:rPr>
            </w:pPr>
            <w:r w:rsidRPr="001B0B5A">
              <w:rPr>
                <w:b/>
                <w:bCs/>
                <w:sz w:val="16"/>
                <w:szCs w:val="16"/>
              </w:rPr>
              <w:t xml:space="preserve">10,660,996,726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BF6F35" w14:textId="1E69F083" w:rsidR="001B0B5A" w:rsidRPr="001B0B5A" w:rsidRDefault="001B0B5A" w:rsidP="001B0B5A">
            <w:pPr>
              <w:spacing w:line="256" w:lineRule="auto"/>
              <w:jc w:val="right"/>
              <w:rPr>
                <w:rFonts w:cs="Arial"/>
                <w:b/>
                <w:bCs/>
                <w:sz w:val="16"/>
                <w:szCs w:val="16"/>
                <w:lang w:val="es-ES" w:eastAsia="en-US"/>
              </w:rPr>
            </w:pPr>
            <w:r w:rsidRPr="001B0B5A">
              <w:rPr>
                <w:b/>
                <w:bCs/>
                <w:sz w:val="16"/>
                <w:szCs w:val="16"/>
              </w:rPr>
              <w:t xml:space="preserve">1,348,776,235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1A37A4" w14:textId="6A81A692" w:rsidR="001B0B5A" w:rsidRPr="001B0B5A" w:rsidRDefault="001B0B5A" w:rsidP="001B0B5A">
            <w:pPr>
              <w:spacing w:line="256" w:lineRule="auto"/>
              <w:jc w:val="right"/>
              <w:rPr>
                <w:rFonts w:cs="Arial"/>
                <w:b/>
                <w:bCs/>
                <w:sz w:val="16"/>
                <w:szCs w:val="16"/>
                <w:lang w:val="es-ES" w:eastAsia="en-US"/>
              </w:rPr>
            </w:pPr>
            <w:r w:rsidRPr="001B0B5A">
              <w:rPr>
                <w:b/>
                <w:bCs/>
                <w:sz w:val="16"/>
                <w:szCs w:val="16"/>
              </w:rPr>
              <w:t xml:space="preserve">12,009,772,961 </w:t>
            </w:r>
          </w:p>
        </w:tc>
      </w:tr>
      <w:tr w:rsidR="001B0B5A" w14:paraId="6E3F6426" w14:textId="77777777" w:rsidTr="001B0B5A">
        <w:trPr>
          <w:trHeight w:val="22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5140F26F" w14:textId="77777777" w:rsidR="001B0B5A" w:rsidRDefault="001B0B5A" w:rsidP="001B0B5A">
            <w:pPr>
              <w:spacing w:line="256" w:lineRule="auto"/>
              <w:jc w:val="center"/>
              <w:rPr>
                <w:rFonts w:cs="Arial"/>
                <w:sz w:val="16"/>
                <w:szCs w:val="16"/>
                <w:lang w:val="es-ES" w:eastAsia="en-US"/>
              </w:rPr>
            </w:pPr>
            <w:r>
              <w:rPr>
                <w:rFonts w:cs="Arial"/>
                <w:sz w:val="16"/>
                <w:szCs w:val="16"/>
                <w:lang w:val="es-ES" w:eastAsia="en-US"/>
              </w:rPr>
              <w:t>25.</w:t>
            </w:r>
          </w:p>
        </w:tc>
        <w:tc>
          <w:tcPr>
            <w:tcW w:w="2688" w:type="dxa"/>
            <w:tcBorders>
              <w:top w:val="single" w:sz="4" w:space="0" w:color="auto"/>
              <w:left w:val="single" w:sz="4" w:space="0" w:color="auto"/>
              <w:bottom w:val="single" w:sz="4" w:space="0" w:color="auto"/>
              <w:right w:val="single" w:sz="4" w:space="0" w:color="auto"/>
            </w:tcBorders>
            <w:vAlign w:val="center"/>
            <w:hideMark/>
          </w:tcPr>
          <w:p w14:paraId="43A16736" w14:textId="77777777" w:rsidR="001B0B5A" w:rsidRDefault="001B0B5A" w:rsidP="001B0B5A">
            <w:pPr>
              <w:spacing w:line="256" w:lineRule="auto"/>
              <w:rPr>
                <w:rFonts w:cs="Arial"/>
                <w:sz w:val="16"/>
                <w:szCs w:val="16"/>
                <w:lang w:val="es-ES" w:eastAsia="en-US"/>
              </w:rPr>
            </w:pPr>
            <w:r>
              <w:rPr>
                <w:rFonts w:cs="Arial"/>
                <w:sz w:val="16"/>
                <w:szCs w:val="16"/>
                <w:lang w:val="es-ES" w:eastAsia="en-US"/>
              </w:rPr>
              <w:t>Recursos Federales.</w:t>
            </w:r>
          </w:p>
        </w:tc>
        <w:tc>
          <w:tcPr>
            <w:tcW w:w="1424" w:type="dxa"/>
            <w:tcBorders>
              <w:top w:val="single" w:sz="4" w:space="0" w:color="auto"/>
              <w:left w:val="single" w:sz="4" w:space="0" w:color="auto"/>
              <w:bottom w:val="single" w:sz="4" w:space="0" w:color="auto"/>
              <w:right w:val="single" w:sz="4" w:space="0" w:color="auto"/>
            </w:tcBorders>
            <w:vAlign w:val="center"/>
            <w:hideMark/>
          </w:tcPr>
          <w:p w14:paraId="2201691F" w14:textId="506829E9" w:rsidR="001B0B5A" w:rsidRPr="001B0B5A" w:rsidRDefault="001B0B5A" w:rsidP="001B0B5A">
            <w:pPr>
              <w:spacing w:line="256" w:lineRule="auto"/>
              <w:jc w:val="right"/>
              <w:rPr>
                <w:rFonts w:cs="Arial"/>
                <w:sz w:val="16"/>
                <w:szCs w:val="16"/>
                <w:lang w:val="es-ES" w:eastAsia="en-US"/>
              </w:rPr>
            </w:pPr>
            <w:r w:rsidRPr="001B0B5A">
              <w:rPr>
                <w:sz w:val="16"/>
                <w:szCs w:val="16"/>
              </w:rPr>
              <w:t xml:space="preserve">10,660,996,726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2A9052" w14:textId="303A5BC2" w:rsidR="001B0B5A" w:rsidRPr="001B0B5A" w:rsidRDefault="001B0B5A" w:rsidP="001B0B5A">
            <w:pPr>
              <w:spacing w:line="256" w:lineRule="auto"/>
              <w:jc w:val="right"/>
              <w:rPr>
                <w:rFonts w:cs="Arial"/>
                <w:sz w:val="16"/>
                <w:szCs w:val="16"/>
                <w:lang w:val="es-ES" w:eastAsia="en-US"/>
              </w:rPr>
            </w:pPr>
            <w:r w:rsidRPr="001B0B5A">
              <w:rPr>
                <w:sz w:val="16"/>
                <w:szCs w:val="16"/>
              </w:rPr>
              <w:t xml:space="preserve">1,348,776,235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EF6D43" w14:textId="066291E2" w:rsidR="001B0B5A" w:rsidRPr="001B0B5A" w:rsidRDefault="001B0B5A" w:rsidP="001B0B5A">
            <w:pPr>
              <w:spacing w:line="256" w:lineRule="auto"/>
              <w:jc w:val="right"/>
              <w:rPr>
                <w:rFonts w:cs="Arial"/>
                <w:sz w:val="16"/>
                <w:szCs w:val="16"/>
                <w:lang w:val="es-ES" w:eastAsia="en-US"/>
              </w:rPr>
            </w:pPr>
            <w:r w:rsidRPr="001B0B5A">
              <w:rPr>
                <w:sz w:val="16"/>
                <w:szCs w:val="16"/>
              </w:rPr>
              <w:t xml:space="preserve">12,009,772,961 </w:t>
            </w:r>
          </w:p>
        </w:tc>
      </w:tr>
      <w:tr w:rsidR="001B0B5A" w14:paraId="218EEE27" w14:textId="77777777" w:rsidTr="001B0B5A">
        <w:trPr>
          <w:trHeight w:val="22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10F20A95" w14:textId="77777777" w:rsidR="001B0B5A" w:rsidRDefault="001B0B5A" w:rsidP="001B0B5A">
            <w:pPr>
              <w:spacing w:line="256" w:lineRule="auto"/>
              <w:jc w:val="center"/>
              <w:rPr>
                <w:rFonts w:cs="Arial"/>
                <w:sz w:val="16"/>
                <w:szCs w:val="16"/>
                <w:lang w:val="es-ES" w:eastAsia="en-US"/>
              </w:rPr>
            </w:pPr>
            <w:r>
              <w:rPr>
                <w:rFonts w:cs="Arial"/>
                <w:sz w:val="16"/>
                <w:szCs w:val="16"/>
                <w:lang w:val="es-ES" w:eastAsia="en-US"/>
              </w:rPr>
              <w:t>26.</w:t>
            </w:r>
          </w:p>
        </w:tc>
        <w:tc>
          <w:tcPr>
            <w:tcW w:w="2688" w:type="dxa"/>
            <w:tcBorders>
              <w:top w:val="single" w:sz="4" w:space="0" w:color="auto"/>
              <w:left w:val="single" w:sz="4" w:space="0" w:color="auto"/>
              <w:bottom w:val="single" w:sz="4" w:space="0" w:color="auto"/>
              <w:right w:val="single" w:sz="4" w:space="0" w:color="auto"/>
            </w:tcBorders>
            <w:vAlign w:val="center"/>
            <w:hideMark/>
          </w:tcPr>
          <w:p w14:paraId="308CA483" w14:textId="77777777" w:rsidR="001B0B5A" w:rsidRDefault="001B0B5A" w:rsidP="001B0B5A">
            <w:pPr>
              <w:spacing w:line="256" w:lineRule="auto"/>
              <w:rPr>
                <w:rFonts w:cs="Arial"/>
                <w:sz w:val="16"/>
                <w:szCs w:val="16"/>
                <w:lang w:val="es-ES" w:eastAsia="en-US"/>
              </w:rPr>
            </w:pPr>
            <w:r>
              <w:rPr>
                <w:rFonts w:cs="Arial"/>
                <w:sz w:val="16"/>
                <w:szCs w:val="16"/>
                <w:lang w:val="es-ES" w:eastAsia="en-US"/>
              </w:rPr>
              <w:t>Recursos Estatales.</w:t>
            </w:r>
          </w:p>
        </w:tc>
        <w:tc>
          <w:tcPr>
            <w:tcW w:w="1424" w:type="dxa"/>
            <w:tcBorders>
              <w:top w:val="single" w:sz="4" w:space="0" w:color="auto"/>
              <w:left w:val="single" w:sz="4" w:space="0" w:color="auto"/>
              <w:bottom w:val="single" w:sz="4" w:space="0" w:color="auto"/>
              <w:right w:val="single" w:sz="4" w:space="0" w:color="auto"/>
            </w:tcBorders>
            <w:vAlign w:val="center"/>
            <w:hideMark/>
          </w:tcPr>
          <w:p w14:paraId="1E8FF9C7" w14:textId="5C1B8467" w:rsidR="001B0B5A" w:rsidRPr="001B0B5A" w:rsidRDefault="001B0B5A" w:rsidP="001B0B5A">
            <w:pPr>
              <w:spacing w:line="256" w:lineRule="auto"/>
              <w:jc w:val="right"/>
              <w:rPr>
                <w:rFonts w:cs="Arial"/>
                <w:sz w:val="16"/>
                <w:szCs w:val="16"/>
                <w:lang w:val="es-ES" w:eastAsia="en-US"/>
              </w:rPr>
            </w:pPr>
            <w:r w:rsidRPr="001B0B5A">
              <w:rPr>
                <w:sz w:val="16"/>
                <w:szCs w:val="16"/>
              </w:rPr>
              <w:t xml:space="preserve">0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6E0603" w14:textId="45FF961D" w:rsidR="001B0B5A" w:rsidRPr="001B0B5A" w:rsidRDefault="001B0B5A" w:rsidP="001B0B5A">
            <w:pPr>
              <w:spacing w:line="256" w:lineRule="auto"/>
              <w:jc w:val="right"/>
              <w:rPr>
                <w:rFonts w:cs="Arial"/>
                <w:sz w:val="16"/>
                <w:szCs w:val="16"/>
                <w:lang w:val="es-ES" w:eastAsia="en-US"/>
              </w:rPr>
            </w:pPr>
            <w:r w:rsidRPr="001B0B5A">
              <w:rPr>
                <w:sz w:val="16"/>
                <w:szCs w:val="16"/>
              </w:rPr>
              <w:t xml:space="preserve">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E955D7" w14:textId="0E9BAB46" w:rsidR="001B0B5A" w:rsidRPr="001B0B5A" w:rsidRDefault="001B0B5A" w:rsidP="001B0B5A">
            <w:pPr>
              <w:spacing w:line="256" w:lineRule="auto"/>
              <w:jc w:val="right"/>
              <w:rPr>
                <w:rFonts w:cs="Arial"/>
                <w:sz w:val="16"/>
                <w:szCs w:val="16"/>
                <w:lang w:val="es-ES" w:eastAsia="en-US"/>
              </w:rPr>
            </w:pPr>
            <w:r w:rsidRPr="001B0B5A">
              <w:rPr>
                <w:sz w:val="16"/>
                <w:szCs w:val="16"/>
              </w:rPr>
              <w:t xml:space="preserve">0 </w:t>
            </w:r>
          </w:p>
        </w:tc>
      </w:tr>
      <w:tr w:rsidR="001B0B5A" w14:paraId="212E142C" w14:textId="77777777" w:rsidTr="001B0B5A">
        <w:trPr>
          <w:trHeight w:val="22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035307DE" w14:textId="77777777" w:rsidR="001B0B5A" w:rsidRDefault="001B0B5A" w:rsidP="001B0B5A">
            <w:pPr>
              <w:spacing w:line="256" w:lineRule="auto"/>
              <w:jc w:val="center"/>
              <w:rPr>
                <w:rFonts w:cs="Arial"/>
                <w:sz w:val="16"/>
                <w:szCs w:val="16"/>
                <w:lang w:val="es-ES" w:eastAsia="en-US"/>
              </w:rPr>
            </w:pPr>
            <w:r>
              <w:rPr>
                <w:rFonts w:cs="Arial"/>
                <w:sz w:val="16"/>
                <w:szCs w:val="16"/>
                <w:lang w:val="es-ES" w:eastAsia="en-US"/>
              </w:rPr>
              <w:t>27.</w:t>
            </w:r>
          </w:p>
        </w:tc>
        <w:tc>
          <w:tcPr>
            <w:tcW w:w="2688" w:type="dxa"/>
            <w:tcBorders>
              <w:top w:val="single" w:sz="4" w:space="0" w:color="auto"/>
              <w:left w:val="single" w:sz="4" w:space="0" w:color="auto"/>
              <w:bottom w:val="single" w:sz="4" w:space="0" w:color="auto"/>
              <w:right w:val="single" w:sz="4" w:space="0" w:color="auto"/>
            </w:tcBorders>
            <w:vAlign w:val="center"/>
            <w:hideMark/>
          </w:tcPr>
          <w:p w14:paraId="23617DE2" w14:textId="77777777" w:rsidR="001B0B5A" w:rsidRDefault="001B0B5A" w:rsidP="001B0B5A">
            <w:pPr>
              <w:spacing w:line="256" w:lineRule="auto"/>
              <w:rPr>
                <w:rFonts w:cs="Arial"/>
                <w:sz w:val="16"/>
                <w:szCs w:val="16"/>
                <w:lang w:val="es-ES" w:eastAsia="en-US"/>
              </w:rPr>
            </w:pPr>
            <w:r>
              <w:rPr>
                <w:rFonts w:cs="Arial"/>
                <w:sz w:val="16"/>
                <w:szCs w:val="16"/>
                <w:lang w:val="es-ES" w:eastAsia="en-US"/>
              </w:rPr>
              <w:t>Otros Recursos de Transferencias Federales Etiquetadas.</w:t>
            </w:r>
          </w:p>
        </w:tc>
        <w:tc>
          <w:tcPr>
            <w:tcW w:w="1424" w:type="dxa"/>
            <w:tcBorders>
              <w:top w:val="single" w:sz="4" w:space="0" w:color="auto"/>
              <w:left w:val="single" w:sz="4" w:space="0" w:color="auto"/>
              <w:bottom w:val="single" w:sz="4" w:space="0" w:color="auto"/>
              <w:right w:val="single" w:sz="4" w:space="0" w:color="auto"/>
            </w:tcBorders>
            <w:vAlign w:val="center"/>
            <w:hideMark/>
          </w:tcPr>
          <w:p w14:paraId="6E26FD59" w14:textId="618722AC" w:rsidR="001B0B5A" w:rsidRPr="001B0B5A" w:rsidRDefault="001B0B5A" w:rsidP="001B0B5A">
            <w:pPr>
              <w:spacing w:line="256" w:lineRule="auto"/>
              <w:jc w:val="right"/>
              <w:rPr>
                <w:rFonts w:cs="Arial"/>
                <w:sz w:val="16"/>
                <w:szCs w:val="16"/>
                <w:lang w:val="es-ES" w:eastAsia="en-US"/>
              </w:rPr>
            </w:pPr>
            <w:r w:rsidRPr="001B0B5A">
              <w:rPr>
                <w:sz w:val="16"/>
                <w:szCs w:val="16"/>
              </w:rPr>
              <w:t xml:space="preserve">0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D243A7" w14:textId="6A2EC726" w:rsidR="001B0B5A" w:rsidRPr="001B0B5A" w:rsidRDefault="001B0B5A" w:rsidP="001B0B5A">
            <w:pPr>
              <w:spacing w:line="256" w:lineRule="auto"/>
              <w:jc w:val="right"/>
              <w:rPr>
                <w:rFonts w:cs="Arial"/>
                <w:sz w:val="16"/>
                <w:szCs w:val="16"/>
                <w:lang w:val="es-ES" w:eastAsia="en-US"/>
              </w:rPr>
            </w:pPr>
            <w:r w:rsidRPr="001B0B5A">
              <w:rPr>
                <w:sz w:val="16"/>
                <w:szCs w:val="16"/>
              </w:rPr>
              <w:t xml:space="preserve">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7A557A" w14:textId="14CFAB18" w:rsidR="001B0B5A" w:rsidRPr="001B0B5A" w:rsidRDefault="001B0B5A" w:rsidP="001B0B5A">
            <w:pPr>
              <w:spacing w:line="256" w:lineRule="auto"/>
              <w:jc w:val="right"/>
              <w:rPr>
                <w:rFonts w:cs="Arial"/>
                <w:sz w:val="16"/>
                <w:szCs w:val="16"/>
                <w:lang w:val="es-ES" w:eastAsia="en-US"/>
              </w:rPr>
            </w:pPr>
            <w:r w:rsidRPr="001B0B5A">
              <w:rPr>
                <w:sz w:val="16"/>
                <w:szCs w:val="16"/>
              </w:rPr>
              <w:t xml:space="preserve">0 </w:t>
            </w:r>
          </w:p>
        </w:tc>
      </w:tr>
      <w:tr w:rsidR="001B0B5A" w14:paraId="3F960A63" w14:textId="77777777" w:rsidTr="001B0B5A">
        <w:trPr>
          <w:trHeight w:val="227"/>
          <w:jc w:val="center"/>
        </w:trPr>
        <w:tc>
          <w:tcPr>
            <w:tcW w:w="566" w:type="dxa"/>
            <w:tcBorders>
              <w:top w:val="single" w:sz="4" w:space="0" w:color="auto"/>
              <w:left w:val="single" w:sz="4" w:space="0" w:color="auto"/>
              <w:bottom w:val="single" w:sz="4" w:space="0" w:color="auto"/>
              <w:right w:val="single" w:sz="4" w:space="0" w:color="auto"/>
            </w:tcBorders>
            <w:vAlign w:val="center"/>
          </w:tcPr>
          <w:p w14:paraId="7FC89035" w14:textId="77777777" w:rsidR="001B0B5A" w:rsidRDefault="001B0B5A" w:rsidP="001B0B5A">
            <w:pPr>
              <w:spacing w:line="256" w:lineRule="auto"/>
              <w:jc w:val="center"/>
              <w:rPr>
                <w:rFonts w:cs="Arial"/>
                <w:sz w:val="16"/>
                <w:szCs w:val="16"/>
                <w:lang w:val="es-ES" w:eastAsia="en-US"/>
              </w:rPr>
            </w:pPr>
          </w:p>
        </w:tc>
        <w:tc>
          <w:tcPr>
            <w:tcW w:w="2688" w:type="dxa"/>
            <w:tcBorders>
              <w:top w:val="single" w:sz="4" w:space="0" w:color="auto"/>
              <w:left w:val="single" w:sz="4" w:space="0" w:color="auto"/>
              <w:bottom w:val="single" w:sz="4" w:space="0" w:color="auto"/>
              <w:right w:val="single" w:sz="4" w:space="0" w:color="auto"/>
            </w:tcBorders>
            <w:vAlign w:val="center"/>
            <w:hideMark/>
          </w:tcPr>
          <w:p w14:paraId="4C51323F" w14:textId="77777777" w:rsidR="001B0B5A" w:rsidRDefault="001B0B5A" w:rsidP="001B0B5A">
            <w:pPr>
              <w:spacing w:line="256" w:lineRule="auto"/>
              <w:jc w:val="center"/>
              <w:rPr>
                <w:rFonts w:cs="Arial"/>
                <w:b/>
                <w:sz w:val="16"/>
                <w:szCs w:val="16"/>
                <w:lang w:val="es-ES" w:eastAsia="en-US"/>
              </w:rPr>
            </w:pPr>
            <w:r>
              <w:rPr>
                <w:rFonts w:cs="Arial"/>
                <w:b/>
                <w:sz w:val="16"/>
                <w:szCs w:val="16"/>
                <w:lang w:val="es-ES" w:eastAsia="en-US"/>
              </w:rPr>
              <w:t>Total</w:t>
            </w:r>
          </w:p>
        </w:tc>
        <w:tc>
          <w:tcPr>
            <w:tcW w:w="1424" w:type="dxa"/>
            <w:tcBorders>
              <w:top w:val="single" w:sz="4" w:space="0" w:color="auto"/>
              <w:left w:val="single" w:sz="4" w:space="0" w:color="auto"/>
              <w:bottom w:val="single" w:sz="4" w:space="0" w:color="auto"/>
              <w:right w:val="single" w:sz="4" w:space="0" w:color="auto"/>
            </w:tcBorders>
            <w:vAlign w:val="center"/>
            <w:hideMark/>
          </w:tcPr>
          <w:p w14:paraId="6201716D" w14:textId="1C3D44AE" w:rsidR="001B0B5A" w:rsidRPr="001B0B5A" w:rsidRDefault="001B0B5A" w:rsidP="001B0B5A">
            <w:pPr>
              <w:spacing w:line="256" w:lineRule="auto"/>
              <w:jc w:val="right"/>
              <w:rPr>
                <w:rFonts w:cs="Arial"/>
                <w:b/>
                <w:bCs/>
                <w:color w:val="000000"/>
                <w:sz w:val="16"/>
                <w:szCs w:val="16"/>
                <w:lang w:val="es-ES" w:eastAsia="en-US"/>
              </w:rPr>
            </w:pPr>
            <w:r w:rsidRPr="001B0B5A">
              <w:rPr>
                <w:b/>
                <w:bCs/>
                <w:sz w:val="16"/>
                <w:szCs w:val="16"/>
              </w:rPr>
              <w:t xml:space="preserve"> 16,868,856,185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695AEE" w14:textId="6273AFB3" w:rsidR="001B0B5A" w:rsidRPr="001B0B5A" w:rsidRDefault="001B0B5A" w:rsidP="001B0B5A">
            <w:pPr>
              <w:spacing w:line="256" w:lineRule="auto"/>
              <w:jc w:val="right"/>
              <w:rPr>
                <w:rFonts w:cs="Arial"/>
                <w:b/>
                <w:bCs/>
                <w:color w:val="000000"/>
                <w:sz w:val="16"/>
                <w:szCs w:val="16"/>
                <w:lang w:val="es-ES" w:eastAsia="en-US"/>
              </w:rPr>
            </w:pPr>
            <w:r w:rsidRPr="001B0B5A">
              <w:rPr>
                <w:b/>
                <w:bCs/>
                <w:sz w:val="16"/>
                <w:szCs w:val="16"/>
              </w:rPr>
              <w:t xml:space="preserve">6,135,274,094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D251BA" w14:textId="2BD9DD89" w:rsidR="001B0B5A" w:rsidRPr="001B0B5A" w:rsidRDefault="001B0B5A" w:rsidP="001B0B5A">
            <w:pPr>
              <w:spacing w:line="256" w:lineRule="auto"/>
              <w:jc w:val="right"/>
              <w:rPr>
                <w:rFonts w:cs="Arial"/>
                <w:b/>
                <w:bCs/>
                <w:color w:val="000000"/>
                <w:sz w:val="16"/>
                <w:szCs w:val="16"/>
                <w:lang w:val="es-ES" w:eastAsia="en-US"/>
              </w:rPr>
            </w:pPr>
            <w:r w:rsidRPr="001B0B5A">
              <w:rPr>
                <w:b/>
                <w:bCs/>
                <w:sz w:val="16"/>
                <w:szCs w:val="16"/>
              </w:rPr>
              <w:t xml:space="preserve"> 23,004,130,279 </w:t>
            </w:r>
          </w:p>
        </w:tc>
      </w:tr>
    </w:tbl>
    <w:p w14:paraId="34F57EC0" w14:textId="77777777" w:rsidR="00A41077" w:rsidRDefault="00A41077" w:rsidP="00BF5974">
      <w:pPr>
        <w:rPr>
          <w:rFonts w:cs="Arial"/>
          <w:b/>
          <w:lang w:val="es-ES"/>
        </w:rPr>
      </w:pPr>
    </w:p>
    <w:p w14:paraId="378C8735" w14:textId="77777777" w:rsidR="00BF5974" w:rsidRDefault="00BF5974" w:rsidP="00BF5974">
      <w:pPr>
        <w:rPr>
          <w:rFonts w:cs="Arial"/>
          <w:lang w:val="es-ES"/>
        </w:rPr>
      </w:pPr>
      <w:r>
        <w:rPr>
          <w:rFonts w:cs="Arial"/>
          <w:lang w:val="es-ES"/>
        </w:rPr>
        <w:lastRenderedPageBreak/>
        <w:t xml:space="preserve">V. La </w:t>
      </w:r>
      <w:r>
        <w:rPr>
          <w:rFonts w:cs="Arial"/>
          <w:b/>
          <w:lang w:val="es-ES"/>
        </w:rPr>
        <w:t>Clasificación por Tipo de Gasto</w:t>
      </w:r>
      <w:r>
        <w:rPr>
          <w:rFonts w:cs="Arial"/>
          <w:lang w:val="es-ES"/>
        </w:rPr>
        <w:t>, es la siguiente:</w:t>
      </w:r>
    </w:p>
    <w:p w14:paraId="252BD7E5" w14:textId="77777777" w:rsidR="00BF5974" w:rsidRDefault="00BF5974" w:rsidP="00BF5974">
      <w:pPr>
        <w:keepNext/>
        <w:keepLines/>
        <w:jc w:val="center"/>
        <w:outlineLvl w:val="1"/>
        <w:rPr>
          <w:rFonts w:eastAsia="Times New Roman" w:cs="Arial"/>
          <w:b/>
          <w:lang w:val="es-ES"/>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078"/>
        <w:gridCol w:w="1330"/>
        <w:gridCol w:w="1275"/>
        <w:gridCol w:w="1418"/>
      </w:tblGrid>
      <w:tr w:rsidR="00BF5974" w14:paraId="6CD14B17" w14:textId="77777777" w:rsidTr="00BF5974">
        <w:trPr>
          <w:trHeight w:val="227"/>
          <w:tblHeader/>
        </w:trPr>
        <w:tc>
          <w:tcPr>
            <w:tcW w:w="8647" w:type="dxa"/>
            <w:gridSpan w:val="5"/>
            <w:tcBorders>
              <w:top w:val="nil"/>
              <w:left w:val="nil"/>
              <w:bottom w:val="single" w:sz="4" w:space="0" w:color="auto"/>
              <w:right w:val="nil"/>
            </w:tcBorders>
            <w:vAlign w:val="center"/>
            <w:hideMark/>
          </w:tcPr>
          <w:p w14:paraId="1E06254A" w14:textId="77777777" w:rsidR="00BF5974" w:rsidRDefault="00BF5974">
            <w:pPr>
              <w:spacing w:line="256" w:lineRule="auto"/>
              <w:jc w:val="center"/>
              <w:rPr>
                <w:rFonts w:cs="Arial"/>
                <w:b/>
                <w:bCs/>
                <w:sz w:val="20"/>
                <w:lang w:val="es-ES" w:eastAsia="en-US"/>
              </w:rPr>
            </w:pPr>
            <w:bookmarkStart w:id="340" w:name="_Toc22983261"/>
            <w:bookmarkStart w:id="341" w:name="_Toc22022027"/>
            <w:r>
              <w:rPr>
                <w:rFonts w:eastAsia="Times New Roman" w:cs="Arial"/>
                <w:b/>
                <w:sz w:val="20"/>
                <w:lang w:val="es-ES" w:eastAsia="en-US"/>
              </w:rPr>
              <w:t>Tabla 71. Clasificación por Tipo de Gasto</w:t>
            </w:r>
            <w:bookmarkEnd w:id="340"/>
            <w:bookmarkEnd w:id="341"/>
          </w:p>
        </w:tc>
      </w:tr>
      <w:tr w:rsidR="00BF5974" w14:paraId="6A4E34AA" w14:textId="77777777" w:rsidTr="00BF5974">
        <w:trPr>
          <w:trHeight w:val="227"/>
          <w:tblHeader/>
        </w:trPr>
        <w:tc>
          <w:tcPr>
            <w:tcW w:w="546" w:type="dxa"/>
            <w:tcBorders>
              <w:top w:val="single" w:sz="4" w:space="0" w:color="auto"/>
              <w:left w:val="single" w:sz="4" w:space="0" w:color="auto"/>
              <w:bottom w:val="single" w:sz="4" w:space="0" w:color="auto"/>
              <w:right w:val="single" w:sz="4" w:space="0" w:color="auto"/>
            </w:tcBorders>
            <w:vAlign w:val="center"/>
            <w:hideMark/>
          </w:tcPr>
          <w:p w14:paraId="343AAEF0" w14:textId="77777777" w:rsidR="00BF5974" w:rsidRDefault="00BF5974">
            <w:pPr>
              <w:spacing w:line="256" w:lineRule="auto"/>
              <w:jc w:val="center"/>
              <w:rPr>
                <w:rFonts w:cs="Arial"/>
                <w:b/>
                <w:sz w:val="16"/>
                <w:szCs w:val="20"/>
                <w:lang w:val="es-ES" w:eastAsia="en-US"/>
              </w:rPr>
            </w:pPr>
            <w:r>
              <w:rPr>
                <w:rFonts w:cs="Arial"/>
                <w:b/>
                <w:sz w:val="16"/>
                <w:szCs w:val="20"/>
                <w:lang w:val="es-ES" w:eastAsia="en-US"/>
              </w:rPr>
              <w:t>No.</w:t>
            </w:r>
          </w:p>
        </w:tc>
        <w:tc>
          <w:tcPr>
            <w:tcW w:w="4078" w:type="dxa"/>
            <w:tcBorders>
              <w:top w:val="single" w:sz="4" w:space="0" w:color="auto"/>
              <w:left w:val="single" w:sz="4" w:space="0" w:color="auto"/>
              <w:bottom w:val="single" w:sz="4" w:space="0" w:color="auto"/>
              <w:right w:val="single" w:sz="4" w:space="0" w:color="auto"/>
            </w:tcBorders>
            <w:vAlign w:val="center"/>
            <w:hideMark/>
          </w:tcPr>
          <w:p w14:paraId="4A55F126" w14:textId="77777777" w:rsidR="00BF5974" w:rsidRDefault="00BF5974">
            <w:pPr>
              <w:spacing w:line="256" w:lineRule="auto"/>
              <w:jc w:val="center"/>
              <w:rPr>
                <w:rFonts w:cs="Arial"/>
                <w:b/>
                <w:sz w:val="16"/>
                <w:szCs w:val="20"/>
                <w:lang w:val="es-ES" w:eastAsia="en-US"/>
              </w:rPr>
            </w:pPr>
            <w:r>
              <w:rPr>
                <w:rFonts w:cs="Arial"/>
                <w:b/>
                <w:sz w:val="16"/>
                <w:szCs w:val="20"/>
                <w:lang w:val="es-ES" w:eastAsia="en-US"/>
              </w:rPr>
              <w:t>Categorías</w:t>
            </w:r>
          </w:p>
        </w:tc>
        <w:tc>
          <w:tcPr>
            <w:tcW w:w="1330" w:type="dxa"/>
            <w:tcBorders>
              <w:top w:val="single" w:sz="4" w:space="0" w:color="auto"/>
              <w:left w:val="single" w:sz="4" w:space="0" w:color="auto"/>
              <w:bottom w:val="single" w:sz="4" w:space="0" w:color="auto"/>
              <w:right w:val="single" w:sz="4" w:space="0" w:color="auto"/>
            </w:tcBorders>
            <w:vAlign w:val="center"/>
            <w:hideMark/>
          </w:tcPr>
          <w:p w14:paraId="5E110EFA" w14:textId="77777777" w:rsidR="00BF5974" w:rsidRDefault="00BF5974">
            <w:pPr>
              <w:spacing w:line="256" w:lineRule="auto"/>
              <w:jc w:val="center"/>
              <w:rPr>
                <w:rFonts w:cs="Arial"/>
                <w:b/>
                <w:bCs/>
                <w:sz w:val="16"/>
                <w:szCs w:val="20"/>
                <w:lang w:val="es-ES" w:eastAsia="en-US"/>
              </w:rPr>
            </w:pPr>
            <w:r>
              <w:rPr>
                <w:rFonts w:cs="Arial"/>
                <w:b/>
                <w:sz w:val="16"/>
                <w:szCs w:val="20"/>
                <w:lang w:val="es-ES" w:eastAsia="en-US"/>
              </w:rPr>
              <w:t>Gasto Programable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78744C" w14:textId="77777777" w:rsidR="00BF5974" w:rsidRDefault="00BF5974">
            <w:pPr>
              <w:spacing w:line="256" w:lineRule="auto"/>
              <w:jc w:val="center"/>
              <w:rPr>
                <w:rFonts w:cs="Arial"/>
                <w:b/>
                <w:bCs/>
                <w:sz w:val="16"/>
                <w:szCs w:val="20"/>
                <w:lang w:val="es-ES" w:eastAsia="en-US"/>
              </w:rPr>
            </w:pPr>
            <w:r>
              <w:rPr>
                <w:rFonts w:cs="Arial"/>
                <w:b/>
                <w:sz w:val="16"/>
                <w:szCs w:val="20"/>
                <w:lang w:val="es-ES" w:eastAsia="en-US"/>
              </w:rPr>
              <w:t>Gasto No Programable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125B87" w14:textId="77777777" w:rsidR="00BF5974" w:rsidRDefault="00BF5974">
            <w:pPr>
              <w:spacing w:line="256" w:lineRule="auto"/>
              <w:jc w:val="center"/>
              <w:rPr>
                <w:rFonts w:cs="Arial"/>
                <w:b/>
                <w:sz w:val="16"/>
                <w:szCs w:val="20"/>
                <w:lang w:val="es-ES" w:eastAsia="en-US"/>
              </w:rPr>
            </w:pPr>
            <w:r>
              <w:rPr>
                <w:rFonts w:cs="Arial"/>
                <w:b/>
                <w:bCs/>
                <w:sz w:val="16"/>
                <w:szCs w:val="20"/>
                <w:lang w:val="es-ES" w:eastAsia="en-US"/>
              </w:rPr>
              <w:t>Asignación Presupuestal</w:t>
            </w:r>
          </w:p>
        </w:tc>
      </w:tr>
      <w:tr w:rsidR="00A41077" w14:paraId="792E4BE9" w14:textId="77777777" w:rsidTr="00BF5974">
        <w:trPr>
          <w:trHeight w:val="227"/>
        </w:trPr>
        <w:tc>
          <w:tcPr>
            <w:tcW w:w="546" w:type="dxa"/>
            <w:tcBorders>
              <w:top w:val="single" w:sz="4" w:space="0" w:color="auto"/>
              <w:left w:val="single" w:sz="4" w:space="0" w:color="auto"/>
              <w:bottom w:val="single" w:sz="4" w:space="0" w:color="auto"/>
              <w:right w:val="single" w:sz="4" w:space="0" w:color="auto"/>
            </w:tcBorders>
            <w:hideMark/>
          </w:tcPr>
          <w:p w14:paraId="554749CE" w14:textId="77777777" w:rsidR="00A41077" w:rsidRDefault="00A41077" w:rsidP="00A41077">
            <w:pPr>
              <w:spacing w:line="256" w:lineRule="auto"/>
              <w:jc w:val="center"/>
              <w:rPr>
                <w:rFonts w:cs="Arial"/>
                <w:sz w:val="16"/>
                <w:szCs w:val="20"/>
                <w:lang w:val="es-ES" w:eastAsia="en-US"/>
              </w:rPr>
            </w:pPr>
            <w:r>
              <w:rPr>
                <w:rFonts w:cs="Arial"/>
                <w:sz w:val="16"/>
                <w:szCs w:val="20"/>
                <w:lang w:val="es-ES" w:eastAsia="en-US"/>
              </w:rPr>
              <w:t>1</w:t>
            </w:r>
          </w:p>
        </w:tc>
        <w:tc>
          <w:tcPr>
            <w:tcW w:w="4078" w:type="dxa"/>
            <w:tcBorders>
              <w:top w:val="single" w:sz="4" w:space="0" w:color="auto"/>
              <w:left w:val="single" w:sz="4" w:space="0" w:color="auto"/>
              <w:bottom w:val="single" w:sz="4" w:space="0" w:color="auto"/>
              <w:right w:val="single" w:sz="4" w:space="0" w:color="auto"/>
            </w:tcBorders>
            <w:vAlign w:val="center"/>
            <w:hideMark/>
          </w:tcPr>
          <w:p w14:paraId="2AE73AD4" w14:textId="77777777" w:rsidR="00A41077" w:rsidRDefault="00A41077" w:rsidP="00A41077">
            <w:pPr>
              <w:spacing w:line="256" w:lineRule="auto"/>
              <w:rPr>
                <w:rFonts w:cs="Arial"/>
                <w:sz w:val="16"/>
                <w:szCs w:val="20"/>
                <w:lang w:val="es-ES" w:eastAsia="en-US"/>
              </w:rPr>
            </w:pPr>
            <w:r>
              <w:rPr>
                <w:rFonts w:cs="Arial"/>
                <w:sz w:val="16"/>
                <w:szCs w:val="20"/>
                <w:lang w:val="es-ES" w:eastAsia="en-US"/>
              </w:rPr>
              <w:t>Gasto Corriente.</w:t>
            </w:r>
          </w:p>
        </w:tc>
        <w:tc>
          <w:tcPr>
            <w:tcW w:w="1330" w:type="dxa"/>
            <w:tcBorders>
              <w:top w:val="single" w:sz="4" w:space="0" w:color="auto"/>
              <w:left w:val="single" w:sz="4" w:space="0" w:color="auto"/>
              <w:bottom w:val="single" w:sz="4" w:space="0" w:color="auto"/>
              <w:right w:val="single" w:sz="4" w:space="0" w:color="auto"/>
            </w:tcBorders>
            <w:vAlign w:val="center"/>
            <w:hideMark/>
          </w:tcPr>
          <w:p w14:paraId="03C8AC70" w14:textId="7030274B" w:rsidR="00A41077" w:rsidRDefault="00A41077" w:rsidP="00A41077">
            <w:pPr>
              <w:spacing w:line="256" w:lineRule="auto"/>
              <w:jc w:val="right"/>
              <w:rPr>
                <w:rFonts w:cs="Arial"/>
                <w:sz w:val="16"/>
                <w:szCs w:val="20"/>
                <w:lang w:val="es-ES" w:eastAsia="en-US"/>
              </w:rPr>
            </w:pPr>
            <w:r>
              <w:rPr>
                <w:rFonts w:cs="Arial"/>
                <w:color w:val="000000"/>
                <w:sz w:val="16"/>
                <w:szCs w:val="16"/>
              </w:rPr>
              <w:t xml:space="preserve">15,911,518,836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8BFADC" w14:textId="43A8B0F8" w:rsidR="00A41077" w:rsidRDefault="00A41077" w:rsidP="00A41077">
            <w:pPr>
              <w:spacing w:line="256" w:lineRule="auto"/>
              <w:jc w:val="right"/>
              <w:rPr>
                <w:rFonts w:cs="Arial"/>
                <w:sz w:val="16"/>
                <w:szCs w:val="20"/>
                <w:lang w:val="es-ES" w:eastAsia="en-US"/>
              </w:rPr>
            </w:pPr>
            <w:r>
              <w:rPr>
                <w:rFonts w:cs="Arial"/>
                <w:color w:val="000000"/>
                <w:sz w:val="16"/>
                <w:szCs w:val="16"/>
              </w:rPr>
              <w:t xml:space="preserve">985,932,804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23B046" w14:textId="64384917" w:rsidR="00A41077" w:rsidRDefault="00A41077" w:rsidP="00A41077">
            <w:pPr>
              <w:spacing w:line="256" w:lineRule="auto"/>
              <w:jc w:val="right"/>
              <w:rPr>
                <w:rFonts w:cs="Arial"/>
                <w:sz w:val="16"/>
                <w:szCs w:val="20"/>
                <w:lang w:val="es-ES" w:eastAsia="en-US"/>
              </w:rPr>
            </w:pPr>
            <w:r>
              <w:rPr>
                <w:rFonts w:cs="Arial"/>
                <w:color w:val="000000"/>
                <w:sz w:val="16"/>
                <w:szCs w:val="16"/>
              </w:rPr>
              <w:t xml:space="preserve">16,897,451,640 </w:t>
            </w:r>
          </w:p>
        </w:tc>
      </w:tr>
      <w:tr w:rsidR="00A41077" w14:paraId="21EF0292" w14:textId="77777777" w:rsidTr="00BF5974">
        <w:trPr>
          <w:trHeight w:val="227"/>
        </w:trPr>
        <w:tc>
          <w:tcPr>
            <w:tcW w:w="546" w:type="dxa"/>
            <w:tcBorders>
              <w:top w:val="single" w:sz="4" w:space="0" w:color="auto"/>
              <w:left w:val="single" w:sz="4" w:space="0" w:color="auto"/>
              <w:bottom w:val="single" w:sz="4" w:space="0" w:color="auto"/>
              <w:right w:val="single" w:sz="4" w:space="0" w:color="auto"/>
            </w:tcBorders>
            <w:hideMark/>
          </w:tcPr>
          <w:p w14:paraId="00232BB9" w14:textId="77777777" w:rsidR="00A41077" w:rsidRDefault="00A41077" w:rsidP="00A41077">
            <w:pPr>
              <w:spacing w:line="256" w:lineRule="auto"/>
              <w:jc w:val="center"/>
              <w:rPr>
                <w:rFonts w:cs="Arial"/>
                <w:sz w:val="16"/>
                <w:szCs w:val="20"/>
                <w:lang w:val="es-ES" w:eastAsia="en-US"/>
              </w:rPr>
            </w:pPr>
            <w:r>
              <w:rPr>
                <w:rFonts w:cs="Arial"/>
                <w:sz w:val="16"/>
                <w:szCs w:val="20"/>
                <w:lang w:val="es-ES" w:eastAsia="en-US"/>
              </w:rPr>
              <w:t>2</w:t>
            </w:r>
          </w:p>
        </w:tc>
        <w:tc>
          <w:tcPr>
            <w:tcW w:w="4078" w:type="dxa"/>
            <w:tcBorders>
              <w:top w:val="single" w:sz="4" w:space="0" w:color="auto"/>
              <w:left w:val="single" w:sz="4" w:space="0" w:color="auto"/>
              <w:bottom w:val="single" w:sz="4" w:space="0" w:color="auto"/>
              <w:right w:val="single" w:sz="4" w:space="0" w:color="auto"/>
            </w:tcBorders>
            <w:vAlign w:val="center"/>
            <w:hideMark/>
          </w:tcPr>
          <w:p w14:paraId="60511845" w14:textId="77777777" w:rsidR="00A41077" w:rsidRDefault="00A41077" w:rsidP="00A41077">
            <w:pPr>
              <w:spacing w:line="256" w:lineRule="auto"/>
              <w:rPr>
                <w:rFonts w:cs="Arial"/>
                <w:sz w:val="16"/>
                <w:szCs w:val="20"/>
                <w:lang w:val="es-ES" w:eastAsia="en-US"/>
              </w:rPr>
            </w:pPr>
            <w:r>
              <w:rPr>
                <w:rFonts w:cs="Arial"/>
                <w:sz w:val="16"/>
                <w:szCs w:val="20"/>
                <w:lang w:val="es-ES" w:eastAsia="en-US"/>
              </w:rPr>
              <w:t>Gasto de Capital.</w:t>
            </w:r>
          </w:p>
        </w:tc>
        <w:tc>
          <w:tcPr>
            <w:tcW w:w="1330" w:type="dxa"/>
            <w:tcBorders>
              <w:top w:val="single" w:sz="4" w:space="0" w:color="auto"/>
              <w:left w:val="single" w:sz="4" w:space="0" w:color="auto"/>
              <w:bottom w:val="single" w:sz="4" w:space="0" w:color="auto"/>
              <w:right w:val="single" w:sz="4" w:space="0" w:color="auto"/>
            </w:tcBorders>
            <w:vAlign w:val="center"/>
            <w:hideMark/>
          </w:tcPr>
          <w:p w14:paraId="221CF486" w14:textId="12246868" w:rsidR="00A41077" w:rsidRDefault="00A41077" w:rsidP="00A41077">
            <w:pPr>
              <w:spacing w:line="256" w:lineRule="auto"/>
              <w:jc w:val="right"/>
              <w:rPr>
                <w:rFonts w:cs="Arial"/>
                <w:sz w:val="16"/>
                <w:szCs w:val="20"/>
                <w:lang w:val="es-ES" w:eastAsia="en-US"/>
              </w:rPr>
            </w:pPr>
            <w:r>
              <w:rPr>
                <w:rFonts w:cs="Arial"/>
                <w:color w:val="000000"/>
                <w:sz w:val="16"/>
                <w:szCs w:val="16"/>
              </w:rPr>
              <w:t xml:space="preserve">590,479,250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DD784B" w14:textId="5EA7E19D" w:rsidR="00A41077" w:rsidRDefault="00A41077" w:rsidP="00A41077">
            <w:pPr>
              <w:spacing w:line="256" w:lineRule="auto"/>
              <w:jc w:val="right"/>
              <w:rPr>
                <w:rFonts w:cs="Arial"/>
                <w:sz w:val="16"/>
                <w:szCs w:val="20"/>
                <w:lang w:val="es-ES" w:eastAsia="en-US"/>
              </w:rPr>
            </w:pPr>
            <w:r>
              <w:rPr>
                <w:rFonts w:cs="Arial"/>
                <w:color w:val="000000"/>
                <w:sz w:val="16"/>
                <w:szCs w:val="16"/>
              </w:rPr>
              <w:t xml:space="preserve">1,800,000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5CB742" w14:textId="004FA384" w:rsidR="00A41077" w:rsidRDefault="00A41077" w:rsidP="00A41077">
            <w:pPr>
              <w:spacing w:line="256" w:lineRule="auto"/>
              <w:jc w:val="right"/>
              <w:rPr>
                <w:rFonts w:cs="Arial"/>
                <w:sz w:val="16"/>
                <w:szCs w:val="20"/>
                <w:lang w:val="es-ES" w:eastAsia="en-US"/>
              </w:rPr>
            </w:pPr>
            <w:r>
              <w:rPr>
                <w:rFonts w:cs="Arial"/>
                <w:color w:val="000000"/>
                <w:sz w:val="16"/>
                <w:szCs w:val="16"/>
              </w:rPr>
              <w:t xml:space="preserve">592,279,250 </w:t>
            </w:r>
          </w:p>
        </w:tc>
      </w:tr>
      <w:tr w:rsidR="00A41077" w14:paraId="543EF4FA" w14:textId="77777777" w:rsidTr="00BF5974">
        <w:trPr>
          <w:trHeight w:val="227"/>
        </w:trPr>
        <w:tc>
          <w:tcPr>
            <w:tcW w:w="546" w:type="dxa"/>
            <w:tcBorders>
              <w:top w:val="single" w:sz="4" w:space="0" w:color="auto"/>
              <w:left w:val="single" w:sz="4" w:space="0" w:color="auto"/>
              <w:bottom w:val="single" w:sz="4" w:space="0" w:color="auto"/>
              <w:right w:val="single" w:sz="4" w:space="0" w:color="auto"/>
            </w:tcBorders>
            <w:hideMark/>
          </w:tcPr>
          <w:p w14:paraId="6942593A" w14:textId="77777777" w:rsidR="00A41077" w:rsidRDefault="00A41077" w:rsidP="00A41077">
            <w:pPr>
              <w:spacing w:line="256" w:lineRule="auto"/>
              <w:jc w:val="center"/>
              <w:rPr>
                <w:rFonts w:cs="Arial"/>
                <w:sz w:val="16"/>
                <w:szCs w:val="20"/>
                <w:lang w:val="es-ES" w:eastAsia="en-US"/>
              </w:rPr>
            </w:pPr>
            <w:r>
              <w:rPr>
                <w:rFonts w:cs="Arial"/>
                <w:sz w:val="16"/>
                <w:szCs w:val="20"/>
                <w:lang w:val="es-ES" w:eastAsia="en-US"/>
              </w:rPr>
              <w:t>3</w:t>
            </w:r>
          </w:p>
        </w:tc>
        <w:tc>
          <w:tcPr>
            <w:tcW w:w="4078" w:type="dxa"/>
            <w:tcBorders>
              <w:top w:val="single" w:sz="4" w:space="0" w:color="auto"/>
              <w:left w:val="single" w:sz="4" w:space="0" w:color="auto"/>
              <w:bottom w:val="single" w:sz="4" w:space="0" w:color="auto"/>
              <w:right w:val="single" w:sz="4" w:space="0" w:color="auto"/>
            </w:tcBorders>
            <w:vAlign w:val="center"/>
            <w:hideMark/>
          </w:tcPr>
          <w:p w14:paraId="3165FD22" w14:textId="77777777" w:rsidR="00A41077" w:rsidRDefault="00A41077" w:rsidP="00A41077">
            <w:pPr>
              <w:spacing w:line="256" w:lineRule="auto"/>
              <w:rPr>
                <w:rFonts w:cs="Arial"/>
                <w:sz w:val="16"/>
                <w:szCs w:val="20"/>
                <w:lang w:val="es-ES" w:eastAsia="en-US"/>
              </w:rPr>
            </w:pPr>
            <w:r>
              <w:rPr>
                <w:rFonts w:cs="Arial"/>
                <w:sz w:val="16"/>
                <w:szCs w:val="20"/>
                <w:lang w:val="es-ES" w:eastAsia="en-US"/>
              </w:rPr>
              <w:t>Amortización de la Deuda y Disminución de Pasivos.</w:t>
            </w:r>
          </w:p>
        </w:tc>
        <w:tc>
          <w:tcPr>
            <w:tcW w:w="1330" w:type="dxa"/>
            <w:tcBorders>
              <w:top w:val="single" w:sz="4" w:space="0" w:color="auto"/>
              <w:left w:val="single" w:sz="4" w:space="0" w:color="auto"/>
              <w:bottom w:val="single" w:sz="4" w:space="0" w:color="auto"/>
              <w:right w:val="single" w:sz="4" w:space="0" w:color="auto"/>
            </w:tcBorders>
            <w:vAlign w:val="center"/>
            <w:hideMark/>
          </w:tcPr>
          <w:p w14:paraId="30ACCCE1" w14:textId="6E747E5B" w:rsidR="00A41077" w:rsidRDefault="00A41077" w:rsidP="00A41077">
            <w:pPr>
              <w:spacing w:line="256" w:lineRule="auto"/>
              <w:jc w:val="right"/>
              <w:rPr>
                <w:rFonts w:cs="Arial"/>
                <w:sz w:val="16"/>
                <w:szCs w:val="20"/>
                <w:lang w:val="es-ES" w:eastAsia="en-US"/>
              </w:rPr>
            </w:pPr>
            <w:r>
              <w:rPr>
                <w:rFonts w:cs="Arial"/>
                <w:color w:val="000000"/>
                <w:sz w:val="16"/>
                <w:szCs w:val="16"/>
              </w:rPr>
              <w:t xml:space="preserve">366,858,099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3CB12C" w14:textId="2427E870" w:rsidR="00A41077" w:rsidRDefault="00A41077" w:rsidP="00A41077">
            <w:pPr>
              <w:spacing w:line="256" w:lineRule="auto"/>
              <w:jc w:val="right"/>
              <w:rPr>
                <w:rFonts w:cs="Arial"/>
                <w:sz w:val="16"/>
                <w:szCs w:val="20"/>
                <w:lang w:val="es-ES" w:eastAsia="en-US"/>
              </w:rPr>
            </w:pPr>
            <w:r>
              <w:rPr>
                <w:rFonts w:cs="Arial"/>
                <w:color w:val="000000"/>
                <w:sz w:val="16"/>
                <w:szCs w:val="16"/>
              </w:rPr>
              <w:t xml:space="preserve">556,533,459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65D23A" w14:textId="4C06F4CB" w:rsidR="00A41077" w:rsidRDefault="00A41077" w:rsidP="00A41077">
            <w:pPr>
              <w:spacing w:line="256" w:lineRule="auto"/>
              <w:jc w:val="right"/>
              <w:rPr>
                <w:rFonts w:cs="Arial"/>
                <w:sz w:val="16"/>
                <w:szCs w:val="20"/>
                <w:lang w:val="es-ES" w:eastAsia="en-US"/>
              </w:rPr>
            </w:pPr>
            <w:r>
              <w:rPr>
                <w:rFonts w:cs="Arial"/>
                <w:color w:val="000000"/>
                <w:sz w:val="16"/>
                <w:szCs w:val="16"/>
              </w:rPr>
              <w:t xml:space="preserve">923,391,558 </w:t>
            </w:r>
          </w:p>
        </w:tc>
      </w:tr>
      <w:tr w:rsidR="00A41077" w14:paraId="02B444FB" w14:textId="77777777" w:rsidTr="00BF5974">
        <w:trPr>
          <w:trHeight w:val="227"/>
        </w:trPr>
        <w:tc>
          <w:tcPr>
            <w:tcW w:w="546" w:type="dxa"/>
            <w:tcBorders>
              <w:top w:val="single" w:sz="4" w:space="0" w:color="auto"/>
              <w:left w:val="single" w:sz="4" w:space="0" w:color="auto"/>
              <w:bottom w:val="single" w:sz="4" w:space="0" w:color="auto"/>
              <w:right w:val="single" w:sz="4" w:space="0" w:color="auto"/>
            </w:tcBorders>
            <w:hideMark/>
          </w:tcPr>
          <w:p w14:paraId="0E4908F8" w14:textId="77777777" w:rsidR="00A41077" w:rsidRDefault="00A41077" w:rsidP="00A41077">
            <w:pPr>
              <w:spacing w:line="256" w:lineRule="auto"/>
              <w:jc w:val="center"/>
              <w:rPr>
                <w:rFonts w:cs="Arial"/>
                <w:sz w:val="16"/>
                <w:szCs w:val="20"/>
                <w:lang w:val="es-ES" w:eastAsia="en-US"/>
              </w:rPr>
            </w:pPr>
            <w:r>
              <w:rPr>
                <w:rFonts w:cs="Arial"/>
                <w:sz w:val="16"/>
                <w:szCs w:val="20"/>
                <w:lang w:val="es-ES" w:eastAsia="en-US"/>
              </w:rPr>
              <w:t>4</w:t>
            </w:r>
          </w:p>
        </w:tc>
        <w:tc>
          <w:tcPr>
            <w:tcW w:w="4078" w:type="dxa"/>
            <w:tcBorders>
              <w:top w:val="single" w:sz="4" w:space="0" w:color="auto"/>
              <w:left w:val="single" w:sz="4" w:space="0" w:color="auto"/>
              <w:bottom w:val="single" w:sz="4" w:space="0" w:color="auto"/>
              <w:right w:val="single" w:sz="4" w:space="0" w:color="auto"/>
            </w:tcBorders>
            <w:vAlign w:val="center"/>
            <w:hideMark/>
          </w:tcPr>
          <w:p w14:paraId="22E9C605" w14:textId="77777777" w:rsidR="00A41077" w:rsidRDefault="00A41077" w:rsidP="00A41077">
            <w:pPr>
              <w:spacing w:line="256" w:lineRule="auto"/>
              <w:rPr>
                <w:rFonts w:cs="Arial"/>
                <w:sz w:val="16"/>
                <w:szCs w:val="20"/>
                <w:lang w:val="es-ES" w:eastAsia="en-US"/>
              </w:rPr>
            </w:pPr>
            <w:r>
              <w:rPr>
                <w:rFonts w:cs="Arial"/>
                <w:sz w:val="16"/>
                <w:szCs w:val="20"/>
                <w:lang w:val="es-ES" w:eastAsia="en-US"/>
              </w:rPr>
              <w:t>Pensiones y Jubilaciones.</w:t>
            </w:r>
          </w:p>
        </w:tc>
        <w:tc>
          <w:tcPr>
            <w:tcW w:w="1330" w:type="dxa"/>
            <w:tcBorders>
              <w:top w:val="single" w:sz="4" w:space="0" w:color="auto"/>
              <w:left w:val="single" w:sz="4" w:space="0" w:color="auto"/>
              <w:bottom w:val="single" w:sz="4" w:space="0" w:color="auto"/>
              <w:right w:val="single" w:sz="4" w:space="0" w:color="auto"/>
            </w:tcBorders>
            <w:vAlign w:val="center"/>
            <w:hideMark/>
          </w:tcPr>
          <w:p w14:paraId="7D5E82EE" w14:textId="45E98EB5" w:rsidR="00A41077" w:rsidRDefault="00A41077" w:rsidP="00A41077">
            <w:pPr>
              <w:spacing w:line="256" w:lineRule="auto"/>
              <w:jc w:val="right"/>
              <w:rPr>
                <w:rFonts w:cs="Arial"/>
                <w:sz w:val="16"/>
                <w:szCs w:val="20"/>
                <w:lang w:val="es-ES" w:eastAsia="en-US"/>
              </w:rPr>
            </w:pPr>
            <w:r>
              <w:rPr>
                <w:rFonts w:cs="Arial"/>
                <w:color w:val="000000"/>
                <w:sz w:val="16"/>
                <w:szCs w:val="16"/>
              </w:rPr>
              <w:t xml:space="preserve">0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D1F1DA" w14:textId="2B87EF62" w:rsidR="00A41077" w:rsidRDefault="00A41077" w:rsidP="00A41077">
            <w:pPr>
              <w:spacing w:line="256" w:lineRule="auto"/>
              <w:jc w:val="right"/>
              <w:rPr>
                <w:rFonts w:cs="Arial"/>
                <w:sz w:val="16"/>
                <w:szCs w:val="20"/>
                <w:lang w:val="es-ES" w:eastAsia="en-US"/>
              </w:rPr>
            </w:pPr>
            <w:r>
              <w:rPr>
                <w:rFonts w:cs="Arial"/>
                <w:color w:val="000000"/>
                <w:sz w:val="16"/>
                <w:szCs w:val="16"/>
              </w:rPr>
              <w:t xml:space="preserve">1,256,591,433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3808BE" w14:textId="63FE5418" w:rsidR="00A41077" w:rsidRDefault="00A41077" w:rsidP="00A41077">
            <w:pPr>
              <w:spacing w:line="256" w:lineRule="auto"/>
              <w:jc w:val="right"/>
              <w:rPr>
                <w:rFonts w:cs="Arial"/>
                <w:sz w:val="16"/>
                <w:szCs w:val="20"/>
                <w:lang w:val="es-ES" w:eastAsia="en-US"/>
              </w:rPr>
            </w:pPr>
            <w:r>
              <w:rPr>
                <w:rFonts w:cs="Arial"/>
                <w:color w:val="000000"/>
                <w:sz w:val="16"/>
                <w:szCs w:val="16"/>
              </w:rPr>
              <w:t xml:space="preserve">1,256,591,433 </w:t>
            </w:r>
          </w:p>
        </w:tc>
      </w:tr>
      <w:tr w:rsidR="00A41077" w14:paraId="6C86DAED" w14:textId="77777777" w:rsidTr="00BF5974">
        <w:trPr>
          <w:trHeight w:val="227"/>
        </w:trPr>
        <w:tc>
          <w:tcPr>
            <w:tcW w:w="546" w:type="dxa"/>
            <w:tcBorders>
              <w:top w:val="single" w:sz="4" w:space="0" w:color="auto"/>
              <w:left w:val="single" w:sz="4" w:space="0" w:color="auto"/>
              <w:bottom w:val="single" w:sz="4" w:space="0" w:color="auto"/>
              <w:right w:val="single" w:sz="4" w:space="0" w:color="auto"/>
            </w:tcBorders>
            <w:hideMark/>
          </w:tcPr>
          <w:p w14:paraId="58C7107F" w14:textId="77777777" w:rsidR="00A41077" w:rsidRDefault="00A41077" w:rsidP="00A41077">
            <w:pPr>
              <w:spacing w:line="256" w:lineRule="auto"/>
              <w:jc w:val="center"/>
              <w:rPr>
                <w:rFonts w:cs="Arial"/>
                <w:sz w:val="16"/>
                <w:szCs w:val="20"/>
                <w:lang w:val="es-ES" w:eastAsia="en-US"/>
              </w:rPr>
            </w:pPr>
            <w:r>
              <w:rPr>
                <w:rFonts w:cs="Arial"/>
                <w:sz w:val="16"/>
                <w:szCs w:val="20"/>
                <w:lang w:val="es-ES" w:eastAsia="en-US"/>
              </w:rPr>
              <w:t>5</w:t>
            </w:r>
          </w:p>
        </w:tc>
        <w:tc>
          <w:tcPr>
            <w:tcW w:w="4078" w:type="dxa"/>
            <w:tcBorders>
              <w:top w:val="single" w:sz="4" w:space="0" w:color="auto"/>
              <w:left w:val="single" w:sz="4" w:space="0" w:color="auto"/>
              <w:bottom w:val="single" w:sz="4" w:space="0" w:color="auto"/>
              <w:right w:val="single" w:sz="4" w:space="0" w:color="auto"/>
            </w:tcBorders>
            <w:vAlign w:val="center"/>
            <w:hideMark/>
          </w:tcPr>
          <w:p w14:paraId="67D0C4A2" w14:textId="77777777" w:rsidR="00A41077" w:rsidRDefault="00A41077" w:rsidP="00A41077">
            <w:pPr>
              <w:spacing w:line="256" w:lineRule="auto"/>
              <w:rPr>
                <w:rFonts w:cs="Arial"/>
                <w:sz w:val="16"/>
                <w:szCs w:val="20"/>
                <w:lang w:val="es-ES" w:eastAsia="en-US"/>
              </w:rPr>
            </w:pPr>
            <w:r>
              <w:rPr>
                <w:rFonts w:cs="Arial"/>
                <w:sz w:val="16"/>
                <w:szCs w:val="20"/>
                <w:lang w:val="es-ES" w:eastAsia="en-US"/>
              </w:rPr>
              <w:t>Participaciones.</w:t>
            </w:r>
          </w:p>
        </w:tc>
        <w:tc>
          <w:tcPr>
            <w:tcW w:w="1330" w:type="dxa"/>
            <w:tcBorders>
              <w:top w:val="single" w:sz="4" w:space="0" w:color="auto"/>
              <w:left w:val="single" w:sz="4" w:space="0" w:color="auto"/>
              <w:bottom w:val="single" w:sz="4" w:space="0" w:color="auto"/>
              <w:right w:val="single" w:sz="4" w:space="0" w:color="auto"/>
            </w:tcBorders>
            <w:vAlign w:val="center"/>
            <w:hideMark/>
          </w:tcPr>
          <w:p w14:paraId="4F146C4B" w14:textId="545F7640" w:rsidR="00A41077" w:rsidRDefault="00A41077" w:rsidP="00A41077">
            <w:pPr>
              <w:spacing w:line="256" w:lineRule="auto"/>
              <w:jc w:val="right"/>
              <w:rPr>
                <w:rFonts w:cs="Arial"/>
                <w:sz w:val="16"/>
                <w:szCs w:val="20"/>
                <w:lang w:val="es-ES" w:eastAsia="en-US"/>
              </w:rPr>
            </w:pPr>
            <w:r>
              <w:rPr>
                <w:rFonts w:cs="Arial"/>
                <w:color w:val="000000"/>
                <w:sz w:val="16"/>
                <w:szCs w:val="16"/>
              </w:rPr>
              <w:t xml:space="preserve">0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8B533C" w14:textId="09489FF4" w:rsidR="00A41077" w:rsidRDefault="00A41077" w:rsidP="00A41077">
            <w:pPr>
              <w:spacing w:line="256" w:lineRule="auto"/>
              <w:jc w:val="right"/>
              <w:rPr>
                <w:rFonts w:cs="Arial"/>
                <w:sz w:val="16"/>
                <w:szCs w:val="20"/>
                <w:lang w:val="es-ES" w:eastAsia="en-US"/>
              </w:rPr>
            </w:pPr>
            <w:r>
              <w:rPr>
                <w:rFonts w:cs="Arial"/>
                <w:color w:val="000000"/>
                <w:sz w:val="16"/>
                <w:szCs w:val="16"/>
              </w:rPr>
              <w:t xml:space="preserve">3,334,416,398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050468" w14:textId="56C700EE" w:rsidR="00A41077" w:rsidRDefault="00A41077" w:rsidP="00A41077">
            <w:pPr>
              <w:spacing w:line="256" w:lineRule="auto"/>
              <w:jc w:val="right"/>
              <w:rPr>
                <w:rFonts w:cs="Arial"/>
                <w:sz w:val="16"/>
                <w:szCs w:val="20"/>
                <w:lang w:val="es-ES" w:eastAsia="en-US"/>
              </w:rPr>
            </w:pPr>
            <w:r>
              <w:rPr>
                <w:rFonts w:cs="Arial"/>
                <w:color w:val="000000"/>
                <w:sz w:val="16"/>
                <w:szCs w:val="16"/>
              </w:rPr>
              <w:t xml:space="preserve">3,334,416,398 </w:t>
            </w:r>
          </w:p>
        </w:tc>
      </w:tr>
      <w:tr w:rsidR="00A41077" w14:paraId="1B660F99" w14:textId="77777777" w:rsidTr="00BF5974">
        <w:trPr>
          <w:trHeight w:val="227"/>
        </w:trPr>
        <w:tc>
          <w:tcPr>
            <w:tcW w:w="546" w:type="dxa"/>
            <w:tcBorders>
              <w:top w:val="single" w:sz="4" w:space="0" w:color="auto"/>
              <w:left w:val="single" w:sz="4" w:space="0" w:color="auto"/>
              <w:bottom w:val="single" w:sz="4" w:space="0" w:color="auto"/>
              <w:right w:val="single" w:sz="4" w:space="0" w:color="auto"/>
            </w:tcBorders>
          </w:tcPr>
          <w:p w14:paraId="0C89AB70" w14:textId="77777777" w:rsidR="00A41077" w:rsidRDefault="00A41077" w:rsidP="00A41077">
            <w:pPr>
              <w:spacing w:line="256" w:lineRule="auto"/>
              <w:jc w:val="center"/>
              <w:rPr>
                <w:rFonts w:cs="Arial"/>
                <w:sz w:val="16"/>
                <w:szCs w:val="20"/>
                <w:lang w:val="es-ES" w:eastAsia="en-US"/>
              </w:rPr>
            </w:pPr>
          </w:p>
        </w:tc>
        <w:tc>
          <w:tcPr>
            <w:tcW w:w="4078" w:type="dxa"/>
            <w:tcBorders>
              <w:top w:val="single" w:sz="4" w:space="0" w:color="auto"/>
              <w:left w:val="single" w:sz="4" w:space="0" w:color="auto"/>
              <w:bottom w:val="single" w:sz="4" w:space="0" w:color="auto"/>
              <w:right w:val="single" w:sz="4" w:space="0" w:color="auto"/>
            </w:tcBorders>
            <w:vAlign w:val="center"/>
            <w:hideMark/>
          </w:tcPr>
          <w:p w14:paraId="1882AC8D" w14:textId="77777777" w:rsidR="00A41077" w:rsidRDefault="00A41077" w:rsidP="00A41077">
            <w:pPr>
              <w:spacing w:line="256" w:lineRule="auto"/>
              <w:jc w:val="center"/>
              <w:rPr>
                <w:rFonts w:cs="Arial"/>
                <w:b/>
                <w:sz w:val="16"/>
                <w:szCs w:val="20"/>
                <w:lang w:val="es-ES" w:eastAsia="en-US"/>
              </w:rPr>
            </w:pPr>
            <w:r>
              <w:rPr>
                <w:rFonts w:cs="Arial"/>
                <w:b/>
                <w:sz w:val="16"/>
                <w:szCs w:val="20"/>
                <w:lang w:val="es-ES" w:eastAsia="en-US"/>
              </w:rPr>
              <w:t>Total</w:t>
            </w:r>
          </w:p>
        </w:tc>
        <w:tc>
          <w:tcPr>
            <w:tcW w:w="1330" w:type="dxa"/>
            <w:tcBorders>
              <w:top w:val="single" w:sz="4" w:space="0" w:color="auto"/>
              <w:left w:val="single" w:sz="4" w:space="0" w:color="auto"/>
              <w:bottom w:val="single" w:sz="4" w:space="0" w:color="auto"/>
              <w:right w:val="single" w:sz="4" w:space="0" w:color="auto"/>
            </w:tcBorders>
            <w:vAlign w:val="center"/>
            <w:hideMark/>
          </w:tcPr>
          <w:p w14:paraId="68224DED" w14:textId="3BC058F5" w:rsidR="00A41077" w:rsidRPr="00A41077" w:rsidRDefault="00A41077" w:rsidP="00A41077">
            <w:pPr>
              <w:spacing w:line="256" w:lineRule="auto"/>
              <w:jc w:val="right"/>
              <w:rPr>
                <w:rFonts w:cs="Arial"/>
                <w:b/>
                <w:bCs/>
                <w:sz w:val="16"/>
                <w:szCs w:val="20"/>
                <w:lang w:val="es-ES" w:eastAsia="en-US"/>
              </w:rPr>
            </w:pPr>
            <w:r w:rsidRPr="00A41077">
              <w:rPr>
                <w:rFonts w:cs="Arial"/>
                <w:b/>
                <w:bCs/>
                <w:color w:val="000000"/>
                <w:sz w:val="16"/>
                <w:szCs w:val="16"/>
              </w:rPr>
              <w:t xml:space="preserve">16,868,856,185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14597D" w14:textId="68F36A81" w:rsidR="00A41077" w:rsidRPr="00A41077" w:rsidRDefault="00A41077" w:rsidP="00A41077">
            <w:pPr>
              <w:spacing w:line="256" w:lineRule="auto"/>
              <w:jc w:val="right"/>
              <w:rPr>
                <w:rFonts w:cs="Arial"/>
                <w:b/>
                <w:bCs/>
                <w:sz w:val="16"/>
                <w:szCs w:val="20"/>
                <w:lang w:val="es-ES" w:eastAsia="en-US"/>
              </w:rPr>
            </w:pPr>
            <w:r w:rsidRPr="00A41077">
              <w:rPr>
                <w:rFonts w:cs="Arial"/>
                <w:b/>
                <w:bCs/>
                <w:color w:val="000000"/>
                <w:sz w:val="16"/>
                <w:szCs w:val="16"/>
              </w:rPr>
              <w:t xml:space="preserve">6,135,274,094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B9C277" w14:textId="70712B06" w:rsidR="00A41077" w:rsidRPr="00A41077" w:rsidRDefault="00A41077" w:rsidP="00A41077">
            <w:pPr>
              <w:spacing w:line="256" w:lineRule="auto"/>
              <w:jc w:val="right"/>
              <w:rPr>
                <w:rFonts w:cs="Arial"/>
                <w:b/>
                <w:bCs/>
                <w:sz w:val="16"/>
                <w:szCs w:val="20"/>
                <w:lang w:val="es-ES" w:eastAsia="en-US"/>
              </w:rPr>
            </w:pPr>
            <w:r w:rsidRPr="00A41077">
              <w:rPr>
                <w:rFonts w:cs="Arial"/>
                <w:b/>
                <w:bCs/>
                <w:color w:val="000000"/>
                <w:sz w:val="16"/>
                <w:szCs w:val="16"/>
              </w:rPr>
              <w:t xml:space="preserve">23,004,130,279 </w:t>
            </w:r>
          </w:p>
        </w:tc>
      </w:tr>
    </w:tbl>
    <w:p w14:paraId="3571152F" w14:textId="77777777" w:rsidR="00BF5974" w:rsidRDefault="00BF5974" w:rsidP="00BF5974">
      <w:pPr>
        <w:rPr>
          <w:rFonts w:cs="Arial"/>
          <w:b/>
          <w:lang w:val="es-ES"/>
        </w:rPr>
      </w:pPr>
    </w:p>
    <w:p w14:paraId="7FBD9402" w14:textId="77777777" w:rsidR="00BF5974" w:rsidRDefault="00BF5974" w:rsidP="00BF5974">
      <w:pPr>
        <w:rPr>
          <w:rFonts w:cs="Arial"/>
          <w:lang w:val="es-ES"/>
        </w:rPr>
      </w:pPr>
      <w:r>
        <w:rPr>
          <w:rFonts w:cs="Arial"/>
          <w:lang w:val="es-ES"/>
        </w:rPr>
        <w:t xml:space="preserve">VI. La </w:t>
      </w:r>
      <w:r>
        <w:rPr>
          <w:rFonts w:cs="Arial"/>
          <w:bCs/>
          <w:lang w:val="es-ES"/>
        </w:rPr>
        <w:t>Clasificación Programática</w:t>
      </w:r>
      <w:r>
        <w:rPr>
          <w:rFonts w:cs="Arial"/>
          <w:b/>
          <w:lang w:val="es-ES"/>
        </w:rPr>
        <w:t>,</w:t>
      </w:r>
      <w:r>
        <w:rPr>
          <w:rFonts w:cs="Arial"/>
          <w:lang w:val="es-ES"/>
        </w:rPr>
        <w:t xml:space="preserve"> es la siguiente:</w:t>
      </w:r>
    </w:p>
    <w:p w14:paraId="26E40AF0" w14:textId="77777777" w:rsidR="00BF5974" w:rsidRDefault="00BF5974" w:rsidP="00BF5974">
      <w:pPr>
        <w:keepNext/>
        <w:keepLines/>
        <w:jc w:val="center"/>
        <w:outlineLvl w:val="1"/>
        <w:rPr>
          <w:rFonts w:eastAsia="Times New Roman" w:cs="Arial"/>
          <w:b/>
          <w:lang w:val="es-ES"/>
        </w:rPr>
      </w:pP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629"/>
        <w:gridCol w:w="1468"/>
        <w:gridCol w:w="1368"/>
        <w:gridCol w:w="1468"/>
      </w:tblGrid>
      <w:tr w:rsidR="00BF5974" w14:paraId="10F9565D" w14:textId="77777777" w:rsidTr="00BF5974">
        <w:trPr>
          <w:trHeight w:val="20"/>
          <w:tblHeader/>
          <w:jc w:val="center"/>
        </w:trPr>
        <w:tc>
          <w:tcPr>
            <w:tcW w:w="8687" w:type="dxa"/>
            <w:gridSpan w:val="5"/>
            <w:tcBorders>
              <w:top w:val="nil"/>
              <w:left w:val="nil"/>
              <w:bottom w:val="single" w:sz="4" w:space="0" w:color="auto"/>
              <w:right w:val="nil"/>
            </w:tcBorders>
            <w:noWrap/>
            <w:vAlign w:val="center"/>
            <w:hideMark/>
          </w:tcPr>
          <w:p w14:paraId="1584568F" w14:textId="77777777" w:rsidR="00BF5974" w:rsidRDefault="00BF5974">
            <w:pPr>
              <w:keepNext/>
              <w:keepLines/>
              <w:spacing w:line="256" w:lineRule="auto"/>
              <w:jc w:val="center"/>
              <w:outlineLvl w:val="1"/>
              <w:rPr>
                <w:rFonts w:cs="Arial"/>
                <w:b/>
                <w:bCs/>
                <w:sz w:val="18"/>
                <w:szCs w:val="18"/>
                <w:lang w:val="es-ES" w:eastAsia="en-US"/>
              </w:rPr>
            </w:pPr>
            <w:bookmarkStart w:id="342" w:name="_Toc22983262"/>
            <w:bookmarkStart w:id="343" w:name="_Toc22022029"/>
            <w:r>
              <w:rPr>
                <w:rFonts w:eastAsia="Times New Roman" w:cs="Arial"/>
                <w:b/>
                <w:sz w:val="20"/>
                <w:szCs w:val="18"/>
                <w:lang w:val="es-ES" w:eastAsia="en-US"/>
              </w:rPr>
              <w:t xml:space="preserve">Tabla 72. Clasificación Programática </w:t>
            </w:r>
            <w:r>
              <w:rPr>
                <w:rFonts w:eastAsia="Times New Roman" w:cs="Arial"/>
                <w:b/>
                <w:sz w:val="18"/>
                <w:szCs w:val="18"/>
                <w:lang w:val="es-ES" w:eastAsia="en-US"/>
              </w:rPr>
              <w:br/>
              <w:t>(Tipología General)</w:t>
            </w:r>
            <w:bookmarkEnd w:id="342"/>
            <w:bookmarkEnd w:id="343"/>
          </w:p>
        </w:tc>
      </w:tr>
      <w:tr w:rsidR="00BF5974" w14:paraId="22CE8118" w14:textId="77777777" w:rsidTr="00BF5974">
        <w:trPr>
          <w:trHeight w:val="20"/>
          <w:tblHeader/>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4872D9EB" w14:textId="77777777" w:rsidR="00BF5974" w:rsidRDefault="00BF5974">
            <w:pPr>
              <w:spacing w:line="256" w:lineRule="auto"/>
              <w:jc w:val="center"/>
              <w:rPr>
                <w:rFonts w:cs="Arial"/>
                <w:b/>
                <w:bCs/>
                <w:sz w:val="18"/>
                <w:szCs w:val="18"/>
                <w:lang w:val="es-ES" w:eastAsia="en-US"/>
              </w:rPr>
            </w:pPr>
            <w:r>
              <w:rPr>
                <w:rFonts w:cs="Arial"/>
                <w:b/>
                <w:bCs/>
                <w:sz w:val="18"/>
                <w:szCs w:val="18"/>
                <w:lang w:val="es-ES" w:eastAsia="en-US"/>
              </w:rPr>
              <w:t>Programas Presupuestarios</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791EE5AF" w14:textId="77777777" w:rsidR="00BF5974" w:rsidRDefault="00BF5974">
            <w:pPr>
              <w:spacing w:line="256" w:lineRule="auto"/>
              <w:ind w:left="-145" w:right="-151"/>
              <w:jc w:val="center"/>
              <w:rPr>
                <w:rFonts w:cs="Arial"/>
                <w:b/>
                <w:sz w:val="18"/>
                <w:szCs w:val="18"/>
                <w:lang w:val="es-ES" w:eastAsia="en-US"/>
              </w:rPr>
            </w:pPr>
            <w:r>
              <w:rPr>
                <w:rFonts w:cs="Arial"/>
                <w:b/>
                <w:sz w:val="18"/>
                <w:szCs w:val="18"/>
                <w:lang w:val="es-ES" w:eastAsia="en-US"/>
              </w:rPr>
              <w:t>Clave</w:t>
            </w:r>
          </w:p>
        </w:tc>
        <w:tc>
          <w:tcPr>
            <w:tcW w:w="1468" w:type="dxa"/>
            <w:tcBorders>
              <w:top w:val="single" w:sz="4" w:space="0" w:color="auto"/>
              <w:left w:val="single" w:sz="4" w:space="0" w:color="auto"/>
              <w:bottom w:val="single" w:sz="4" w:space="0" w:color="auto"/>
              <w:right w:val="single" w:sz="4" w:space="0" w:color="auto"/>
            </w:tcBorders>
            <w:vAlign w:val="center"/>
            <w:hideMark/>
          </w:tcPr>
          <w:p w14:paraId="315E5832" w14:textId="77777777" w:rsidR="00BF5974" w:rsidRDefault="00BF5974">
            <w:pPr>
              <w:spacing w:line="256" w:lineRule="auto"/>
              <w:jc w:val="center"/>
              <w:rPr>
                <w:rFonts w:cs="Arial"/>
                <w:b/>
                <w:bCs/>
                <w:sz w:val="18"/>
                <w:szCs w:val="18"/>
                <w:lang w:val="es-ES" w:eastAsia="en-US"/>
              </w:rPr>
            </w:pPr>
            <w:r>
              <w:rPr>
                <w:rFonts w:cs="Arial"/>
                <w:b/>
                <w:sz w:val="18"/>
                <w:szCs w:val="18"/>
                <w:lang w:val="es-ES" w:eastAsia="en-US"/>
              </w:rPr>
              <w:t>Gasto Programable</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B6A461E" w14:textId="77777777" w:rsidR="00BF5974" w:rsidRDefault="00BF5974">
            <w:pPr>
              <w:spacing w:line="256" w:lineRule="auto"/>
              <w:jc w:val="center"/>
              <w:rPr>
                <w:rFonts w:cs="Arial"/>
                <w:b/>
                <w:bCs/>
                <w:sz w:val="18"/>
                <w:szCs w:val="18"/>
                <w:lang w:val="es-ES" w:eastAsia="en-US"/>
              </w:rPr>
            </w:pPr>
            <w:r>
              <w:rPr>
                <w:rFonts w:cs="Arial"/>
                <w:b/>
                <w:sz w:val="18"/>
                <w:szCs w:val="18"/>
                <w:lang w:val="es-ES" w:eastAsia="en-US"/>
              </w:rPr>
              <w:t>Gasto No Programable</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0710991C" w14:textId="77777777" w:rsidR="00BF5974" w:rsidRDefault="00BF5974">
            <w:pPr>
              <w:spacing w:line="256" w:lineRule="auto"/>
              <w:jc w:val="center"/>
              <w:rPr>
                <w:rFonts w:cs="Arial"/>
                <w:b/>
                <w:bCs/>
                <w:sz w:val="18"/>
                <w:szCs w:val="18"/>
                <w:lang w:val="es-ES" w:eastAsia="en-US"/>
              </w:rPr>
            </w:pPr>
            <w:r>
              <w:rPr>
                <w:rFonts w:cs="Arial"/>
                <w:b/>
                <w:bCs/>
                <w:sz w:val="18"/>
                <w:szCs w:val="18"/>
                <w:lang w:val="es-ES" w:eastAsia="en-US"/>
              </w:rPr>
              <w:t>Asignación Presupuestal</w:t>
            </w:r>
          </w:p>
        </w:tc>
      </w:tr>
      <w:tr w:rsidR="00BF5974" w14:paraId="2EDA6FBE"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673B38DA" w14:textId="77777777" w:rsidR="00BF5974" w:rsidRDefault="00BF5974">
            <w:pPr>
              <w:spacing w:line="256" w:lineRule="auto"/>
              <w:rPr>
                <w:rFonts w:cs="Arial"/>
                <w:b/>
                <w:bCs/>
                <w:sz w:val="18"/>
                <w:szCs w:val="18"/>
                <w:lang w:val="es-ES" w:eastAsia="en-US"/>
              </w:rPr>
            </w:pPr>
            <w:r>
              <w:rPr>
                <w:rFonts w:cs="Arial"/>
                <w:b/>
                <w:bCs/>
                <w:sz w:val="18"/>
                <w:szCs w:val="18"/>
                <w:lang w:val="es-ES" w:eastAsia="en-US"/>
              </w:rPr>
              <w:t>Subsidios: Sector Social y Privado o Entidades Federativas y Municipios.</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6600F9CE" w14:textId="77777777" w:rsidR="00BF5974" w:rsidRDefault="00BF5974">
            <w:pPr>
              <w:rPr>
                <w:rFonts w:cs="Arial"/>
                <w:b/>
                <w:bCs/>
                <w:sz w:val="18"/>
                <w:szCs w:val="18"/>
                <w:lang w:val="es-ES" w:eastAsia="en-US"/>
              </w:rPr>
            </w:pPr>
          </w:p>
        </w:tc>
        <w:tc>
          <w:tcPr>
            <w:tcW w:w="1468" w:type="dxa"/>
            <w:tcBorders>
              <w:top w:val="single" w:sz="4" w:space="0" w:color="auto"/>
              <w:left w:val="single" w:sz="4" w:space="0" w:color="auto"/>
              <w:bottom w:val="single" w:sz="4" w:space="0" w:color="auto"/>
              <w:right w:val="single" w:sz="4" w:space="0" w:color="auto"/>
            </w:tcBorders>
          </w:tcPr>
          <w:p w14:paraId="4E7C4248" w14:textId="77777777" w:rsidR="00BF5974" w:rsidRDefault="00BF5974">
            <w:pPr>
              <w:spacing w:line="256" w:lineRule="auto"/>
              <w:jc w:val="right"/>
              <w:rPr>
                <w:rFonts w:cs="Arial"/>
                <w:b/>
                <w:sz w:val="18"/>
                <w:szCs w:val="18"/>
                <w:lang w:val="es-ES" w:eastAsia="en-US"/>
              </w:rPr>
            </w:pPr>
          </w:p>
        </w:tc>
        <w:tc>
          <w:tcPr>
            <w:tcW w:w="1368" w:type="dxa"/>
            <w:tcBorders>
              <w:top w:val="single" w:sz="4" w:space="0" w:color="auto"/>
              <w:left w:val="single" w:sz="4" w:space="0" w:color="auto"/>
              <w:bottom w:val="single" w:sz="4" w:space="0" w:color="auto"/>
              <w:right w:val="single" w:sz="4" w:space="0" w:color="auto"/>
            </w:tcBorders>
          </w:tcPr>
          <w:p w14:paraId="100793F5" w14:textId="77777777" w:rsidR="00BF5974" w:rsidRDefault="00BF5974">
            <w:pPr>
              <w:spacing w:line="256" w:lineRule="auto"/>
              <w:jc w:val="right"/>
              <w:rPr>
                <w:rFonts w:cs="Arial"/>
                <w:b/>
                <w:sz w:val="18"/>
                <w:szCs w:val="18"/>
                <w:lang w:val="es-ES" w:eastAsia="en-US"/>
              </w:rPr>
            </w:pPr>
          </w:p>
        </w:tc>
        <w:tc>
          <w:tcPr>
            <w:tcW w:w="1468" w:type="dxa"/>
            <w:tcBorders>
              <w:top w:val="single" w:sz="4" w:space="0" w:color="auto"/>
              <w:left w:val="single" w:sz="4" w:space="0" w:color="auto"/>
              <w:bottom w:val="single" w:sz="4" w:space="0" w:color="auto"/>
              <w:right w:val="single" w:sz="4" w:space="0" w:color="auto"/>
            </w:tcBorders>
            <w:noWrap/>
            <w:vAlign w:val="center"/>
          </w:tcPr>
          <w:p w14:paraId="0DC3E2A4" w14:textId="77777777" w:rsidR="00BF5974" w:rsidRDefault="00BF5974">
            <w:pPr>
              <w:spacing w:line="256" w:lineRule="auto"/>
              <w:jc w:val="right"/>
              <w:rPr>
                <w:rFonts w:cs="Arial"/>
                <w:b/>
                <w:sz w:val="18"/>
                <w:szCs w:val="18"/>
                <w:lang w:val="es-ES" w:eastAsia="en-US"/>
              </w:rPr>
            </w:pPr>
          </w:p>
        </w:tc>
      </w:tr>
      <w:tr w:rsidR="00A41077" w14:paraId="7E2B00E2"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0CFD8E6A" w14:textId="77777777" w:rsidR="00A41077" w:rsidRDefault="00A41077" w:rsidP="00A41077">
            <w:pPr>
              <w:spacing w:line="256" w:lineRule="auto"/>
              <w:ind w:left="252"/>
              <w:rPr>
                <w:rFonts w:cs="Arial"/>
                <w:sz w:val="18"/>
                <w:szCs w:val="18"/>
                <w:lang w:val="es-ES" w:eastAsia="en-US"/>
              </w:rPr>
            </w:pPr>
            <w:r>
              <w:rPr>
                <w:rFonts w:cs="Arial"/>
                <w:sz w:val="18"/>
                <w:szCs w:val="18"/>
                <w:lang w:val="es-ES" w:eastAsia="en-US"/>
              </w:rPr>
              <w:t>Sujetos a Reglas de Operación.</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764D296F" w14:textId="77777777" w:rsidR="00A41077" w:rsidRDefault="00A41077" w:rsidP="00A41077">
            <w:pPr>
              <w:spacing w:line="256" w:lineRule="auto"/>
              <w:jc w:val="center"/>
              <w:rPr>
                <w:rFonts w:cs="Arial"/>
                <w:b/>
                <w:sz w:val="18"/>
                <w:szCs w:val="18"/>
                <w:lang w:val="es-ES" w:eastAsia="en-US"/>
              </w:rPr>
            </w:pPr>
            <w:r>
              <w:rPr>
                <w:rFonts w:cs="Arial"/>
                <w:b/>
                <w:sz w:val="18"/>
                <w:szCs w:val="18"/>
                <w:lang w:val="es-ES" w:eastAsia="en-US"/>
              </w:rPr>
              <w:t>S</w:t>
            </w:r>
          </w:p>
        </w:tc>
        <w:tc>
          <w:tcPr>
            <w:tcW w:w="1468" w:type="dxa"/>
            <w:tcBorders>
              <w:top w:val="single" w:sz="4" w:space="0" w:color="auto"/>
              <w:left w:val="single" w:sz="4" w:space="0" w:color="auto"/>
              <w:bottom w:val="single" w:sz="4" w:space="0" w:color="auto"/>
              <w:right w:val="single" w:sz="4" w:space="0" w:color="auto"/>
            </w:tcBorders>
            <w:vAlign w:val="center"/>
            <w:hideMark/>
          </w:tcPr>
          <w:p w14:paraId="093B789F" w14:textId="5F107754"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25,476,342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498F1173" w14:textId="4F72CBB6"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109D50A2" w14:textId="054218F4"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25,476,342 </w:t>
            </w:r>
          </w:p>
        </w:tc>
      </w:tr>
      <w:tr w:rsidR="00A41077" w14:paraId="2FD8B6FD"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52CDDA7B" w14:textId="77777777" w:rsidR="00A41077" w:rsidRDefault="00A41077" w:rsidP="00A41077">
            <w:pPr>
              <w:spacing w:line="256" w:lineRule="auto"/>
              <w:ind w:left="252"/>
              <w:rPr>
                <w:rFonts w:cs="Arial"/>
                <w:sz w:val="18"/>
                <w:szCs w:val="18"/>
                <w:lang w:val="es-ES" w:eastAsia="en-US"/>
              </w:rPr>
            </w:pPr>
            <w:r>
              <w:rPr>
                <w:rFonts w:cs="Arial"/>
                <w:sz w:val="18"/>
                <w:szCs w:val="18"/>
                <w:lang w:val="es-ES" w:eastAsia="en-US"/>
              </w:rPr>
              <w:t>Otros Subsidios.</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3E438E9B" w14:textId="77777777" w:rsidR="00A41077" w:rsidRDefault="00A41077" w:rsidP="00A41077">
            <w:pPr>
              <w:spacing w:line="256" w:lineRule="auto"/>
              <w:jc w:val="center"/>
              <w:rPr>
                <w:rFonts w:cs="Arial"/>
                <w:b/>
                <w:sz w:val="18"/>
                <w:szCs w:val="18"/>
                <w:lang w:val="es-ES" w:eastAsia="en-US"/>
              </w:rPr>
            </w:pPr>
            <w:r>
              <w:rPr>
                <w:rFonts w:cs="Arial"/>
                <w:b/>
                <w:sz w:val="18"/>
                <w:szCs w:val="18"/>
                <w:lang w:val="es-ES" w:eastAsia="en-US"/>
              </w:rPr>
              <w:t>U</w:t>
            </w:r>
          </w:p>
        </w:tc>
        <w:tc>
          <w:tcPr>
            <w:tcW w:w="1468" w:type="dxa"/>
            <w:tcBorders>
              <w:top w:val="single" w:sz="4" w:space="0" w:color="auto"/>
              <w:left w:val="single" w:sz="4" w:space="0" w:color="auto"/>
              <w:bottom w:val="single" w:sz="4" w:space="0" w:color="auto"/>
              <w:right w:val="single" w:sz="4" w:space="0" w:color="auto"/>
            </w:tcBorders>
            <w:vAlign w:val="center"/>
            <w:hideMark/>
          </w:tcPr>
          <w:p w14:paraId="40C295B1" w14:textId="2055B772"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26,536,064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3F588C9" w14:textId="18684D5A"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437,597,834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7D8D468E" w14:textId="762C1ADE"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464,133,898 </w:t>
            </w:r>
          </w:p>
        </w:tc>
      </w:tr>
      <w:tr w:rsidR="00A41077" w14:paraId="4F552E59"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27F0D610" w14:textId="77777777" w:rsidR="00A41077" w:rsidRDefault="00A41077" w:rsidP="00A41077">
            <w:pPr>
              <w:spacing w:line="256" w:lineRule="auto"/>
              <w:rPr>
                <w:rFonts w:cs="Arial"/>
                <w:b/>
                <w:bCs/>
                <w:sz w:val="18"/>
                <w:szCs w:val="18"/>
                <w:lang w:val="es-ES" w:eastAsia="en-US"/>
              </w:rPr>
            </w:pPr>
            <w:r>
              <w:rPr>
                <w:rFonts w:cs="Arial"/>
                <w:b/>
                <w:bCs/>
                <w:sz w:val="18"/>
                <w:szCs w:val="18"/>
                <w:lang w:val="es-ES" w:eastAsia="en-US"/>
              </w:rPr>
              <w:t>Desempeño de las Funciones.</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5D50E898" w14:textId="77777777" w:rsidR="00A41077" w:rsidRDefault="00A41077" w:rsidP="00A41077">
            <w:pPr>
              <w:rPr>
                <w:rFonts w:cs="Arial"/>
                <w:b/>
                <w:bCs/>
                <w:sz w:val="18"/>
                <w:szCs w:val="18"/>
                <w:lang w:val="es-ES" w:eastAsia="en-US"/>
              </w:rPr>
            </w:pPr>
          </w:p>
        </w:tc>
        <w:tc>
          <w:tcPr>
            <w:tcW w:w="1468" w:type="dxa"/>
            <w:tcBorders>
              <w:top w:val="single" w:sz="4" w:space="0" w:color="auto"/>
              <w:left w:val="single" w:sz="4" w:space="0" w:color="auto"/>
              <w:bottom w:val="single" w:sz="4" w:space="0" w:color="auto"/>
              <w:right w:val="single" w:sz="4" w:space="0" w:color="auto"/>
            </w:tcBorders>
            <w:vAlign w:val="center"/>
            <w:hideMark/>
          </w:tcPr>
          <w:p w14:paraId="03F805AF" w14:textId="1457386E" w:rsidR="00A41077" w:rsidRDefault="00A41077" w:rsidP="00A41077">
            <w:pPr>
              <w:spacing w:line="256" w:lineRule="auto"/>
              <w:jc w:val="right"/>
              <w:rPr>
                <w:rFonts w:cs="Arial"/>
                <w:sz w:val="18"/>
                <w:szCs w:val="18"/>
                <w:lang w:val="es-ES" w:eastAsia="en-US"/>
              </w:rPr>
            </w:pPr>
            <w:r>
              <w:rPr>
                <w:rFonts w:cs="Arial"/>
                <w:color w:val="000000"/>
                <w:sz w:val="18"/>
                <w:szCs w:val="18"/>
              </w:rPr>
              <w:t>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5CFEC4B8" w14:textId="72531984" w:rsidR="00A41077" w:rsidRDefault="00A41077" w:rsidP="00A41077">
            <w:pPr>
              <w:spacing w:line="256" w:lineRule="auto"/>
              <w:jc w:val="right"/>
              <w:rPr>
                <w:rFonts w:cs="Arial"/>
                <w:sz w:val="18"/>
                <w:szCs w:val="18"/>
                <w:lang w:val="es-ES" w:eastAsia="en-US"/>
              </w:rPr>
            </w:pPr>
            <w:r>
              <w:rPr>
                <w:rFonts w:cs="Arial"/>
                <w:color w:val="000000"/>
                <w:sz w:val="18"/>
                <w:szCs w:val="18"/>
              </w:rPr>
              <w:t>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34CD9EE3" w14:textId="14EC7579" w:rsidR="00A41077" w:rsidRDefault="00A41077" w:rsidP="00A41077">
            <w:pPr>
              <w:spacing w:line="256" w:lineRule="auto"/>
              <w:jc w:val="right"/>
              <w:rPr>
                <w:rFonts w:cs="Arial"/>
                <w:sz w:val="18"/>
                <w:szCs w:val="18"/>
                <w:lang w:val="es-ES" w:eastAsia="en-US"/>
              </w:rPr>
            </w:pPr>
            <w:r>
              <w:rPr>
                <w:rFonts w:cs="Arial"/>
                <w:color w:val="000000"/>
                <w:sz w:val="18"/>
                <w:szCs w:val="18"/>
              </w:rPr>
              <w:t> </w:t>
            </w:r>
          </w:p>
        </w:tc>
      </w:tr>
      <w:tr w:rsidR="00A41077" w14:paraId="786C269B"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11DFFBE7" w14:textId="77777777" w:rsidR="00A41077" w:rsidRDefault="00A41077" w:rsidP="00A41077">
            <w:pPr>
              <w:spacing w:line="256" w:lineRule="auto"/>
              <w:ind w:left="252"/>
              <w:rPr>
                <w:rFonts w:cs="Arial"/>
                <w:sz w:val="18"/>
                <w:szCs w:val="18"/>
                <w:lang w:val="es-ES" w:eastAsia="en-US"/>
              </w:rPr>
            </w:pPr>
            <w:r>
              <w:rPr>
                <w:rFonts w:cs="Arial"/>
                <w:sz w:val="18"/>
                <w:szCs w:val="18"/>
                <w:lang w:val="es-ES" w:eastAsia="en-US"/>
              </w:rPr>
              <w:t>Prestación de Servicios Públicos.</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58CF9227" w14:textId="77777777" w:rsidR="00A41077" w:rsidRDefault="00A41077" w:rsidP="00A41077">
            <w:pPr>
              <w:spacing w:line="256" w:lineRule="auto"/>
              <w:jc w:val="center"/>
              <w:rPr>
                <w:rFonts w:cs="Arial"/>
                <w:b/>
                <w:sz w:val="18"/>
                <w:szCs w:val="18"/>
                <w:lang w:val="es-ES" w:eastAsia="en-US"/>
              </w:rPr>
            </w:pPr>
            <w:r>
              <w:rPr>
                <w:rFonts w:cs="Arial"/>
                <w:b/>
                <w:sz w:val="18"/>
                <w:szCs w:val="18"/>
                <w:lang w:val="es-ES" w:eastAsia="en-US"/>
              </w:rPr>
              <w:t>E</w:t>
            </w:r>
          </w:p>
        </w:tc>
        <w:tc>
          <w:tcPr>
            <w:tcW w:w="1468" w:type="dxa"/>
            <w:tcBorders>
              <w:top w:val="single" w:sz="4" w:space="0" w:color="auto"/>
              <w:left w:val="single" w:sz="4" w:space="0" w:color="auto"/>
              <w:bottom w:val="single" w:sz="4" w:space="0" w:color="auto"/>
              <w:right w:val="single" w:sz="4" w:space="0" w:color="auto"/>
            </w:tcBorders>
            <w:vAlign w:val="center"/>
            <w:hideMark/>
          </w:tcPr>
          <w:p w14:paraId="2E26B5B7" w14:textId="575BCAF0"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14,061,891,602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1E15F544" w14:textId="4F284101"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40,582,445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4B6EE5A1" w14:textId="39E72B41"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14,102,474,047 </w:t>
            </w:r>
          </w:p>
        </w:tc>
      </w:tr>
      <w:tr w:rsidR="00A41077" w14:paraId="00C11117"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6811EF55" w14:textId="77777777" w:rsidR="00A41077" w:rsidRDefault="00A41077" w:rsidP="00A41077">
            <w:pPr>
              <w:spacing w:line="256" w:lineRule="auto"/>
              <w:ind w:left="252"/>
              <w:rPr>
                <w:rFonts w:cs="Arial"/>
                <w:sz w:val="18"/>
                <w:szCs w:val="18"/>
                <w:lang w:val="es-ES" w:eastAsia="en-US"/>
              </w:rPr>
            </w:pPr>
            <w:r>
              <w:rPr>
                <w:rFonts w:cs="Arial"/>
                <w:sz w:val="18"/>
                <w:szCs w:val="18"/>
                <w:lang w:val="es-ES" w:eastAsia="en-US"/>
              </w:rPr>
              <w:t>Provisión de Bienes Públicos.</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131786CB" w14:textId="77777777" w:rsidR="00A41077" w:rsidRDefault="00A41077" w:rsidP="00A41077">
            <w:pPr>
              <w:spacing w:line="256" w:lineRule="auto"/>
              <w:jc w:val="center"/>
              <w:rPr>
                <w:rFonts w:cs="Arial"/>
                <w:b/>
                <w:sz w:val="18"/>
                <w:szCs w:val="18"/>
                <w:lang w:val="es-ES" w:eastAsia="en-US"/>
              </w:rPr>
            </w:pPr>
            <w:r>
              <w:rPr>
                <w:rFonts w:cs="Arial"/>
                <w:b/>
                <w:sz w:val="18"/>
                <w:szCs w:val="18"/>
                <w:lang w:val="es-ES" w:eastAsia="en-US"/>
              </w:rPr>
              <w:t>B</w:t>
            </w:r>
          </w:p>
        </w:tc>
        <w:tc>
          <w:tcPr>
            <w:tcW w:w="1468" w:type="dxa"/>
            <w:tcBorders>
              <w:top w:val="single" w:sz="4" w:space="0" w:color="auto"/>
              <w:left w:val="single" w:sz="4" w:space="0" w:color="auto"/>
              <w:bottom w:val="single" w:sz="4" w:space="0" w:color="auto"/>
              <w:right w:val="single" w:sz="4" w:space="0" w:color="auto"/>
            </w:tcBorders>
            <w:vAlign w:val="center"/>
            <w:hideMark/>
          </w:tcPr>
          <w:p w14:paraId="089AD757" w14:textId="015924B3"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3743E3EC" w14:textId="0F0E2E44"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428B9ADE" w14:textId="76403244"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r>
      <w:tr w:rsidR="00A41077" w14:paraId="5BEDBCBF"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09B95C0D" w14:textId="77777777" w:rsidR="00A41077" w:rsidRDefault="00A41077" w:rsidP="00A41077">
            <w:pPr>
              <w:spacing w:line="256" w:lineRule="auto"/>
              <w:ind w:left="252"/>
              <w:rPr>
                <w:rFonts w:cs="Arial"/>
                <w:sz w:val="18"/>
                <w:szCs w:val="18"/>
                <w:lang w:val="es-ES" w:eastAsia="en-US"/>
              </w:rPr>
            </w:pPr>
            <w:r>
              <w:rPr>
                <w:rFonts w:cs="Arial"/>
                <w:sz w:val="18"/>
                <w:szCs w:val="18"/>
                <w:lang w:val="es-ES" w:eastAsia="en-US"/>
              </w:rPr>
              <w:t>Planeación, Seguimiento y Evaluación de Políticas Públicas.</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270D1726" w14:textId="77777777" w:rsidR="00A41077" w:rsidRDefault="00A41077" w:rsidP="00A41077">
            <w:pPr>
              <w:spacing w:line="256" w:lineRule="auto"/>
              <w:jc w:val="center"/>
              <w:rPr>
                <w:rFonts w:cs="Arial"/>
                <w:b/>
                <w:sz w:val="18"/>
                <w:szCs w:val="18"/>
                <w:lang w:val="es-ES" w:eastAsia="en-US"/>
              </w:rPr>
            </w:pPr>
            <w:r>
              <w:rPr>
                <w:rFonts w:cs="Arial"/>
                <w:b/>
                <w:sz w:val="18"/>
                <w:szCs w:val="18"/>
                <w:lang w:val="es-ES" w:eastAsia="en-US"/>
              </w:rPr>
              <w:t>P</w:t>
            </w:r>
          </w:p>
        </w:tc>
        <w:tc>
          <w:tcPr>
            <w:tcW w:w="1468" w:type="dxa"/>
            <w:tcBorders>
              <w:top w:val="single" w:sz="4" w:space="0" w:color="auto"/>
              <w:left w:val="single" w:sz="4" w:space="0" w:color="auto"/>
              <w:bottom w:val="single" w:sz="4" w:space="0" w:color="auto"/>
              <w:right w:val="single" w:sz="4" w:space="0" w:color="auto"/>
            </w:tcBorders>
            <w:vAlign w:val="center"/>
            <w:hideMark/>
          </w:tcPr>
          <w:p w14:paraId="3C3DC32A" w14:textId="6CDCC12B"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1,037,053,292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287506DA" w14:textId="46742ABE"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2C949A3C" w14:textId="04FE3AB0"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1,037,053,292 </w:t>
            </w:r>
          </w:p>
        </w:tc>
      </w:tr>
      <w:tr w:rsidR="00A41077" w14:paraId="4D9E0E99"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4A6EDA21" w14:textId="77777777" w:rsidR="00A41077" w:rsidRDefault="00A41077" w:rsidP="00A41077">
            <w:pPr>
              <w:spacing w:line="256" w:lineRule="auto"/>
              <w:ind w:left="252"/>
              <w:rPr>
                <w:rFonts w:cs="Arial"/>
                <w:sz w:val="18"/>
                <w:szCs w:val="18"/>
                <w:lang w:val="es-ES" w:eastAsia="en-US"/>
              </w:rPr>
            </w:pPr>
            <w:r>
              <w:rPr>
                <w:rFonts w:cs="Arial"/>
                <w:sz w:val="18"/>
                <w:szCs w:val="18"/>
                <w:lang w:val="es-ES" w:eastAsia="en-US"/>
              </w:rPr>
              <w:t>Promoción y Fomento.</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19B30FAA" w14:textId="77777777" w:rsidR="00A41077" w:rsidRDefault="00A41077" w:rsidP="00A41077">
            <w:pPr>
              <w:spacing w:line="256" w:lineRule="auto"/>
              <w:jc w:val="center"/>
              <w:rPr>
                <w:rFonts w:cs="Arial"/>
                <w:b/>
                <w:sz w:val="18"/>
                <w:szCs w:val="18"/>
                <w:lang w:val="es-ES" w:eastAsia="en-US"/>
              </w:rPr>
            </w:pPr>
            <w:r>
              <w:rPr>
                <w:rFonts w:cs="Arial"/>
                <w:b/>
                <w:sz w:val="18"/>
                <w:szCs w:val="18"/>
                <w:lang w:val="es-ES" w:eastAsia="en-US"/>
              </w:rPr>
              <w:t>F</w:t>
            </w:r>
          </w:p>
        </w:tc>
        <w:tc>
          <w:tcPr>
            <w:tcW w:w="1468" w:type="dxa"/>
            <w:tcBorders>
              <w:top w:val="single" w:sz="4" w:space="0" w:color="auto"/>
              <w:left w:val="single" w:sz="4" w:space="0" w:color="auto"/>
              <w:bottom w:val="single" w:sz="4" w:space="0" w:color="auto"/>
              <w:right w:val="single" w:sz="4" w:space="0" w:color="auto"/>
            </w:tcBorders>
            <w:vAlign w:val="center"/>
            <w:hideMark/>
          </w:tcPr>
          <w:p w14:paraId="056CA0E9" w14:textId="2521411E"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177,179,206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3365CE4E" w14:textId="31F91AE0"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63A860FF" w14:textId="6681FC58"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177,179,206 </w:t>
            </w:r>
          </w:p>
        </w:tc>
      </w:tr>
      <w:tr w:rsidR="00A41077" w14:paraId="019A6241"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43A2D601" w14:textId="77777777" w:rsidR="00A41077" w:rsidRDefault="00A41077" w:rsidP="00A41077">
            <w:pPr>
              <w:spacing w:line="256" w:lineRule="auto"/>
              <w:ind w:left="252"/>
              <w:rPr>
                <w:rFonts w:cs="Arial"/>
                <w:sz w:val="18"/>
                <w:szCs w:val="18"/>
                <w:lang w:val="es-ES" w:eastAsia="en-US"/>
              </w:rPr>
            </w:pPr>
            <w:r>
              <w:rPr>
                <w:rFonts w:cs="Arial"/>
                <w:sz w:val="18"/>
                <w:szCs w:val="18"/>
                <w:lang w:val="es-ES" w:eastAsia="en-US"/>
              </w:rPr>
              <w:t>Regulación y Supervisión.</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58F8B6B5" w14:textId="77777777" w:rsidR="00A41077" w:rsidRDefault="00A41077" w:rsidP="00A41077">
            <w:pPr>
              <w:spacing w:line="256" w:lineRule="auto"/>
              <w:jc w:val="center"/>
              <w:rPr>
                <w:rFonts w:cs="Arial"/>
                <w:b/>
                <w:sz w:val="18"/>
                <w:szCs w:val="18"/>
                <w:lang w:val="es-ES" w:eastAsia="en-US"/>
              </w:rPr>
            </w:pPr>
            <w:r>
              <w:rPr>
                <w:rFonts w:cs="Arial"/>
                <w:b/>
                <w:sz w:val="18"/>
                <w:szCs w:val="18"/>
                <w:lang w:val="es-ES" w:eastAsia="en-US"/>
              </w:rPr>
              <w:t>G</w:t>
            </w:r>
          </w:p>
        </w:tc>
        <w:tc>
          <w:tcPr>
            <w:tcW w:w="1468" w:type="dxa"/>
            <w:tcBorders>
              <w:top w:val="single" w:sz="4" w:space="0" w:color="auto"/>
              <w:left w:val="single" w:sz="4" w:space="0" w:color="auto"/>
              <w:bottom w:val="single" w:sz="4" w:space="0" w:color="auto"/>
              <w:right w:val="single" w:sz="4" w:space="0" w:color="auto"/>
            </w:tcBorders>
            <w:vAlign w:val="center"/>
            <w:hideMark/>
          </w:tcPr>
          <w:p w14:paraId="58862F7E" w14:textId="4BBB0DB6"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169,754,208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2ED8EAA3" w14:textId="2EA702BF"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52AE3E57" w14:textId="0B07DD25"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169,754,208 </w:t>
            </w:r>
          </w:p>
        </w:tc>
      </w:tr>
      <w:tr w:rsidR="00A41077" w14:paraId="7C47FCAC"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1AB81881" w14:textId="77777777" w:rsidR="00A41077" w:rsidRDefault="00A41077" w:rsidP="00A41077">
            <w:pPr>
              <w:spacing w:line="256" w:lineRule="auto"/>
              <w:ind w:left="252"/>
              <w:rPr>
                <w:rFonts w:cs="Arial"/>
                <w:sz w:val="18"/>
                <w:szCs w:val="18"/>
                <w:lang w:val="es-ES" w:eastAsia="en-US"/>
              </w:rPr>
            </w:pPr>
            <w:r>
              <w:rPr>
                <w:rFonts w:cs="Arial"/>
                <w:sz w:val="18"/>
                <w:szCs w:val="18"/>
                <w:lang w:val="es-ES" w:eastAsia="en-US"/>
              </w:rPr>
              <w:t>Funciones de las Fuerzas Armadas (Únicamente Gobierno Federal).</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2390CBE2" w14:textId="77777777" w:rsidR="00A41077" w:rsidRDefault="00A41077" w:rsidP="00A41077">
            <w:pPr>
              <w:spacing w:line="256" w:lineRule="auto"/>
              <w:jc w:val="center"/>
              <w:rPr>
                <w:rFonts w:cs="Arial"/>
                <w:b/>
                <w:sz w:val="18"/>
                <w:szCs w:val="18"/>
                <w:lang w:val="es-ES" w:eastAsia="en-US"/>
              </w:rPr>
            </w:pPr>
            <w:r>
              <w:rPr>
                <w:rFonts w:cs="Arial"/>
                <w:b/>
                <w:sz w:val="18"/>
                <w:szCs w:val="18"/>
                <w:lang w:val="es-ES" w:eastAsia="en-US"/>
              </w:rPr>
              <w:t>A</w:t>
            </w:r>
          </w:p>
        </w:tc>
        <w:tc>
          <w:tcPr>
            <w:tcW w:w="1468" w:type="dxa"/>
            <w:tcBorders>
              <w:top w:val="single" w:sz="4" w:space="0" w:color="auto"/>
              <w:left w:val="single" w:sz="4" w:space="0" w:color="auto"/>
              <w:bottom w:val="single" w:sz="4" w:space="0" w:color="auto"/>
              <w:right w:val="single" w:sz="4" w:space="0" w:color="auto"/>
            </w:tcBorders>
            <w:vAlign w:val="center"/>
            <w:hideMark/>
          </w:tcPr>
          <w:p w14:paraId="04EA52DE" w14:textId="00EF8D52"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2C79BB7F" w14:textId="7537C5BB"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551AB2BE" w14:textId="410219E2"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r>
      <w:tr w:rsidR="00A41077" w14:paraId="3672F3BA"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70B54C51" w14:textId="77777777" w:rsidR="00A41077" w:rsidRDefault="00A41077" w:rsidP="00A41077">
            <w:pPr>
              <w:spacing w:line="256" w:lineRule="auto"/>
              <w:ind w:left="252"/>
              <w:rPr>
                <w:rFonts w:cs="Arial"/>
                <w:sz w:val="18"/>
                <w:szCs w:val="18"/>
                <w:lang w:val="es-ES" w:eastAsia="en-US"/>
              </w:rPr>
            </w:pPr>
            <w:r>
              <w:rPr>
                <w:rFonts w:cs="Arial"/>
                <w:sz w:val="18"/>
                <w:szCs w:val="18"/>
                <w:lang w:val="es-ES" w:eastAsia="en-US"/>
              </w:rPr>
              <w:t>Específicos.</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763DA6C0" w14:textId="77777777" w:rsidR="00A41077" w:rsidRDefault="00A41077" w:rsidP="00A41077">
            <w:pPr>
              <w:spacing w:line="256" w:lineRule="auto"/>
              <w:jc w:val="center"/>
              <w:rPr>
                <w:rFonts w:cs="Arial"/>
                <w:b/>
                <w:sz w:val="18"/>
                <w:szCs w:val="18"/>
                <w:lang w:val="es-ES" w:eastAsia="en-US"/>
              </w:rPr>
            </w:pPr>
            <w:r>
              <w:rPr>
                <w:rFonts w:cs="Arial"/>
                <w:b/>
                <w:sz w:val="18"/>
                <w:szCs w:val="18"/>
                <w:lang w:val="es-ES" w:eastAsia="en-US"/>
              </w:rPr>
              <w:t>R</w:t>
            </w:r>
          </w:p>
        </w:tc>
        <w:tc>
          <w:tcPr>
            <w:tcW w:w="1468" w:type="dxa"/>
            <w:tcBorders>
              <w:top w:val="single" w:sz="4" w:space="0" w:color="auto"/>
              <w:left w:val="single" w:sz="4" w:space="0" w:color="auto"/>
              <w:bottom w:val="single" w:sz="4" w:space="0" w:color="auto"/>
              <w:right w:val="single" w:sz="4" w:space="0" w:color="auto"/>
            </w:tcBorders>
            <w:vAlign w:val="center"/>
            <w:hideMark/>
          </w:tcPr>
          <w:p w14:paraId="3633002C" w14:textId="25EA2832"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5D9A6B87" w14:textId="6D6D56E3"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134,680,842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081C0831" w14:textId="3E892127"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134,680,842 </w:t>
            </w:r>
          </w:p>
        </w:tc>
      </w:tr>
      <w:tr w:rsidR="00A41077" w14:paraId="2EA8B533"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72FCFBB0" w14:textId="77777777" w:rsidR="00A41077" w:rsidRDefault="00A41077" w:rsidP="00A41077">
            <w:pPr>
              <w:spacing w:line="256" w:lineRule="auto"/>
              <w:ind w:left="252"/>
              <w:rPr>
                <w:rFonts w:cs="Arial"/>
                <w:sz w:val="18"/>
                <w:szCs w:val="18"/>
                <w:lang w:val="es-ES" w:eastAsia="en-US"/>
              </w:rPr>
            </w:pPr>
            <w:r>
              <w:rPr>
                <w:rFonts w:cs="Arial"/>
                <w:sz w:val="18"/>
                <w:szCs w:val="18"/>
                <w:lang w:val="es-ES" w:eastAsia="en-US"/>
              </w:rPr>
              <w:t>Proyectos de Inversión.</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6E5075F6" w14:textId="77777777" w:rsidR="00A41077" w:rsidRDefault="00A41077" w:rsidP="00A41077">
            <w:pPr>
              <w:spacing w:line="256" w:lineRule="auto"/>
              <w:jc w:val="center"/>
              <w:rPr>
                <w:rFonts w:cs="Arial"/>
                <w:b/>
                <w:sz w:val="18"/>
                <w:szCs w:val="18"/>
                <w:lang w:val="es-ES" w:eastAsia="en-US"/>
              </w:rPr>
            </w:pPr>
            <w:r>
              <w:rPr>
                <w:rFonts w:cs="Arial"/>
                <w:b/>
                <w:sz w:val="18"/>
                <w:szCs w:val="18"/>
                <w:lang w:val="es-ES" w:eastAsia="en-US"/>
              </w:rPr>
              <w:t>K</w:t>
            </w:r>
          </w:p>
        </w:tc>
        <w:tc>
          <w:tcPr>
            <w:tcW w:w="1468" w:type="dxa"/>
            <w:tcBorders>
              <w:top w:val="single" w:sz="4" w:space="0" w:color="auto"/>
              <w:left w:val="single" w:sz="4" w:space="0" w:color="auto"/>
              <w:bottom w:val="single" w:sz="4" w:space="0" w:color="auto"/>
              <w:right w:val="single" w:sz="4" w:space="0" w:color="auto"/>
            </w:tcBorders>
            <w:vAlign w:val="center"/>
            <w:hideMark/>
          </w:tcPr>
          <w:p w14:paraId="1FCA5548" w14:textId="2A01774B"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451,198,208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303668D3" w14:textId="5C256B3A"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32602CF0" w14:textId="75E9DE44"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451,198,208 </w:t>
            </w:r>
          </w:p>
        </w:tc>
      </w:tr>
      <w:tr w:rsidR="00A41077" w14:paraId="15C10CD1"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193C4058" w14:textId="77777777" w:rsidR="00A41077" w:rsidRDefault="00A41077" w:rsidP="00A41077">
            <w:pPr>
              <w:spacing w:line="256" w:lineRule="auto"/>
              <w:rPr>
                <w:rFonts w:cs="Arial"/>
                <w:b/>
                <w:bCs/>
                <w:sz w:val="18"/>
                <w:szCs w:val="18"/>
                <w:lang w:val="es-ES" w:eastAsia="en-US"/>
              </w:rPr>
            </w:pPr>
            <w:r>
              <w:rPr>
                <w:rFonts w:cs="Arial"/>
                <w:b/>
                <w:bCs/>
                <w:sz w:val="18"/>
                <w:szCs w:val="18"/>
                <w:lang w:val="es-ES" w:eastAsia="en-US"/>
              </w:rPr>
              <w:t>Administrativos y de Apoyo.</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377D2924" w14:textId="77777777" w:rsidR="00A41077" w:rsidRDefault="00A41077" w:rsidP="00A41077">
            <w:pPr>
              <w:rPr>
                <w:rFonts w:cs="Arial"/>
                <w:b/>
                <w:bCs/>
                <w:sz w:val="18"/>
                <w:szCs w:val="18"/>
                <w:lang w:val="es-ES" w:eastAsia="en-US"/>
              </w:rPr>
            </w:pPr>
          </w:p>
        </w:tc>
        <w:tc>
          <w:tcPr>
            <w:tcW w:w="1468" w:type="dxa"/>
            <w:tcBorders>
              <w:top w:val="single" w:sz="4" w:space="0" w:color="auto"/>
              <w:left w:val="single" w:sz="4" w:space="0" w:color="auto"/>
              <w:bottom w:val="single" w:sz="4" w:space="0" w:color="auto"/>
              <w:right w:val="single" w:sz="4" w:space="0" w:color="auto"/>
            </w:tcBorders>
            <w:vAlign w:val="center"/>
            <w:hideMark/>
          </w:tcPr>
          <w:p w14:paraId="57A01442" w14:textId="428C3C1A" w:rsidR="00A41077" w:rsidRDefault="00A41077" w:rsidP="00A41077">
            <w:pPr>
              <w:spacing w:line="256" w:lineRule="auto"/>
              <w:jc w:val="right"/>
              <w:rPr>
                <w:rFonts w:cs="Arial"/>
                <w:sz w:val="18"/>
                <w:szCs w:val="18"/>
                <w:lang w:val="es-ES" w:eastAsia="en-US"/>
              </w:rPr>
            </w:pPr>
            <w:r>
              <w:rPr>
                <w:rFonts w:cs="Arial"/>
                <w:color w:val="000000"/>
                <w:sz w:val="18"/>
                <w:szCs w:val="18"/>
              </w:rPr>
              <w:t>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3335FB13" w14:textId="7786F15B" w:rsidR="00A41077" w:rsidRDefault="00A41077" w:rsidP="00A41077">
            <w:pPr>
              <w:spacing w:line="256" w:lineRule="auto"/>
              <w:jc w:val="right"/>
              <w:rPr>
                <w:rFonts w:cs="Arial"/>
                <w:sz w:val="18"/>
                <w:szCs w:val="18"/>
                <w:lang w:val="es-ES" w:eastAsia="en-US"/>
              </w:rPr>
            </w:pPr>
            <w:r>
              <w:rPr>
                <w:rFonts w:cs="Arial"/>
                <w:color w:val="000000"/>
                <w:sz w:val="18"/>
                <w:szCs w:val="18"/>
              </w:rPr>
              <w:t>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38EDCC3D" w14:textId="2C7AD2AE" w:rsidR="00A41077" w:rsidRDefault="00A41077" w:rsidP="00A41077">
            <w:pPr>
              <w:spacing w:line="256" w:lineRule="auto"/>
              <w:jc w:val="right"/>
              <w:rPr>
                <w:rFonts w:cs="Arial"/>
                <w:sz w:val="18"/>
                <w:szCs w:val="18"/>
                <w:lang w:val="es-ES" w:eastAsia="en-US"/>
              </w:rPr>
            </w:pPr>
            <w:r>
              <w:rPr>
                <w:rFonts w:cs="Arial"/>
                <w:color w:val="000000"/>
                <w:sz w:val="18"/>
                <w:szCs w:val="18"/>
              </w:rPr>
              <w:t> </w:t>
            </w:r>
          </w:p>
        </w:tc>
      </w:tr>
      <w:tr w:rsidR="00A41077" w14:paraId="148A7710"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2A155A6F" w14:textId="77777777" w:rsidR="00A41077" w:rsidRDefault="00A41077" w:rsidP="00A41077">
            <w:pPr>
              <w:spacing w:line="256" w:lineRule="auto"/>
              <w:ind w:left="252"/>
              <w:rPr>
                <w:rFonts w:cs="Arial"/>
                <w:sz w:val="18"/>
                <w:szCs w:val="18"/>
                <w:lang w:val="es-ES" w:eastAsia="en-US"/>
              </w:rPr>
            </w:pPr>
            <w:r>
              <w:rPr>
                <w:rFonts w:cs="Arial"/>
                <w:sz w:val="18"/>
                <w:szCs w:val="18"/>
                <w:lang w:val="es-ES" w:eastAsia="en-US"/>
              </w:rPr>
              <w:t>Apoyo al Proceso Presupuestario y para Mejorar la Eficiencia Institucional.</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103B2A1F" w14:textId="77777777" w:rsidR="00A41077" w:rsidRDefault="00A41077" w:rsidP="00A41077">
            <w:pPr>
              <w:spacing w:line="256" w:lineRule="auto"/>
              <w:jc w:val="center"/>
              <w:rPr>
                <w:rFonts w:cs="Arial"/>
                <w:b/>
                <w:sz w:val="18"/>
                <w:szCs w:val="18"/>
                <w:lang w:val="es-ES" w:eastAsia="en-US"/>
              </w:rPr>
            </w:pPr>
            <w:r>
              <w:rPr>
                <w:rFonts w:cs="Arial"/>
                <w:b/>
                <w:sz w:val="18"/>
                <w:szCs w:val="18"/>
                <w:lang w:val="es-ES" w:eastAsia="en-US"/>
              </w:rPr>
              <w:t>M</w:t>
            </w:r>
          </w:p>
        </w:tc>
        <w:tc>
          <w:tcPr>
            <w:tcW w:w="1468" w:type="dxa"/>
            <w:tcBorders>
              <w:top w:val="single" w:sz="4" w:space="0" w:color="auto"/>
              <w:left w:val="single" w:sz="4" w:space="0" w:color="auto"/>
              <w:bottom w:val="single" w:sz="4" w:space="0" w:color="auto"/>
              <w:right w:val="single" w:sz="4" w:space="0" w:color="auto"/>
            </w:tcBorders>
            <w:vAlign w:val="center"/>
            <w:hideMark/>
          </w:tcPr>
          <w:p w14:paraId="48CB99EA" w14:textId="0777D849"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425,950,547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45DC77C1" w14:textId="750491E0"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35EB0779" w14:textId="5034282C"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425,950,547 </w:t>
            </w:r>
          </w:p>
        </w:tc>
      </w:tr>
      <w:tr w:rsidR="00A41077" w14:paraId="5BD9319A"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1F066CF1" w14:textId="77777777" w:rsidR="00A41077" w:rsidRDefault="00A41077" w:rsidP="00A41077">
            <w:pPr>
              <w:spacing w:line="256" w:lineRule="auto"/>
              <w:ind w:left="252"/>
              <w:rPr>
                <w:rFonts w:cs="Arial"/>
                <w:sz w:val="18"/>
                <w:szCs w:val="18"/>
                <w:lang w:val="es-ES" w:eastAsia="en-US"/>
              </w:rPr>
            </w:pPr>
            <w:r>
              <w:rPr>
                <w:rFonts w:cs="Arial"/>
                <w:sz w:val="18"/>
                <w:szCs w:val="18"/>
                <w:lang w:val="es-ES" w:eastAsia="en-US"/>
              </w:rPr>
              <w:t>Apoyo a la Función Pública y al Mejoramiento de la Gestión.</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548E2201" w14:textId="77777777" w:rsidR="00A41077" w:rsidRDefault="00A41077" w:rsidP="00A41077">
            <w:pPr>
              <w:spacing w:line="256" w:lineRule="auto"/>
              <w:jc w:val="center"/>
              <w:rPr>
                <w:rFonts w:cs="Arial"/>
                <w:b/>
                <w:sz w:val="18"/>
                <w:szCs w:val="18"/>
                <w:lang w:val="es-ES" w:eastAsia="en-US"/>
              </w:rPr>
            </w:pPr>
            <w:r>
              <w:rPr>
                <w:rFonts w:cs="Arial"/>
                <w:b/>
                <w:sz w:val="18"/>
                <w:szCs w:val="18"/>
                <w:lang w:val="es-ES" w:eastAsia="en-US"/>
              </w:rPr>
              <w:t>O</w:t>
            </w:r>
          </w:p>
        </w:tc>
        <w:tc>
          <w:tcPr>
            <w:tcW w:w="1468" w:type="dxa"/>
            <w:tcBorders>
              <w:top w:val="single" w:sz="4" w:space="0" w:color="auto"/>
              <w:left w:val="single" w:sz="4" w:space="0" w:color="auto"/>
              <w:bottom w:val="single" w:sz="4" w:space="0" w:color="auto"/>
              <w:right w:val="single" w:sz="4" w:space="0" w:color="auto"/>
            </w:tcBorders>
            <w:vAlign w:val="center"/>
            <w:hideMark/>
          </w:tcPr>
          <w:p w14:paraId="6BBB7300" w14:textId="2641880B"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73,614,931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1137C3C2" w14:textId="74D14055"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235DAD97" w14:textId="36DE0496"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73,614,931 </w:t>
            </w:r>
          </w:p>
        </w:tc>
      </w:tr>
      <w:tr w:rsidR="00A41077" w14:paraId="49A54E5A"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3650C02E" w14:textId="77777777" w:rsidR="00A41077" w:rsidRDefault="00A41077" w:rsidP="00A41077">
            <w:pPr>
              <w:spacing w:line="256" w:lineRule="auto"/>
              <w:ind w:left="252"/>
              <w:rPr>
                <w:rFonts w:cs="Arial"/>
                <w:sz w:val="18"/>
                <w:szCs w:val="18"/>
                <w:lang w:val="es-ES" w:eastAsia="en-US"/>
              </w:rPr>
            </w:pPr>
            <w:r>
              <w:rPr>
                <w:rFonts w:cs="Arial"/>
                <w:sz w:val="18"/>
                <w:szCs w:val="18"/>
                <w:lang w:val="es-ES" w:eastAsia="en-US"/>
              </w:rPr>
              <w:t>Operaciones Ajenas.</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52E97961" w14:textId="77777777" w:rsidR="00A41077" w:rsidRDefault="00A41077" w:rsidP="00A41077">
            <w:pPr>
              <w:spacing w:line="256" w:lineRule="auto"/>
              <w:jc w:val="center"/>
              <w:rPr>
                <w:rFonts w:cs="Arial"/>
                <w:b/>
                <w:sz w:val="18"/>
                <w:szCs w:val="18"/>
                <w:lang w:val="es-ES" w:eastAsia="en-US"/>
              </w:rPr>
            </w:pPr>
            <w:r>
              <w:rPr>
                <w:rFonts w:cs="Arial"/>
                <w:b/>
                <w:sz w:val="18"/>
                <w:szCs w:val="18"/>
                <w:lang w:val="es-ES" w:eastAsia="en-US"/>
              </w:rPr>
              <w:t>W</w:t>
            </w:r>
          </w:p>
        </w:tc>
        <w:tc>
          <w:tcPr>
            <w:tcW w:w="1468" w:type="dxa"/>
            <w:tcBorders>
              <w:top w:val="single" w:sz="4" w:space="0" w:color="auto"/>
              <w:left w:val="single" w:sz="4" w:space="0" w:color="auto"/>
              <w:bottom w:val="single" w:sz="4" w:space="0" w:color="auto"/>
              <w:right w:val="single" w:sz="4" w:space="0" w:color="auto"/>
            </w:tcBorders>
            <w:vAlign w:val="center"/>
            <w:hideMark/>
          </w:tcPr>
          <w:p w14:paraId="61E261D1" w14:textId="30194621"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44CF7820" w14:textId="378B36E2"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66403E5C" w14:textId="16BB5905"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r>
      <w:tr w:rsidR="00A41077" w14:paraId="5F690C3E"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65BBA0FE" w14:textId="77777777" w:rsidR="00A41077" w:rsidRDefault="00A41077" w:rsidP="00A41077">
            <w:pPr>
              <w:spacing w:line="256" w:lineRule="auto"/>
              <w:rPr>
                <w:rFonts w:cs="Arial"/>
                <w:b/>
                <w:bCs/>
                <w:sz w:val="18"/>
                <w:szCs w:val="18"/>
                <w:lang w:val="es-ES" w:eastAsia="en-US"/>
              </w:rPr>
            </w:pPr>
            <w:r>
              <w:rPr>
                <w:rFonts w:cs="Arial"/>
                <w:b/>
                <w:bCs/>
                <w:sz w:val="18"/>
                <w:szCs w:val="18"/>
                <w:lang w:val="es-ES" w:eastAsia="en-US"/>
              </w:rPr>
              <w:t>Compromisos.</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6A1C295B" w14:textId="77777777" w:rsidR="00A41077" w:rsidRDefault="00A41077" w:rsidP="00A41077">
            <w:pPr>
              <w:rPr>
                <w:rFonts w:cs="Arial"/>
                <w:b/>
                <w:bCs/>
                <w:sz w:val="18"/>
                <w:szCs w:val="18"/>
                <w:lang w:val="es-ES" w:eastAsia="en-US"/>
              </w:rPr>
            </w:pPr>
          </w:p>
        </w:tc>
        <w:tc>
          <w:tcPr>
            <w:tcW w:w="1468" w:type="dxa"/>
            <w:tcBorders>
              <w:top w:val="single" w:sz="4" w:space="0" w:color="auto"/>
              <w:left w:val="single" w:sz="4" w:space="0" w:color="auto"/>
              <w:bottom w:val="single" w:sz="4" w:space="0" w:color="auto"/>
              <w:right w:val="single" w:sz="4" w:space="0" w:color="auto"/>
            </w:tcBorders>
            <w:vAlign w:val="center"/>
            <w:hideMark/>
          </w:tcPr>
          <w:p w14:paraId="556B7647" w14:textId="008FA344" w:rsidR="00A41077" w:rsidRDefault="00A41077" w:rsidP="00A41077">
            <w:pPr>
              <w:spacing w:line="256" w:lineRule="auto"/>
              <w:jc w:val="right"/>
              <w:rPr>
                <w:rFonts w:cs="Arial"/>
                <w:sz w:val="18"/>
                <w:szCs w:val="18"/>
                <w:lang w:val="es-ES" w:eastAsia="en-US"/>
              </w:rPr>
            </w:pPr>
            <w:r>
              <w:rPr>
                <w:rFonts w:cs="Arial"/>
                <w:color w:val="000000"/>
                <w:sz w:val="18"/>
                <w:szCs w:val="18"/>
              </w:rPr>
              <w:t>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16A5630E" w14:textId="6F665BE2" w:rsidR="00A41077" w:rsidRDefault="00A41077" w:rsidP="00A41077">
            <w:pPr>
              <w:spacing w:line="256" w:lineRule="auto"/>
              <w:jc w:val="right"/>
              <w:rPr>
                <w:rFonts w:cs="Arial"/>
                <w:sz w:val="18"/>
                <w:szCs w:val="18"/>
                <w:lang w:val="es-ES" w:eastAsia="en-US"/>
              </w:rPr>
            </w:pPr>
            <w:r>
              <w:rPr>
                <w:rFonts w:cs="Arial"/>
                <w:color w:val="000000"/>
                <w:sz w:val="18"/>
                <w:szCs w:val="18"/>
              </w:rPr>
              <w:t>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61D5BAB8" w14:textId="5D816C7A" w:rsidR="00A41077" w:rsidRDefault="00A41077" w:rsidP="00A41077">
            <w:pPr>
              <w:spacing w:line="256" w:lineRule="auto"/>
              <w:jc w:val="right"/>
              <w:rPr>
                <w:rFonts w:cs="Arial"/>
                <w:sz w:val="18"/>
                <w:szCs w:val="18"/>
                <w:lang w:val="es-ES" w:eastAsia="en-US"/>
              </w:rPr>
            </w:pPr>
            <w:r>
              <w:rPr>
                <w:rFonts w:cs="Arial"/>
                <w:color w:val="000000"/>
                <w:sz w:val="18"/>
                <w:szCs w:val="18"/>
              </w:rPr>
              <w:t> </w:t>
            </w:r>
          </w:p>
        </w:tc>
      </w:tr>
      <w:tr w:rsidR="00A41077" w14:paraId="1698F34C"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5C0799D6" w14:textId="77777777" w:rsidR="00A41077" w:rsidRDefault="00A41077" w:rsidP="00A41077">
            <w:pPr>
              <w:spacing w:line="256" w:lineRule="auto"/>
              <w:ind w:left="252"/>
              <w:rPr>
                <w:rFonts w:cs="Arial"/>
                <w:sz w:val="18"/>
                <w:szCs w:val="18"/>
                <w:lang w:val="es-ES" w:eastAsia="en-US"/>
              </w:rPr>
            </w:pPr>
            <w:r>
              <w:rPr>
                <w:rFonts w:cs="Arial"/>
                <w:sz w:val="18"/>
                <w:szCs w:val="18"/>
                <w:lang w:val="es-ES" w:eastAsia="en-US"/>
              </w:rPr>
              <w:t>Obligaciones de Cumplimiento de Resolución Jurisdiccional.</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2AA5957D" w14:textId="77777777" w:rsidR="00A41077" w:rsidRDefault="00A41077" w:rsidP="00A41077">
            <w:pPr>
              <w:spacing w:line="256" w:lineRule="auto"/>
              <w:jc w:val="center"/>
              <w:rPr>
                <w:rFonts w:cs="Arial"/>
                <w:b/>
                <w:sz w:val="18"/>
                <w:szCs w:val="18"/>
                <w:lang w:val="es-ES" w:eastAsia="en-US"/>
              </w:rPr>
            </w:pPr>
            <w:r>
              <w:rPr>
                <w:rFonts w:cs="Arial"/>
                <w:b/>
                <w:sz w:val="18"/>
                <w:szCs w:val="18"/>
                <w:lang w:val="es-ES" w:eastAsia="en-US"/>
              </w:rPr>
              <w:t>L</w:t>
            </w:r>
          </w:p>
        </w:tc>
        <w:tc>
          <w:tcPr>
            <w:tcW w:w="1468" w:type="dxa"/>
            <w:tcBorders>
              <w:top w:val="single" w:sz="4" w:space="0" w:color="auto"/>
              <w:left w:val="single" w:sz="4" w:space="0" w:color="auto"/>
              <w:bottom w:val="single" w:sz="4" w:space="0" w:color="auto"/>
              <w:right w:val="single" w:sz="4" w:space="0" w:color="auto"/>
            </w:tcBorders>
            <w:vAlign w:val="center"/>
            <w:hideMark/>
          </w:tcPr>
          <w:p w14:paraId="2D64A1B8" w14:textId="220422D5"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89CEA5C" w14:textId="3DB372C0"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06D78F16" w14:textId="24043F58"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r>
      <w:tr w:rsidR="00A41077" w14:paraId="7646E18D"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04BA55D9" w14:textId="77777777" w:rsidR="00A41077" w:rsidRDefault="00A41077" w:rsidP="00A41077">
            <w:pPr>
              <w:spacing w:line="256" w:lineRule="auto"/>
              <w:ind w:left="252"/>
              <w:rPr>
                <w:rFonts w:cs="Arial"/>
                <w:sz w:val="18"/>
                <w:szCs w:val="18"/>
                <w:lang w:val="es-ES" w:eastAsia="en-US"/>
              </w:rPr>
            </w:pPr>
            <w:r>
              <w:rPr>
                <w:rFonts w:cs="Arial"/>
                <w:sz w:val="18"/>
                <w:szCs w:val="18"/>
                <w:lang w:val="es-ES" w:eastAsia="en-US"/>
              </w:rPr>
              <w:t>Desastres Naturales.</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7B7C11E3" w14:textId="77777777" w:rsidR="00A41077" w:rsidRDefault="00A41077" w:rsidP="00A41077">
            <w:pPr>
              <w:spacing w:line="256" w:lineRule="auto"/>
              <w:jc w:val="center"/>
              <w:rPr>
                <w:rFonts w:cs="Arial"/>
                <w:b/>
                <w:sz w:val="18"/>
                <w:szCs w:val="18"/>
                <w:lang w:val="es-ES" w:eastAsia="en-US"/>
              </w:rPr>
            </w:pPr>
            <w:r>
              <w:rPr>
                <w:rFonts w:cs="Arial"/>
                <w:b/>
                <w:sz w:val="18"/>
                <w:szCs w:val="18"/>
                <w:lang w:val="es-ES" w:eastAsia="en-US"/>
              </w:rPr>
              <w:t>N</w:t>
            </w:r>
          </w:p>
        </w:tc>
        <w:tc>
          <w:tcPr>
            <w:tcW w:w="1468" w:type="dxa"/>
            <w:tcBorders>
              <w:top w:val="single" w:sz="4" w:space="0" w:color="auto"/>
              <w:left w:val="single" w:sz="4" w:space="0" w:color="auto"/>
              <w:bottom w:val="single" w:sz="4" w:space="0" w:color="auto"/>
              <w:right w:val="single" w:sz="4" w:space="0" w:color="auto"/>
            </w:tcBorders>
            <w:vAlign w:val="center"/>
            <w:hideMark/>
          </w:tcPr>
          <w:p w14:paraId="61C72A2C" w14:textId="3B3CF978"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53,343,686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30A9CBCD" w14:textId="5392994D"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11,866,598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7CFC4DF0" w14:textId="1397E06A"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65,210,284 </w:t>
            </w:r>
          </w:p>
        </w:tc>
      </w:tr>
      <w:tr w:rsidR="00A41077" w14:paraId="0D003DB5"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1847D7AF" w14:textId="77777777" w:rsidR="00A41077" w:rsidRDefault="00A41077" w:rsidP="00A41077">
            <w:pPr>
              <w:spacing w:line="256" w:lineRule="auto"/>
              <w:rPr>
                <w:rFonts w:cs="Arial"/>
                <w:b/>
                <w:bCs/>
                <w:sz w:val="18"/>
                <w:szCs w:val="18"/>
                <w:lang w:val="es-ES" w:eastAsia="en-US"/>
              </w:rPr>
            </w:pPr>
            <w:r>
              <w:rPr>
                <w:rFonts w:cs="Arial"/>
                <w:b/>
                <w:bCs/>
                <w:sz w:val="18"/>
                <w:szCs w:val="18"/>
                <w:lang w:val="es-ES" w:eastAsia="en-US"/>
              </w:rPr>
              <w:t>Obligaciones.</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172A18FD" w14:textId="77777777" w:rsidR="00A41077" w:rsidRDefault="00A41077" w:rsidP="00A41077">
            <w:pPr>
              <w:rPr>
                <w:rFonts w:cs="Arial"/>
                <w:b/>
                <w:bCs/>
                <w:sz w:val="18"/>
                <w:szCs w:val="18"/>
                <w:lang w:val="es-ES" w:eastAsia="en-US"/>
              </w:rPr>
            </w:pPr>
          </w:p>
        </w:tc>
        <w:tc>
          <w:tcPr>
            <w:tcW w:w="1468" w:type="dxa"/>
            <w:tcBorders>
              <w:top w:val="single" w:sz="4" w:space="0" w:color="auto"/>
              <w:left w:val="single" w:sz="4" w:space="0" w:color="auto"/>
              <w:bottom w:val="single" w:sz="4" w:space="0" w:color="auto"/>
              <w:right w:val="single" w:sz="4" w:space="0" w:color="auto"/>
            </w:tcBorders>
            <w:vAlign w:val="center"/>
            <w:hideMark/>
          </w:tcPr>
          <w:p w14:paraId="450D4F2B" w14:textId="594E084F" w:rsidR="00A41077" w:rsidRDefault="00A41077" w:rsidP="00A41077">
            <w:pPr>
              <w:spacing w:line="256" w:lineRule="auto"/>
              <w:jc w:val="right"/>
              <w:rPr>
                <w:rFonts w:cs="Arial"/>
                <w:sz w:val="18"/>
                <w:szCs w:val="18"/>
                <w:lang w:val="es-ES" w:eastAsia="en-US"/>
              </w:rPr>
            </w:pPr>
            <w:r>
              <w:rPr>
                <w:rFonts w:cs="Arial"/>
                <w:color w:val="000000"/>
                <w:sz w:val="18"/>
                <w:szCs w:val="18"/>
              </w:rPr>
              <w:t>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2AA2F35F" w14:textId="4E8E2181" w:rsidR="00A41077" w:rsidRDefault="00A41077" w:rsidP="00A41077">
            <w:pPr>
              <w:spacing w:line="256" w:lineRule="auto"/>
              <w:jc w:val="right"/>
              <w:rPr>
                <w:rFonts w:cs="Arial"/>
                <w:sz w:val="18"/>
                <w:szCs w:val="18"/>
                <w:lang w:val="es-ES" w:eastAsia="en-US"/>
              </w:rPr>
            </w:pPr>
            <w:r>
              <w:rPr>
                <w:rFonts w:cs="Arial"/>
                <w:color w:val="000000"/>
                <w:sz w:val="18"/>
                <w:szCs w:val="18"/>
              </w:rPr>
              <w:t>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485F59AE" w14:textId="77E38716" w:rsidR="00A41077" w:rsidRDefault="00A41077" w:rsidP="00A41077">
            <w:pPr>
              <w:spacing w:line="256" w:lineRule="auto"/>
              <w:jc w:val="right"/>
              <w:rPr>
                <w:rFonts w:cs="Arial"/>
                <w:sz w:val="18"/>
                <w:szCs w:val="18"/>
                <w:lang w:val="es-ES" w:eastAsia="en-US"/>
              </w:rPr>
            </w:pPr>
            <w:r>
              <w:rPr>
                <w:rFonts w:cs="Arial"/>
                <w:color w:val="000000"/>
                <w:sz w:val="18"/>
                <w:szCs w:val="18"/>
              </w:rPr>
              <w:t> </w:t>
            </w:r>
          </w:p>
        </w:tc>
      </w:tr>
      <w:tr w:rsidR="00A41077" w14:paraId="7091828E"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5D4C05E5" w14:textId="77777777" w:rsidR="00A41077" w:rsidRDefault="00A41077" w:rsidP="00A41077">
            <w:pPr>
              <w:spacing w:line="256" w:lineRule="auto"/>
              <w:ind w:left="252"/>
              <w:rPr>
                <w:rFonts w:cs="Arial"/>
                <w:sz w:val="18"/>
                <w:szCs w:val="18"/>
                <w:lang w:val="es-ES" w:eastAsia="en-US"/>
              </w:rPr>
            </w:pPr>
            <w:r>
              <w:rPr>
                <w:rFonts w:cs="Arial"/>
                <w:sz w:val="18"/>
                <w:szCs w:val="18"/>
                <w:lang w:val="es-ES" w:eastAsia="en-US"/>
              </w:rPr>
              <w:t>Pensiones y Jubilaciones.</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488B046C" w14:textId="77777777" w:rsidR="00A41077" w:rsidRDefault="00A41077" w:rsidP="00A41077">
            <w:pPr>
              <w:spacing w:line="256" w:lineRule="auto"/>
              <w:jc w:val="center"/>
              <w:rPr>
                <w:rFonts w:cs="Arial"/>
                <w:b/>
                <w:sz w:val="18"/>
                <w:szCs w:val="18"/>
                <w:lang w:val="es-ES" w:eastAsia="en-US"/>
              </w:rPr>
            </w:pPr>
            <w:r>
              <w:rPr>
                <w:rFonts w:cs="Arial"/>
                <w:b/>
                <w:sz w:val="18"/>
                <w:szCs w:val="18"/>
                <w:lang w:val="es-ES" w:eastAsia="en-US"/>
              </w:rPr>
              <w:t>J</w:t>
            </w:r>
          </w:p>
        </w:tc>
        <w:tc>
          <w:tcPr>
            <w:tcW w:w="1468" w:type="dxa"/>
            <w:tcBorders>
              <w:top w:val="single" w:sz="4" w:space="0" w:color="auto"/>
              <w:left w:val="single" w:sz="4" w:space="0" w:color="auto"/>
              <w:bottom w:val="single" w:sz="4" w:space="0" w:color="auto"/>
              <w:right w:val="single" w:sz="4" w:space="0" w:color="auto"/>
            </w:tcBorders>
            <w:vAlign w:val="center"/>
            <w:hideMark/>
          </w:tcPr>
          <w:p w14:paraId="18358219" w14:textId="2DD1EAC8"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57CCAAE9" w14:textId="5BAF7D5D"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1,256,591,433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61C57E77" w14:textId="3DED289B"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1,256,591,433 </w:t>
            </w:r>
          </w:p>
        </w:tc>
      </w:tr>
      <w:tr w:rsidR="00A41077" w14:paraId="1B58E18C"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194A6DEF" w14:textId="77777777" w:rsidR="00A41077" w:rsidRDefault="00A41077" w:rsidP="00A41077">
            <w:pPr>
              <w:spacing w:line="256" w:lineRule="auto"/>
              <w:ind w:left="252"/>
              <w:rPr>
                <w:rFonts w:cs="Arial"/>
                <w:sz w:val="18"/>
                <w:szCs w:val="18"/>
                <w:lang w:val="es-ES" w:eastAsia="en-US"/>
              </w:rPr>
            </w:pPr>
            <w:r>
              <w:rPr>
                <w:rFonts w:cs="Arial"/>
                <w:sz w:val="18"/>
                <w:szCs w:val="18"/>
                <w:lang w:val="es-ES" w:eastAsia="en-US"/>
              </w:rPr>
              <w:t>Aportaciones a la Seguridad Social.</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5768367A" w14:textId="77777777" w:rsidR="00A41077" w:rsidRDefault="00A41077" w:rsidP="00A41077">
            <w:pPr>
              <w:spacing w:line="256" w:lineRule="auto"/>
              <w:jc w:val="center"/>
              <w:rPr>
                <w:rFonts w:cs="Arial"/>
                <w:b/>
                <w:sz w:val="18"/>
                <w:szCs w:val="18"/>
                <w:lang w:val="es-ES" w:eastAsia="en-US"/>
              </w:rPr>
            </w:pPr>
            <w:r>
              <w:rPr>
                <w:rFonts w:cs="Arial"/>
                <w:b/>
                <w:sz w:val="18"/>
                <w:szCs w:val="18"/>
                <w:lang w:val="es-ES" w:eastAsia="en-US"/>
              </w:rPr>
              <w:t>T</w:t>
            </w:r>
          </w:p>
        </w:tc>
        <w:tc>
          <w:tcPr>
            <w:tcW w:w="1468" w:type="dxa"/>
            <w:tcBorders>
              <w:top w:val="single" w:sz="4" w:space="0" w:color="auto"/>
              <w:left w:val="single" w:sz="4" w:space="0" w:color="auto"/>
              <w:bottom w:val="single" w:sz="4" w:space="0" w:color="auto"/>
              <w:right w:val="single" w:sz="4" w:space="0" w:color="auto"/>
            </w:tcBorders>
            <w:vAlign w:val="center"/>
            <w:hideMark/>
          </w:tcPr>
          <w:p w14:paraId="53FEB931" w14:textId="60102D68"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6E136297" w14:textId="1F6BFB97"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360,610,448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78BA3A3B" w14:textId="5F6F9AB0"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360,610,448 </w:t>
            </w:r>
          </w:p>
        </w:tc>
      </w:tr>
      <w:tr w:rsidR="00A41077" w14:paraId="24F0E548"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3BD171EE" w14:textId="77777777" w:rsidR="00A41077" w:rsidRDefault="00A41077" w:rsidP="00A41077">
            <w:pPr>
              <w:spacing w:line="256" w:lineRule="auto"/>
              <w:ind w:left="252"/>
              <w:rPr>
                <w:rFonts w:cs="Arial"/>
                <w:sz w:val="18"/>
                <w:szCs w:val="18"/>
                <w:lang w:val="es-ES" w:eastAsia="en-US"/>
              </w:rPr>
            </w:pPr>
            <w:r>
              <w:rPr>
                <w:rFonts w:cs="Arial"/>
                <w:sz w:val="18"/>
                <w:szCs w:val="18"/>
                <w:lang w:val="es-ES" w:eastAsia="en-US"/>
              </w:rPr>
              <w:lastRenderedPageBreak/>
              <w:t>Aportaciones a Fondos de Estabilización.</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6D0C8888" w14:textId="77777777" w:rsidR="00A41077" w:rsidRDefault="00A41077" w:rsidP="00A41077">
            <w:pPr>
              <w:spacing w:line="256" w:lineRule="auto"/>
              <w:jc w:val="center"/>
              <w:rPr>
                <w:rFonts w:cs="Arial"/>
                <w:b/>
                <w:sz w:val="18"/>
                <w:szCs w:val="18"/>
                <w:lang w:val="es-ES" w:eastAsia="en-US"/>
              </w:rPr>
            </w:pPr>
            <w:r>
              <w:rPr>
                <w:rFonts w:cs="Arial"/>
                <w:b/>
                <w:sz w:val="18"/>
                <w:szCs w:val="18"/>
                <w:lang w:val="es-ES" w:eastAsia="en-US"/>
              </w:rPr>
              <w:t>Y</w:t>
            </w:r>
          </w:p>
        </w:tc>
        <w:tc>
          <w:tcPr>
            <w:tcW w:w="1468" w:type="dxa"/>
            <w:tcBorders>
              <w:top w:val="single" w:sz="4" w:space="0" w:color="auto"/>
              <w:left w:val="single" w:sz="4" w:space="0" w:color="auto"/>
              <w:bottom w:val="single" w:sz="4" w:space="0" w:color="auto"/>
              <w:right w:val="single" w:sz="4" w:space="0" w:color="auto"/>
            </w:tcBorders>
            <w:vAlign w:val="center"/>
            <w:hideMark/>
          </w:tcPr>
          <w:p w14:paraId="14DEB7C7" w14:textId="03FE854C"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3F3D1633" w14:textId="4BCEEAD6"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25897241" w14:textId="0531EBEC"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r>
      <w:tr w:rsidR="00A41077" w14:paraId="03543280"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4898C170" w14:textId="77777777" w:rsidR="00A41077" w:rsidRDefault="00A41077" w:rsidP="00A41077">
            <w:pPr>
              <w:spacing w:line="256" w:lineRule="auto"/>
              <w:ind w:left="252"/>
              <w:rPr>
                <w:rFonts w:cs="Arial"/>
                <w:sz w:val="18"/>
                <w:szCs w:val="18"/>
                <w:lang w:val="es-ES" w:eastAsia="en-US"/>
              </w:rPr>
            </w:pPr>
            <w:r>
              <w:rPr>
                <w:rFonts w:cs="Arial"/>
                <w:sz w:val="18"/>
                <w:szCs w:val="18"/>
                <w:lang w:val="es-ES" w:eastAsia="en-US"/>
              </w:rPr>
              <w:t>Aportaciones a Fondos de Inversión y Reestructura de Pensiones.</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2741CE10" w14:textId="77777777" w:rsidR="00A41077" w:rsidRDefault="00A41077" w:rsidP="00A41077">
            <w:pPr>
              <w:spacing w:line="256" w:lineRule="auto"/>
              <w:jc w:val="center"/>
              <w:rPr>
                <w:rFonts w:cs="Arial"/>
                <w:b/>
                <w:sz w:val="18"/>
                <w:szCs w:val="18"/>
                <w:lang w:val="es-ES" w:eastAsia="en-US"/>
              </w:rPr>
            </w:pPr>
            <w:r>
              <w:rPr>
                <w:rFonts w:cs="Arial"/>
                <w:b/>
                <w:sz w:val="18"/>
                <w:szCs w:val="18"/>
                <w:lang w:val="es-ES" w:eastAsia="en-US"/>
              </w:rPr>
              <w:t>Z</w:t>
            </w:r>
          </w:p>
        </w:tc>
        <w:tc>
          <w:tcPr>
            <w:tcW w:w="1468" w:type="dxa"/>
            <w:tcBorders>
              <w:top w:val="single" w:sz="4" w:space="0" w:color="auto"/>
              <w:left w:val="single" w:sz="4" w:space="0" w:color="auto"/>
              <w:bottom w:val="single" w:sz="4" w:space="0" w:color="auto"/>
              <w:right w:val="single" w:sz="4" w:space="0" w:color="auto"/>
            </w:tcBorders>
            <w:vAlign w:val="center"/>
            <w:hideMark/>
          </w:tcPr>
          <w:p w14:paraId="228B16A1" w14:textId="6382051D"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4CEFD7A8" w14:textId="58E07C49"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28313893" w14:textId="04544468" w:rsidR="00A41077" w:rsidRDefault="00A41077" w:rsidP="00A41077">
            <w:pPr>
              <w:spacing w:line="256" w:lineRule="auto"/>
              <w:jc w:val="right"/>
              <w:rPr>
                <w:rFonts w:cs="Arial"/>
                <w:sz w:val="18"/>
                <w:szCs w:val="18"/>
                <w:lang w:val="es-ES" w:eastAsia="en-US"/>
              </w:rPr>
            </w:pPr>
            <w:r>
              <w:rPr>
                <w:rFonts w:cs="Arial"/>
                <w:color w:val="000000"/>
                <w:sz w:val="18"/>
                <w:szCs w:val="18"/>
              </w:rPr>
              <w:t xml:space="preserve">0 </w:t>
            </w:r>
          </w:p>
        </w:tc>
      </w:tr>
      <w:tr w:rsidR="00A41077" w14:paraId="41FD9FA6"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50221CD5" w14:textId="77777777" w:rsidR="00A41077" w:rsidRDefault="00A41077" w:rsidP="00A41077">
            <w:pPr>
              <w:spacing w:line="256" w:lineRule="auto"/>
              <w:rPr>
                <w:rFonts w:cs="Arial"/>
                <w:b/>
                <w:bCs/>
                <w:sz w:val="18"/>
                <w:szCs w:val="18"/>
                <w:lang w:val="es-ES" w:eastAsia="en-US"/>
              </w:rPr>
            </w:pPr>
            <w:r>
              <w:rPr>
                <w:rFonts w:cs="Arial"/>
                <w:b/>
                <w:bCs/>
                <w:sz w:val="18"/>
                <w:szCs w:val="18"/>
                <w:lang w:val="es-ES" w:eastAsia="en-US"/>
              </w:rPr>
              <w:t>Programas de Gasto Federalizado (Gobierno Federal).</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47B90A65" w14:textId="77777777" w:rsidR="00A41077" w:rsidRDefault="00A41077" w:rsidP="00A41077">
            <w:pPr>
              <w:rPr>
                <w:rFonts w:cs="Arial"/>
                <w:b/>
                <w:bCs/>
                <w:sz w:val="18"/>
                <w:szCs w:val="18"/>
                <w:lang w:val="es-ES" w:eastAsia="en-US"/>
              </w:rPr>
            </w:pPr>
          </w:p>
        </w:tc>
        <w:tc>
          <w:tcPr>
            <w:tcW w:w="1468" w:type="dxa"/>
            <w:tcBorders>
              <w:top w:val="single" w:sz="4" w:space="0" w:color="auto"/>
              <w:left w:val="single" w:sz="4" w:space="0" w:color="auto"/>
              <w:bottom w:val="single" w:sz="4" w:space="0" w:color="auto"/>
              <w:right w:val="single" w:sz="4" w:space="0" w:color="auto"/>
            </w:tcBorders>
            <w:vAlign w:val="center"/>
            <w:hideMark/>
          </w:tcPr>
          <w:p w14:paraId="20D0AE91" w14:textId="7E6B6BD6" w:rsidR="00A41077" w:rsidRDefault="00A41077" w:rsidP="00A41077">
            <w:pPr>
              <w:spacing w:line="256" w:lineRule="auto"/>
              <w:jc w:val="right"/>
              <w:rPr>
                <w:rFonts w:cs="Arial"/>
                <w:sz w:val="18"/>
                <w:szCs w:val="18"/>
                <w:lang w:val="es-ES" w:eastAsia="en-US"/>
              </w:rPr>
            </w:pPr>
            <w:r>
              <w:rPr>
                <w:rFonts w:cs="Arial"/>
                <w:color w:val="000000"/>
                <w:sz w:val="18"/>
                <w:szCs w:val="18"/>
              </w:rPr>
              <w:t>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0C5BD68" w14:textId="101BC949" w:rsidR="00A41077" w:rsidRDefault="00A41077" w:rsidP="00A41077">
            <w:pPr>
              <w:spacing w:line="256" w:lineRule="auto"/>
              <w:jc w:val="right"/>
              <w:rPr>
                <w:rFonts w:cs="Arial"/>
                <w:sz w:val="18"/>
                <w:szCs w:val="18"/>
                <w:lang w:val="es-ES" w:eastAsia="en-US"/>
              </w:rPr>
            </w:pPr>
            <w:r>
              <w:rPr>
                <w:rFonts w:cs="Arial"/>
                <w:color w:val="000000"/>
                <w:sz w:val="18"/>
                <w:szCs w:val="18"/>
              </w:rPr>
              <w:t>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3CFFF242" w14:textId="1639846A" w:rsidR="00A41077" w:rsidRDefault="00A41077" w:rsidP="00A41077">
            <w:pPr>
              <w:spacing w:line="256" w:lineRule="auto"/>
              <w:jc w:val="right"/>
              <w:rPr>
                <w:rFonts w:cs="Arial"/>
                <w:sz w:val="18"/>
                <w:szCs w:val="18"/>
                <w:lang w:val="es-ES" w:eastAsia="en-US"/>
              </w:rPr>
            </w:pPr>
            <w:r>
              <w:rPr>
                <w:rFonts w:cs="Arial"/>
                <w:color w:val="000000"/>
                <w:sz w:val="18"/>
                <w:szCs w:val="18"/>
              </w:rPr>
              <w:t> </w:t>
            </w:r>
          </w:p>
        </w:tc>
      </w:tr>
      <w:tr w:rsidR="00A41077" w14:paraId="4ECF6781"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39E28829" w14:textId="77777777" w:rsidR="00A41077" w:rsidRDefault="00A41077" w:rsidP="00A41077">
            <w:pPr>
              <w:spacing w:line="256" w:lineRule="auto"/>
              <w:rPr>
                <w:rFonts w:cs="Arial"/>
                <w:b/>
                <w:sz w:val="18"/>
                <w:szCs w:val="18"/>
                <w:lang w:val="es-ES" w:eastAsia="en-US"/>
              </w:rPr>
            </w:pPr>
            <w:r>
              <w:rPr>
                <w:rFonts w:cs="Arial"/>
                <w:b/>
                <w:sz w:val="18"/>
                <w:szCs w:val="18"/>
                <w:lang w:val="es-ES" w:eastAsia="en-US"/>
              </w:rPr>
              <w:t>Gasto Federalizado.</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428E531A" w14:textId="77777777" w:rsidR="00A41077" w:rsidRDefault="00A41077" w:rsidP="00A41077">
            <w:pPr>
              <w:spacing w:line="256" w:lineRule="auto"/>
              <w:jc w:val="center"/>
              <w:rPr>
                <w:rFonts w:cs="Arial"/>
                <w:b/>
                <w:sz w:val="18"/>
                <w:szCs w:val="18"/>
                <w:lang w:val="es-ES" w:eastAsia="en-US"/>
              </w:rPr>
            </w:pPr>
            <w:r>
              <w:rPr>
                <w:rFonts w:cs="Arial"/>
                <w:b/>
                <w:sz w:val="18"/>
                <w:szCs w:val="18"/>
                <w:lang w:val="es-ES" w:eastAsia="en-US"/>
              </w:rPr>
              <w:t>I</w:t>
            </w:r>
          </w:p>
        </w:tc>
        <w:tc>
          <w:tcPr>
            <w:tcW w:w="1468" w:type="dxa"/>
            <w:tcBorders>
              <w:top w:val="single" w:sz="4" w:space="0" w:color="auto"/>
              <w:left w:val="single" w:sz="4" w:space="0" w:color="auto"/>
              <w:bottom w:val="single" w:sz="4" w:space="0" w:color="auto"/>
              <w:right w:val="single" w:sz="4" w:space="0" w:color="auto"/>
            </w:tcBorders>
            <w:vAlign w:val="center"/>
            <w:hideMark/>
          </w:tcPr>
          <w:p w14:paraId="6916EDDA" w14:textId="18EA933D" w:rsidR="00A41077" w:rsidRDefault="00A41077" w:rsidP="00A41077">
            <w:pPr>
              <w:spacing w:line="256" w:lineRule="auto"/>
              <w:jc w:val="right"/>
              <w:rPr>
                <w:rFonts w:cs="Arial"/>
                <w:b/>
                <w:bCs/>
                <w:sz w:val="18"/>
                <w:szCs w:val="18"/>
                <w:lang w:val="es-ES" w:eastAsia="en-US"/>
              </w:rPr>
            </w:pPr>
            <w:r>
              <w:rPr>
                <w:rFonts w:cs="Arial"/>
                <w:b/>
                <w:bCs/>
                <w:color w:val="000000"/>
                <w:sz w:val="18"/>
                <w:szCs w:val="18"/>
              </w:rPr>
              <w:t xml:space="preserve">0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2FAFA321" w14:textId="1CC6B879" w:rsidR="00A41077" w:rsidRDefault="00A41077" w:rsidP="00A41077">
            <w:pPr>
              <w:spacing w:line="256" w:lineRule="auto"/>
              <w:jc w:val="right"/>
              <w:rPr>
                <w:rFonts w:cs="Arial"/>
                <w:b/>
                <w:bCs/>
                <w:sz w:val="18"/>
                <w:szCs w:val="18"/>
                <w:lang w:val="es-ES" w:eastAsia="en-US"/>
              </w:rPr>
            </w:pPr>
            <w:r>
              <w:rPr>
                <w:rFonts w:cs="Arial"/>
                <w:b/>
                <w:bCs/>
                <w:color w:val="000000"/>
                <w:sz w:val="18"/>
                <w:szCs w:val="18"/>
              </w:rPr>
              <w:t xml:space="preserve">1,165,069,515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00120827" w14:textId="22B59FFE" w:rsidR="00A41077" w:rsidRDefault="00A41077" w:rsidP="00A41077">
            <w:pPr>
              <w:spacing w:line="256" w:lineRule="auto"/>
              <w:jc w:val="right"/>
              <w:rPr>
                <w:rFonts w:cs="Arial"/>
                <w:b/>
                <w:bCs/>
                <w:sz w:val="18"/>
                <w:szCs w:val="18"/>
                <w:lang w:val="es-ES" w:eastAsia="en-US"/>
              </w:rPr>
            </w:pPr>
            <w:r>
              <w:rPr>
                <w:rFonts w:cs="Arial"/>
                <w:b/>
                <w:bCs/>
                <w:color w:val="000000"/>
                <w:sz w:val="18"/>
                <w:szCs w:val="18"/>
              </w:rPr>
              <w:t xml:space="preserve">1,165,069,515 </w:t>
            </w:r>
          </w:p>
        </w:tc>
      </w:tr>
      <w:tr w:rsidR="00A41077" w14:paraId="4FFEC75D"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05C2A792" w14:textId="77777777" w:rsidR="00A41077" w:rsidRDefault="00A41077" w:rsidP="00A41077">
            <w:pPr>
              <w:spacing w:line="256" w:lineRule="auto"/>
              <w:rPr>
                <w:rFonts w:cs="Arial"/>
                <w:b/>
                <w:bCs/>
                <w:sz w:val="18"/>
                <w:szCs w:val="18"/>
                <w:lang w:val="es-ES" w:eastAsia="en-US"/>
              </w:rPr>
            </w:pPr>
            <w:r>
              <w:rPr>
                <w:rFonts w:cs="Arial"/>
                <w:b/>
                <w:bCs/>
                <w:sz w:val="18"/>
                <w:szCs w:val="18"/>
                <w:lang w:val="es-ES" w:eastAsia="en-US"/>
              </w:rPr>
              <w:t>Participaciones a Entidades Federativas y Municipios.</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17A335C7" w14:textId="77777777" w:rsidR="00A41077" w:rsidRDefault="00A41077" w:rsidP="00A41077">
            <w:pPr>
              <w:spacing w:line="256" w:lineRule="auto"/>
              <w:jc w:val="center"/>
              <w:rPr>
                <w:rFonts w:cs="Arial"/>
                <w:b/>
                <w:bCs/>
                <w:sz w:val="18"/>
                <w:szCs w:val="18"/>
                <w:lang w:val="es-ES" w:eastAsia="en-US"/>
              </w:rPr>
            </w:pPr>
            <w:r>
              <w:rPr>
                <w:rFonts w:cs="Arial"/>
                <w:b/>
                <w:bCs/>
                <w:sz w:val="18"/>
                <w:szCs w:val="18"/>
                <w:lang w:val="es-ES" w:eastAsia="en-US"/>
              </w:rPr>
              <w:t>C</w:t>
            </w:r>
          </w:p>
        </w:tc>
        <w:tc>
          <w:tcPr>
            <w:tcW w:w="1468" w:type="dxa"/>
            <w:tcBorders>
              <w:top w:val="single" w:sz="4" w:space="0" w:color="auto"/>
              <w:left w:val="single" w:sz="4" w:space="0" w:color="auto"/>
              <w:bottom w:val="single" w:sz="4" w:space="0" w:color="auto"/>
              <w:right w:val="single" w:sz="4" w:space="0" w:color="auto"/>
            </w:tcBorders>
            <w:vAlign w:val="center"/>
            <w:hideMark/>
          </w:tcPr>
          <w:p w14:paraId="6B52CD6F" w14:textId="01045D56" w:rsidR="00A41077" w:rsidRDefault="00A41077" w:rsidP="00A41077">
            <w:pPr>
              <w:spacing w:line="256" w:lineRule="auto"/>
              <w:jc w:val="right"/>
              <w:rPr>
                <w:rFonts w:cs="Arial"/>
                <w:b/>
                <w:bCs/>
                <w:sz w:val="18"/>
                <w:szCs w:val="18"/>
                <w:lang w:val="es-ES" w:eastAsia="en-US"/>
              </w:rPr>
            </w:pPr>
            <w:r>
              <w:rPr>
                <w:rFonts w:cs="Arial"/>
                <w:b/>
                <w:bCs/>
                <w:color w:val="000000"/>
                <w:sz w:val="18"/>
                <w:szCs w:val="18"/>
              </w:rPr>
              <w:t xml:space="preserve">0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62A019BA" w14:textId="2601FC36" w:rsidR="00A41077" w:rsidRDefault="00A41077" w:rsidP="00A41077">
            <w:pPr>
              <w:spacing w:line="256" w:lineRule="auto"/>
              <w:jc w:val="right"/>
              <w:rPr>
                <w:rFonts w:cs="Arial"/>
                <w:b/>
                <w:bCs/>
                <w:sz w:val="18"/>
                <w:szCs w:val="18"/>
                <w:lang w:val="es-ES" w:eastAsia="en-US"/>
              </w:rPr>
            </w:pPr>
            <w:r>
              <w:rPr>
                <w:rFonts w:cs="Arial"/>
                <w:b/>
                <w:bCs/>
                <w:color w:val="000000"/>
                <w:sz w:val="18"/>
                <w:szCs w:val="18"/>
              </w:rPr>
              <w:t xml:space="preserve">2,169,346,883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3307DEE5" w14:textId="5D16F5E6" w:rsidR="00A41077" w:rsidRDefault="00A41077" w:rsidP="00A41077">
            <w:pPr>
              <w:spacing w:line="256" w:lineRule="auto"/>
              <w:jc w:val="right"/>
              <w:rPr>
                <w:rFonts w:cs="Arial"/>
                <w:b/>
                <w:bCs/>
                <w:sz w:val="18"/>
                <w:szCs w:val="18"/>
                <w:lang w:val="es-ES" w:eastAsia="en-US"/>
              </w:rPr>
            </w:pPr>
            <w:r>
              <w:rPr>
                <w:rFonts w:cs="Arial"/>
                <w:b/>
                <w:bCs/>
                <w:color w:val="000000"/>
                <w:sz w:val="18"/>
                <w:szCs w:val="18"/>
              </w:rPr>
              <w:t xml:space="preserve">2,169,346,883 </w:t>
            </w:r>
          </w:p>
        </w:tc>
      </w:tr>
      <w:tr w:rsidR="00A41077" w14:paraId="7944DDD7"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7C332242" w14:textId="77777777" w:rsidR="00A41077" w:rsidRDefault="00A41077" w:rsidP="00A41077">
            <w:pPr>
              <w:spacing w:line="256" w:lineRule="auto"/>
              <w:rPr>
                <w:rFonts w:cs="Arial"/>
                <w:b/>
                <w:bCs/>
                <w:sz w:val="18"/>
                <w:szCs w:val="18"/>
                <w:lang w:val="es-ES" w:eastAsia="en-US"/>
              </w:rPr>
            </w:pPr>
            <w:r>
              <w:rPr>
                <w:rFonts w:cs="Arial"/>
                <w:b/>
                <w:bCs/>
                <w:sz w:val="18"/>
                <w:szCs w:val="18"/>
                <w:lang w:val="es-ES" w:eastAsia="en-US"/>
              </w:rPr>
              <w:t>Costo financiero, Deuda o Apoyos a Deudores y Ahorradores de la Banca.</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50B63842" w14:textId="77777777" w:rsidR="00A41077" w:rsidRDefault="00A41077" w:rsidP="00A41077">
            <w:pPr>
              <w:spacing w:line="256" w:lineRule="auto"/>
              <w:jc w:val="center"/>
              <w:rPr>
                <w:rFonts w:cs="Arial"/>
                <w:b/>
                <w:bCs/>
                <w:sz w:val="18"/>
                <w:szCs w:val="18"/>
                <w:lang w:val="es-ES" w:eastAsia="en-US"/>
              </w:rPr>
            </w:pPr>
            <w:r>
              <w:rPr>
                <w:rFonts w:cs="Arial"/>
                <w:b/>
                <w:bCs/>
                <w:sz w:val="18"/>
                <w:szCs w:val="18"/>
                <w:lang w:val="es-ES" w:eastAsia="en-US"/>
              </w:rPr>
              <w:t>D</w:t>
            </w:r>
          </w:p>
        </w:tc>
        <w:tc>
          <w:tcPr>
            <w:tcW w:w="1468" w:type="dxa"/>
            <w:tcBorders>
              <w:top w:val="single" w:sz="4" w:space="0" w:color="auto"/>
              <w:left w:val="single" w:sz="4" w:space="0" w:color="auto"/>
              <w:bottom w:val="single" w:sz="4" w:space="0" w:color="auto"/>
              <w:right w:val="single" w:sz="4" w:space="0" w:color="auto"/>
            </w:tcBorders>
            <w:vAlign w:val="center"/>
            <w:hideMark/>
          </w:tcPr>
          <w:p w14:paraId="79992699" w14:textId="5820F87B" w:rsidR="00A41077" w:rsidRDefault="00A41077" w:rsidP="00A41077">
            <w:pPr>
              <w:spacing w:line="256" w:lineRule="auto"/>
              <w:jc w:val="right"/>
              <w:rPr>
                <w:rFonts w:cs="Arial"/>
                <w:b/>
                <w:bCs/>
                <w:sz w:val="18"/>
                <w:szCs w:val="18"/>
                <w:lang w:val="es-ES" w:eastAsia="en-US"/>
              </w:rPr>
            </w:pPr>
            <w:r>
              <w:rPr>
                <w:rFonts w:cs="Arial"/>
                <w:b/>
                <w:bCs/>
                <w:color w:val="000000"/>
                <w:sz w:val="18"/>
                <w:szCs w:val="18"/>
              </w:rPr>
              <w:t xml:space="preserve">366,858,099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36AA7A2" w14:textId="2A6B0EE4" w:rsidR="00A41077" w:rsidRDefault="00A41077" w:rsidP="00A41077">
            <w:pPr>
              <w:spacing w:line="256" w:lineRule="auto"/>
              <w:jc w:val="right"/>
              <w:rPr>
                <w:rFonts w:cs="Arial"/>
                <w:b/>
                <w:bCs/>
                <w:sz w:val="18"/>
                <w:szCs w:val="18"/>
                <w:lang w:val="es-ES" w:eastAsia="en-US"/>
              </w:rPr>
            </w:pPr>
            <w:r>
              <w:rPr>
                <w:rFonts w:cs="Arial"/>
                <w:b/>
                <w:bCs/>
                <w:color w:val="000000"/>
                <w:sz w:val="18"/>
                <w:szCs w:val="18"/>
              </w:rPr>
              <w:t xml:space="preserve">401,566,953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2DADA2A2" w14:textId="39EA20D6" w:rsidR="00A41077" w:rsidRDefault="00A41077" w:rsidP="00A41077">
            <w:pPr>
              <w:spacing w:line="256" w:lineRule="auto"/>
              <w:jc w:val="right"/>
              <w:rPr>
                <w:rFonts w:cs="Arial"/>
                <w:b/>
                <w:bCs/>
                <w:sz w:val="18"/>
                <w:szCs w:val="18"/>
                <w:lang w:val="es-ES" w:eastAsia="en-US"/>
              </w:rPr>
            </w:pPr>
            <w:r>
              <w:rPr>
                <w:rFonts w:cs="Arial"/>
                <w:b/>
                <w:bCs/>
                <w:color w:val="000000"/>
                <w:sz w:val="18"/>
                <w:szCs w:val="18"/>
              </w:rPr>
              <w:t xml:space="preserve">768,425,052 </w:t>
            </w:r>
          </w:p>
        </w:tc>
      </w:tr>
      <w:tr w:rsidR="00A41077" w14:paraId="45A02F6F"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61FF7BC3" w14:textId="77777777" w:rsidR="00A41077" w:rsidRDefault="00A41077" w:rsidP="00A41077">
            <w:pPr>
              <w:spacing w:line="256" w:lineRule="auto"/>
              <w:rPr>
                <w:rFonts w:cs="Arial"/>
                <w:b/>
                <w:bCs/>
                <w:sz w:val="18"/>
                <w:szCs w:val="18"/>
                <w:lang w:val="es-ES" w:eastAsia="en-US"/>
              </w:rPr>
            </w:pPr>
            <w:r>
              <w:rPr>
                <w:rFonts w:cs="Arial"/>
                <w:b/>
                <w:bCs/>
                <w:sz w:val="18"/>
                <w:szCs w:val="18"/>
                <w:lang w:val="es-ES" w:eastAsia="en-US"/>
              </w:rPr>
              <w:t>Adeudos de Ejercicios Fiscales Anteriores.</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213BCF05" w14:textId="77777777" w:rsidR="00A41077" w:rsidRDefault="00A41077" w:rsidP="00A41077">
            <w:pPr>
              <w:spacing w:line="256" w:lineRule="auto"/>
              <w:jc w:val="center"/>
              <w:rPr>
                <w:rFonts w:cs="Arial"/>
                <w:b/>
                <w:bCs/>
                <w:sz w:val="18"/>
                <w:szCs w:val="18"/>
                <w:lang w:val="es-ES" w:eastAsia="en-US"/>
              </w:rPr>
            </w:pPr>
            <w:r>
              <w:rPr>
                <w:rFonts w:cs="Arial"/>
                <w:b/>
                <w:bCs/>
                <w:sz w:val="18"/>
                <w:szCs w:val="18"/>
                <w:lang w:val="es-ES" w:eastAsia="en-US"/>
              </w:rPr>
              <w:t>H</w:t>
            </w:r>
          </w:p>
        </w:tc>
        <w:tc>
          <w:tcPr>
            <w:tcW w:w="1468" w:type="dxa"/>
            <w:tcBorders>
              <w:top w:val="single" w:sz="4" w:space="0" w:color="auto"/>
              <w:left w:val="single" w:sz="4" w:space="0" w:color="auto"/>
              <w:bottom w:val="single" w:sz="4" w:space="0" w:color="auto"/>
              <w:right w:val="single" w:sz="4" w:space="0" w:color="auto"/>
            </w:tcBorders>
            <w:vAlign w:val="center"/>
            <w:hideMark/>
          </w:tcPr>
          <w:p w14:paraId="0E81AADE" w14:textId="5603793C" w:rsidR="00A41077" w:rsidRDefault="00A41077" w:rsidP="00A41077">
            <w:pPr>
              <w:spacing w:line="256" w:lineRule="auto"/>
              <w:jc w:val="right"/>
              <w:rPr>
                <w:rFonts w:cs="Arial"/>
                <w:b/>
                <w:bCs/>
                <w:sz w:val="18"/>
                <w:szCs w:val="18"/>
                <w:lang w:val="es-ES" w:eastAsia="en-US"/>
              </w:rPr>
            </w:pPr>
            <w:r>
              <w:rPr>
                <w:rFonts w:cs="Arial"/>
                <w:b/>
                <w:bCs/>
                <w:color w:val="000000"/>
                <w:sz w:val="18"/>
                <w:szCs w:val="18"/>
              </w:rPr>
              <w:t xml:space="preserve">0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1F84B508" w14:textId="0FD3DD7A" w:rsidR="00A41077" w:rsidRDefault="00A41077" w:rsidP="00A41077">
            <w:pPr>
              <w:spacing w:line="256" w:lineRule="auto"/>
              <w:jc w:val="right"/>
              <w:rPr>
                <w:rFonts w:cs="Arial"/>
                <w:b/>
                <w:bCs/>
                <w:sz w:val="18"/>
                <w:szCs w:val="18"/>
                <w:lang w:val="es-ES" w:eastAsia="en-US"/>
              </w:rPr>
            </w:pPr>
            <w:r>
              <w:rPr>
                <w:rFonts w:cs="Arial"/>
                <w:b/>
                <w:bCs/>
                <w:color w:val="000000"/>
                <w:sz w:val="18"/>
                <w:szCs w:val="18"/>
              </w:rPr>
              <w:t xml:space="preserve">157,361,143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4121B817" w14:textId="49F94EBA" w:rsidR="00A41077" w:rsidRDefault="00A41077" w:rsidP="00A41077">
            <w:pPr>
              <w:spacing w:line="256" w:lineRule="auto"/>
              <w:jc w:val="right"/>
              <w:rPr>
                <w:rFonts w:cs="Arial"/>
                <w:b/>
                <w:bCs/>
                <w:sz w:val="18"/>
                <w:szCs w:val="18"/>
                <w:lang w:val="es-ES" w:eastAsia="en-US"/>
              </w:rPr>
            </w:pPr>
            <w:r>
              <w:rPr>
                <w:rFonts w:cs="Arial"/>
                <w:b/>
                <w:bCs/>
                <w:color w:val="000000"/>
                <w:sz w:val="18"/>
                <w:szCs w:val="18"/>
              </w:rPr>
              <w:t xml:space="preserve">157,361,143 </w:t>
            </w:r>
          </w:p>
        </w:tc>
      </w:tr>
      <w:tr w:rsidR="00A41077" w14:paraId="5A01C84C" w14:textId="77777777" w:rsidTr="00BF5974">
        <w:trPr>
          <w:trHeight w:val="20"/>
          <w:jc w:val="cent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2D489070" w14:textId="77777777" w:rsidR="00A41077" w:rsidRDefault="00A41077" w:rsidP="00A41077">
            <w:pPr>
              <w:spacing w:line="256" w:lineRule="auto"/>
              <w:jc w:val="center"/>
              <w:rPr>
                <w:rFonts w:cs="Arial"/>
                <w:b/>
                <w:bCs/>
                <w:sz w:val="18"/>
                <w:szCs w:val="18"/>
                <w:lang w:val="es-ES" w:eastAsia="en-US"/>
              </w:rPr>
            </w:pPr>
            <w:r>
              <w:rPr>
                <w:rFonts w:cs="Arial"/>
                <w:b/>
                <w:bCs/>
                <w:sz w:val="18"/>
                <w:szCs w:val="18"/>
                <w:lang w:val="es-ES" w:eastAsia="en-US"/>
              </w:rPr>
              <w:t>Total</w:t>
            </w:r>
          </w:p>
        </w:tc>
        <w:tc>
          <w:tcPr>
            <w:tcW w:w="629" w:type="dxa"/>
            <w:tcBorders>
              <w:top w:val="single" w:sz="4" w:space="0" w:color="auto"/>
              <w:left w:val="single" w:sz="4" w:space="0" w:color="auto"/>
              <w:bottom w:val="single" w:sz="4" w:space="0" w:color="auto"/>
              <w:right w:val="single" w:sz="4" w:space="0" w:color="auto"/>
            </w:tcBorders>
            <w:noWrap/>
            <w:vAlign w:val="center"/>
            <w:hideMark/>
          </w:tcPr>
          <w:p w14:paraId="53D9EDBB" w14:textId="77777777" w:rsidR="00A41077" w:rsidRDefault="00A41077" w:rsidP="00A41077">
            <w:pPr>
              <w:rPr>
                <w:rFonts w:cs="Arial"/>
                <w:b/>
                <w:bCs/>
                <w:sz w:val="18"/>
                <w:szCs w:val="18"/>
                <w:lang w:val="es-ES" w:eastAsia="en-US"/>
              </w:rPr>
            </w:pPr>
          </w:p>
        </w:tc>
        <w:tc>
          <w:tcPr>
            <w:tcW w:w="1468" w:type="dxa"/>
            <w:tcBorders>
              <w:top w:val="single" w:sz="4" w:space="0" w:color="auto"/>
              <w:left w:val="single" w:sz="4" w:space="0" w:color="auto"/>
              <w:bottom w:val="single" w:sz="4" w:space="0" w:color="auto"/>
              <w:right w:val="single" w:sz="4" w:space="0" w:color="auto"/>
            </w:tcBorders>
            <w:vAlign w:val="center"/>
            <w:hideMark/>
          </w:tcPr>
          <w:p w14:paraId="6A81FEFD" w14:textId="5C63E1C7" w:rsidR="00A41077" w:rsidRDefault="00A41077" w:rsidP="00A41077">
            <w:pPr>
              <w:spacing w:line="256" w:lineRule="auto"/>
              <w:jc w:val="right"/>
              <w:rPr>
                <w:rFonts w:cs="Arial"/>
                <w:b/>
                <w:bCs/>
                <w:sz w:val="18"/>
                <w:szCs w:val="18"/>
                <w:lang w:val="es-ES" w:eastAsia="en-US"/>
              </w:rPr>
            </w:pPr>
            <w:r>
              <w:rPr>
                <w:rFonts w:cs="Arial"/>
                <w:b/>
                <w:bCs/>
                <w:color w:val="000000"/>
                <w:sz w:val="18"/>
                <w:szCs w:val="18"/>
              </w:rPr>
              <w:t xml:space="preserve">16,868,856,185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18202ADF" w14:textId="76D9810E" w:rsidR="00A41077" w:rsidRDefault="00A41077" w:rsidP="00A41077">
            <w:pPr>
              <w:spacing w:line="256" w:lineRule="auto"/>
              <w:jc w:val="right"/>
              <w:rPr>
                <w:rFonts w:cs="Arial"/>
                <w:b/>
                <w:bCs/>
                <w:sz w:val="18"/>
                <w:szCs w:val="18"/>
                <w:lang w:val="es-ES" w:eastAsia="en-US"/>
              </w:rPr>
            </w:pPr>
            <w:r>
              <w:rPr>
                <w:rFonts w:cs="Arial"/>
                <w:b/>
                <w:bCs/>
                <w:color w:val="000000"/>
                <w:sz w:val="18"/>
                <w:szCs w:val="18"/>
              </w:rPr>
              <w:t xml:space="preserve">6,135,274,094 </w:t>
            </w:r>
          </w:p>
        </w:tc>
        <w:tc>
          <w:tcPr>
            <w:tcW w:w="1468" w:type="dxa"/>
            <w:tcBorders>
              <w:top w:val="single" w:sz="4" w:space="0" w:color="auto"/>
              <w:left w:val="single" w:sz="4" w:space="0" w:color="auto"/>
              <w:bottom w:val="single" w:sz="4" w:space="0" w:color="auto"/>
              <w:right w:val="single" w:sz="4" w:space="0" w:color="auto"/>
            </w:tcBorders>
            <w:noWrap/>
            <w:vAlign w:val="center"/>
            <w:hideMark/>
          </w:tcPr>
          <w:p w14:paraId="25196343" w14:textId="4DCC6EFB" w:rsidR="00A41077" w:rsidRDefault="00A41077" w:rsidP="00A41077">
            <w:pPr>
              <w:spacing w:line="256" w:lineRule="auto"/>
              <w:jc w:val="right"/>
              <w:rPr>
                <w:rFonts w:cs="Arial"/>
                <w:b/>
                <w:bCs/>
                <w:sz w:val="18"/>
                <w:szCs w:val="18"/>
                <w:lang w:val="es-ES" w:eastAsia="en-US"/>
              </w:rPr>
            </w:pPr>
            <w:r>
              <w:rPr>
                <w:rFonts w:cs="Arial"/>
                <w:b/>
                <w:bCs/>
                <w:color w:val="000000"/>
                <w:sz w:val="18"/>
                <w:szCs w:val="18"/>
              </w:rPr>
              <w:t xml:space="preserve">23,004,130,279 </w:t>
            </w:r>
          </w:p>
        </w:tc>
      </w:tr>
    </w:tbl>
    <w:p w14:paraId="116DE5FA" w14:textId="7AC3AF2E" w:rsidR="00BF5974" w:rsidRDefault="00BF5974" w:rsidP="00BF5974">
      <w:pPr>
        <w:jc w:val="center"/>
        <w:rPr>
          <w:rFonts w:eastAsia="Times New Roman" w:cs="Arial"/>
          <w:b/>
          <w:lang w:val="es-ES"/>
        </w:rPr>
      </w:pPr>
      <w:bookmarkStart w:id="344" w:name="_Toc522869329"/>
      <w:bookmarkStart w:id="345" w:name="_Toc526757548"/>
      <w:bookmarkStart w:id="346" w:name="_Toc22022030"/>
      <w:bookmarkStart w:id="347" w:name="_Toc22983263"/>
      <w:bookmarkStart w:id="348" w:name="_Toc465292965"/>
      <w:bookmarkStart w:id="349" w:name="_Toc465292893"/>
    </w:p>
    <w:p w14:paraId="40246123" w14:textId="77777777" w:rsidR="00972897" w:rsidRDefault="00972897" w:rsidP="00BF5974">
      <w:pPr>
        <w:jc w:val="center"/>
        <w:rPr>
          <w:rFonts w:eastAsia="Times New Roman" w:cs="Arial"/>
          <w:b/>
          <w:lang w:val="es-ES"/>
        </w:rPr>
      </w:pPr>
    </w:p>
    <w:p w14:paraId="1B3D8067" w14:textId="77777777" w:rsidR="00BF5974" w:rsidRDefault="00BF5974" w:rsidP="00BF5974">
      <w:pPr>
        <w:jc w:val="center"/>
        <w:rPr>
          <w:rFonts w:eastAsia="Times New Roman" w:cs="Arial"/>
          <w:b/>
          <w:lang w:val="es-ES"/>
        </w:rPr>
      </w:pPr>
      <w:r>
        <w:rPr>
          <w:rFonts w:eastAsia="Times New Roman" w:cs="Arial"/>
          <w:b/>
          <w:lang w:val="es-ES"/>
        </w:rPr>
        <w:t xml:space="preserve">TITULO </w:t>
      </w:r>
      <w:bookmarkEnd w:id="344"/>
      <w:bookmarkEnd w:id="345"/>
      <w:r>
        <w:rPr>
          <w:rFonts w:eastAsia="Times New Roman" w:cs="Arial"/>
          <w:b/>
          <w:lang w:val="es-ES"/>
        </w:rPr>
        <w:t>SEXTO</w:t>
      </w:r>
      <w:bookmarkEnd w:id="346"/>
      <w:bookmarkEnd w:id="347"/>
    </w:p>
    <w:p w14:paraId="2173C045" w14:textId="77777777" w:rsidR="00BF5974" w:rsidRDefault="00BF5974" w:rsidP="00BF5974">
      <w:pPr>
        <w:keepNext/>
        <w:keepLines/>
        <w:jc w:val="center"/>
        <w:outlineLvl w:val="0"/>
        <w:rPr>
          <w:rFonts w:eastAsia="Times New Roman" w:cs="Arial"/>
          <w:b/>
          <w:szCs w:val="32"/>
          <w:lang w:val="es-ES"/>
        </w:rPr>
      </w:pPr>
      <w:bookmarkStart w:id="350" w:name="_Toc522869330"/>
      <w:bookmarkStart w:id="351" w:name="_Toc526757549"/>
      <w:bookmarkStart w:id="352" w:name="_Toc22022031"/>
      <w:bookmarkStart w:id="353" w:name="_Toc22983264"/>
      <w:r>
        <w:rPr>
          <w:rFonts w:eastAsia="Times New Roman" w:cs="Arial"/>
          <w:b/>
          <w:szCs w:val="32"/>
          <w:lang w:val="es-ES"/>
        </w:rPr>
        <w:t>RESPONSABILIDADES Y SANCIONES</w:t>
      </w:r>
      <w:bookmarkEnd w:id="348"/>
      <w:bookmarkEnd w:id="349"/>
      <w:bookmarkEnd w:id="350"/>
      <w:bookmarkEnd w:id="351"/>
      <w:bookmarkEnd w:id="352"/>
      <w:bookmarkEnd w:id="353"/>
    </w:p>
    <w:p w14:paraId="70A3CA2A" w14:textId="77777777" w:rsidR="00BF5974" w:rsidRDefault="00BF5974" w:rsidP="00BF5974">
      <w:pPr>
        <w:rPr>
          <w:rFonts w:eastAsia="Times New Roman" w:cs="Arial"/>
          <w:lang w:val="es-ES"/>
        </w:rPr>
      </w:pPr>
    </w:p>
    <w:p w14:paraId="568FA8D0" w14:textId="77777777" w:rsidR="00BF5974" w:rsidRDefault="00BF5974" w:rsidP="00BF5974">
      <w:pPr>
        <w:jc w:val="center"/>
        <w:rPr>
          <w:rFonts w:cs="Arial"/>
          <w:b/>
          <w:lang w:val="es-ES"/>
        </w:rPr>
      </w:pPr>
      <w:r>
        <w:rPr>
          <w:rFonts w:cs="Arial"/>
          <w:b/>
          <w:lang w:val="es-ES"/>
        </w:rPr>
        <w:t xml:space="preserve">CAPÍTULO ÚNICO </w:t>
      </w:r>
    </w:p>
    <w:p w14:paraId="604C21A1" w14:textId="77777777" w:rsidR="00BF5974" w:rsidRDefault="00BF5974" w:rsidP="00BF5974">
      <w:pPr>
        <w:jc w:val="center"/>
        <w:rPr>
          <w:rFonts w:cs="Arial"/>
          <w:b/>
          <w:lang w:val="es-ES"/>
        </w:rPr>
      </w:pPr>
      <w:r>
        <w:rPr>
          <w:rFonts w:cs="Arial"/>
          <w:b/>
          <w:lang w:val="es-ES"/>
        </w:rPr>
        <w:t>RESPONSABILIDADES Y SANCIONES</w:t>
      </w:r>
    </w:p>
    <w:p w14:paraId="63B3172C" w14:textId="77777777" w:rsidR="00BF5974" w:rsidRDefault="00BF5974" w:rsidP="00BF5974">
      <w:pPr>
        <w:rPr>
          <w:rFonts w:cs="Arial"/>
          <w:b/>
          <w:lang w:val="es-ES"/>
        </w:rPr>
      </w:pPr>
    </w:p>
    <w:p w14:paraId="688CCC39" w14:textId="77777777" w:rsidR="00BF5974" w:rsidRDefault="00BF5974" w:rsidP="00BF5974">
      <w:pPr>
        <w:rPr>
          <w:rFonts w:cs="Arial"/>
          <w:lang w:val="es-ES"/>
        </w:rPr>
      </w:pPr>
      <w:r>
        <w:rPr>
          <w:rFonts w:cs="Arial"/>
          <w:b/>
          <w:lang w:val="es-ES"/>
        </w:rPr>
        <w:t>Artículo 99</w:t>
      </w:r>
      <w:r>
        <w:rPr>
          <w:rFonts w:cs="Arial"/>
          <w:lang w:val="es-ES"/>
        </w:rPr>
        <w:t xml:space="preserve">. Será responsabilidad de los Entes Públicos, de sus Órganos Internos de Control, del Órgano Superior de Auditoría y Fiscalización Gubernamental del Estado y, en general, de toda persona física o moral, pública o privada, sujeta a la aplicación u observancia del presente Decreto, en el ámbito de sus respectivas competencias, cumplir y hacer cumplir sus disposiciones. </w:t>
      </w:r>
    </w:p>
    <w:p w14:paraId="7C838D5B" w14:textId="77777777" w:rsidR="00BF5974" w:rsidRDefault="00BF5974" w:rsidP="00BF5974">
      <w:pPr>
        <w:rPr>
          <w:rFonts w:cs="Arial"/>
          <w:lang w:val="es-ES"/>
        </w:rPr>
      </w:pPr>
    </w:p>
    <w:p w14:paraId="5DD2D66A" w14:textId="77777777" w:rsidR="00BF5974" w:rsidRDefault="00BF5974" w:rsidP="00BF5974">
      <w:pPr>
        <w:rPr>
          <w:rFonts w:cs="Arial"/>
          <w:b/>
          <w:lang w:val="es-ES"/>
        </w:rPr>
      </w:pPr>
      <w:r>
        <w:rPr>
          <w:rFonts w:cs="Arial"/>
          <w:b/>
          <w:lang w:val="es-ES"/>
        </w:rPr>
        <w:t xml:space="preserve">Artículo 100. </w:t>
      </w:r>
      <w:r>
        <w:rPr>
          <w:rFonts w:cs="Arial"/>
          <w:lang w:val="es-ES"/>
        </w:rPr>
        <w:t>Las personas Titulares de los Ente Públicos, en el ejercicio de sus presupuestos aprobados, sin menoscabo de las responsabilidades y atribuciones que les correspondan, serán directamente responsables de que su aplicación se realice con estricto apego a las leyes correspondientes y a los principios antes mencionados.</w:t>
      </w:r>
    </w:p>
    <w:p w14:paraId="7C78922C" w14:textId="77777777" w:rsidR="00BF5974" w:rsidRDefault="00BF5974" w:rsidP="00BF5974">
      <w:pPr>
        <w:rPr>
          <w:rFonts w:cs="Arial"/>
          <w:b/>
          <w:lang w:val="es-ES"/>
        </w:rPr>
      </w:pPr>
    </w:p>
    <w:p w14:paraId="388C90E1" w14:textId="77777777" w:rsidR="00BF5974" w:rsidRDefault="00BF5974" w:rsidP="00BF5974">
      <w:pPr>
        <w:rPr>
          <w:rFonts w:eastAsia="Times New Roman" w:cs="Arial"/>
        </w:rPr>
      </w:pPr>
      <w:r>
        <w:rPr>
          <w:rFonts w:eastAsia="Times New Roman" w:cs="Arial"/>
        </w:rPr>
        <w:t xml:space="preserve">Los actos u omisiones que impliquen el incumplimiento a las disposiciones contenidas en el presente Decreto y demás ordenamientos aplicables en materia de presupuesto, gasto público, disciplina financiera, deuda o responsabilidad hacendaria, serán conocidos y sancionados de conformidad con lo previsto en la Ley General de Responsabilidades Administrativas; la Ley de Justicia Administrativa del Estado de Colima; y demás legislación aplicable. </w:t>
      </w:r>
    </w:p>
    <w:p w14:paraId="039EDAFD" w14:textId="2CE411BF" w:rsidR="00BF5974" w:rsidRDefault="00BF5974" w:rsidP="00BF5974">
      <w:pPr>
        <w:rPr>
          <w:rFonts w:eastAsia="Times New Roman" w:cs="Arial"/>
        </w:rPr>
      </w:pPr>
    </w:p>
    <w:p w14:paraId="4489A33B" w14:textId="77777777" w:rsidR="00B13BDF" w:rsidRDefault="00B13BDF" w:rsidP="00BF5974">
      <w:pPr>
        <w:rPr>
          <w:rFonts w:eastAsia="Times New Roman" w:cs="Arial"/>
        </w:rPr>
      </w:pPr>
    </w:p>
    <w:p w14:paraId="0043C7D3" w14:textId="77777777" w:rsidR="00BF5974" w:rsidRDefault="00BF5974" w:rsidP="00BF5974">
      <w:pPr>
        <w:keepNext/>
        <w:keepLines/>
        <w:jc w:val="center"/>
        <w:outlineLvl w:val="0"/>
        <w:rPr>
          <w:rFonts w:eastAsia="Times New Roman" w:cs="Arial"/>
          <w:b/>
          <w:lang w:val="es-ES"/>
        </w:rPr>
      </w:pPr>
      <w:bookmarkStart w:id="354" w:name="_Toc465292966"/>
      <w:bookmarkStart w:id="355" w:name="_Toc465292894"/>
      <w:bookmarkStart w:id="356" w:name="_Toc522869331"/>
      <w:bookmarkStart w:id="357" w:name="_Toc526757550"/>
      <w:bookmarkStart w:id="358" w:name="_Toc22022032"/>
      <w:bookmarkStart w:id="359" w:name="_Toc22983265"/>
      <w:r>
        <w:rPr>
          <w:rFonts w:eastAsia="Times New Roman" w:cs="Arial"/>
          <w:b/>
          <w:lang w:val="es-ES"/>
        </w:rPr>
        <w:lastRenderedPageBreak/>
        <w:t>TRANSITORIOS</w:t>
      </w:r>
      <w:bookmarkEnd w:id="354"/>
      <w:bookmarkEnd w:id="355"/>
      <w:bookmarkEnd w:id="356"/>
      <w:bookmarkEnd w:id="357"/>
      <w:bookmarkEnd w:id="358"/>
      <w:bookmarkEnd w:id="359"/>
    </w:p>
    <w:p w14:paraId="435587B3" w14:textId="77777777" w:rsidR="00BF5974" w:rsidRDefault="00BF5974" w:rsidP="00BF5974">
      <w:pPr>
        <w:rPr>
          <w:rFonts w:cs="Arial"/>
          <w:lang w:val="es-ES"/>
        </w:rPr>
      </w:pPr>
    </w:p>
    <w:p w14:paraId="4343B1A6" w14:textId="77777777" w:rsidR="00BF5974" w:rsidRDefault="00BF5974" w:rsidP="00BF5974">
      <w:pPr>
        <w:rPr>
          <w:rFonts w:cs="Arial"/>
          <w:lang w:val="es-ES"/>
        </w:rPr>
      </w:pPr>
      <w:r>
        <w:rPr>
          <w:rFonts w:cs="Arial"/>
          <w:b/>
          <w:lang w:val="es-ES"/>
        </w:rPr>
        <w:t>PRIMERO</w:t>
      </w:r>
      <w:r>
        <w:rPr>
          <w:rFonts w:cs="Arial"/>
          <w:lang w:val="es-ES"/>
        </w:rPr>
        <w:t>. El presente Decreto, junto con los anexos que lo componen, entrarán en vigor el día 1º de enero de 2025, previa su publicación en el Periódico Oficial “El Estado de Colima”.</w:t>
      </w:r>
    </w:p>
    <w:p w14:paraId="17030A72" w14:textId="77777777" w:rsidR="00BF5974" w:rsidRDefault="00BF5974" w:rsidP="00BF5974">
      <w:pPr>
        <w:rPr>
          <w:rFonts w:cs="Arial"/>
          <w:lang w:val="es-ES"/>
        </w:rPr>
      </w:pPr>
    </w:p>
    <w:p w14:paraId="6AB4626C" w14:textId="77777777" w:rsidR="00BF5974" w:rsidRDefault="00BF5974" w:rsidP="00BF5974">
      <w:pPr>
        <w:rPr>
          <w:rFonts w:cs="Arial"/>
          <w:lang w:val="es-ES"/>
        </w:rPr>
      </w:pPr>
      <w:r>
        <w:rPr>
          <w:rFonts w:cs="Arial"/>
          <w:b/>
          <w:lang w:val="es-ES"/>
        </w:rPr>
        <w:t>SEGUNDO</w:t>
      </w:r>
      <w:r>
        <w:rPr>
          <w:rFonts w:cs="Arial"/>
          <w:lang w:val="es-ES"/>
        </w:rPr>
        <w:t>. En cumplimiento a lo dispuesto por la Ley General de Contabilidad Gubernamental, el Gobierno del Estado implementará los documentos técnico-normativos que emita el Consejo Nacional de Armonización Contable (CONAC), conforme a los criterios y términos establecidos para ese fin.</w:t>
      </w:r>
    </w:p>
    <w:p w14:paraId="2530AD1E" w14:textId="77777777" w:rsidR="00BF5974" w:rsidRDefault="00BF5974" w:rsidP="00BF5974">
      <w:pPr>
        <w:rPr>
          <w:rFonts w:cs="Arial"/>
          <w:lang w:val="es-ES"/>
        </w:rPr>
      </w:pPr>
    </w:p>
    <w:p w14:paraId="576E103E" w14:textId="77777777" w:rsidR="00BF5974" w:rsidRDefault="00BF5974" w:rsidP="00BF5974">
      <w:pPr>
        <w:rPr>
          <w:rFonts w:cs="Arial"/>
          <w:lang w:val="es-ES"/>
        </w:rPr>
      </w:pPr>
      <w:r>
        <w:rPr>
          <w:rFonts w:cs="Arial"/>
          <w:b/>
          <w:lang w:val="es-ES"/>
        </w:rPr>
        <w:t>TERCERO</w:t>
      </w:r>
      <w:r>
        <w:rPr>
          <w:rFonts w:cs="Arial"/>
          <w:lang w:val="es-ES"/>
        </w:rPr>
        <w:t>. La información financiera y presupuestal adicional a la contenida en el presente Decreto, así como la demás que se genere durante el Ejercicio Fiscal 2025, podrá ser consultada en los reportes específicos que para tal efecto difunda la Secretaría de Planeación, Finanzas y Administración en los medios oficiales, incluyendo los medios electrónicos.</w:t>
      </w:r>
    </w:p>
    <w:p w14:paraId="34720B24" w14:textId="77777777" w:rsidR="00BF5974" w:rsidRDefault="00BF5974" w:rsidP="00BF5974">
      <w:pPr>
        <w:rPr>
          <w:rFonts w:cs="Arial"/>
          <w:lang w:val="es-ES"/>
        </w:rPr>
      </w:pPr>
    </w:p>
    <w:p w14:paraId="16223E25" w14:textId="77777777" w:rsidR="00BF5974" w:rsidRDefault="00BF5974" w:rsidP="00BF5974">
      <w:pPr>
        <w:rPr>
          <w:rFonts w:cs="Arial"/>
        </w:rPr>
      </w:pPr>
      <w:r>
        <w:rPr>
          <w:rFonts w:cs="Arial"/>
          <w:b/>
        </w:rPr>
        <w:t>CUARTO</w:t>
      </w:r>
      <w:r>
        <w:rPr>
          <w:rFonts w:cs="Arial"/>
        </w:rPr>
        <w:t xml:space="preserve">. Las Organizaciones de la Sociedad Civil legalmente constituidas que recibieron recursos o fondos públicos con cargo al Presupuesto de Egresos del Estado de Colima para el Ejercicio Fiscal 2024, deberán cumplir con lo señalado en </w:t>
      </w:r>
      <w:r>
        <w:rPr>
          <w:rFonts w:cs="Arial"/>
          <w:lang w:val="es-ES"/>
        </w:rPr>
        <w:t>la Ley de Fomento a las Organizaciones de la Sociedad Civil del Estado de Colima</w:t>
      </w:r>
      <w:r>
        <w:rPr>
          <w:rFonts w:cs="Arial"/>
        </w:rPr>
        <w:t>.</w:t>
      </w:r>
    </w:p>
    <w:p w14:paraId="3AB6D1A8" w14:textId="77777777" w:rsidR="00BF5974" w:rsidRDefault="00BF5974" w:rsidP="00BF5974">
      <w:pPr>
        <w:rPr>
          <w:rFonts w:cs="Arial"/>
        </w:rPr>
      </w:pPr>
    </w:p>
    <w:p w14:paraId="1295E710" w14:textId="77777777" w:rsidR="00BF5974" w:rsidRDefault="00BF5974" w:rsidP="00BF5974">
      <w:pPr>
        <w:rPr>
          <w:rFonts w:cs="Arial"/>
        </w:rPr>
      </w:pPr>
      <w:r>
        <w:rPr>
          <w:rFonts w:cs="Arial"/>
        </w:rPr>
        <w:t>Las Organizaciones de la Sociedad Civil legalmente constituidas podrán recibir recursos o fondos públicos con cargo al Presupuesto de Egresos del Estado de Colima para el Ejercicio Fiscal 2025, siempre y cuando cumplan con lo dispuesto en la Ley de Fomento a las Organizaciones de la Sociedad Civil del Estado de Colima, y los ordenamientos que de ésta deriven.</w:t>
      </w:r>
    </w:p>
    <w:p w14:paraId="1BCDF9CD" w14:textId="77777777" w:rsidR="00BF5974" w:rsidRDefault="00BF5974" w:rsidP="00BF5974">
      <w:pPr>
        <w:rPr>
          <w:rFonts w:cs="Arial"/>
        </w:rPr>
      </w:pPr>
    </w:p>
    <w:p w14:paraId="47F4EEA9" w14:textId="77777777" w:rsidR="00BF5974" w:rsidRDefault="00BF5974" w:rsidP="00BF5974">
      <w:pPr>
        <w:rPr>
          <w:rFonts w:cs="Arial"/>
        </w:rPr>
      </w:pPr>
      <w:r>
        <w:rPr>
          <w:rFonts w:cs="Arial"/>
          <w:b/>
        </w:rPr>
        <w:t>QUINTO</w:t>
      </w:r>
      <w:r>
        <w:rPr>
          <w:rFonts w:cs="Arial"/>
        </w:rPr>
        <w:t>. La Secretaría de Planeación, Finanzas y Administración tendrá 180 días, a partir de la entrada en vigor del presente Decreto, para emitir la Convocatoria donde detalle el procedimiento a seguir para la implementación del Presupuesto Participativo.</w:t>
      </w:r>
    </w:p>
    <w:p w14:paraId="1A74A449" w14:textId="77777777" w:rsidR="00BF5974" w:rsidRDefault="00BF5974" w:rsidP="00BF5974">
      <w:pPr>
        <w:rPr>
          <w:rFonts w:cs="Arial"/>
        </w:rPr>
      </w:pPr>
    </w:p>
    <w:p w14:paraId="07CF44A9" w14:textId="77777777" w:rsidR="00BF5974" w:rsidRDefault="00BF5974" w:rsidP="00BF5974">
      <w:pPr>
        <w:rPr>
          <w:rFonts w:cs="Arial"/>
        </w:rPr>
      </w:pPr>
      <w:r>
        <w:rPr>
          <w:rFonts w:cs="Arial"/>
          <w:b/>
        </w:rPr>
        <w:t>SEXTO</w:t>
      </w:r>
      <w:r>
        <w:rPr>
          <w:rFonts w:cs="Arial"/>
        </w:rPr>
        <w:t xml:space="preserve">. Si durante el Ejercicio Fiscal 2025 se presente una caída en el Producto Interno Bruto nacional en términos reales, y lo anterior origine una caída en las participaciones federales con respecto a lo aprobado en el Presupuesto de Egresos de la Federación del Ejercicio Fiscal 2025, y ésta no logre compensarse con los recursos que, en su caso, reciban del Fondo de Estabilización de los Ingresos de las Entidades Federativas en los términos del artículo 19 de la Ley Federal de Presupuesto y Responsabilidad Hacendaria; o cuando sea necesario cubrir el costo de la reconstrucción provocada por los desastres naturales declarados en los términos de la Ley General de Protección Civil, o se tenga la necesidad de prever un costo mayor al 2 por ciento del Gasto no etiquetado observado en el Presupuesto de Egresos del Ejercicio Fiscal inmediato anterior, derivado de la </w:t>
      </w:r>
      <w:r>
        <w:rPr>
          <w:rFonts w:cs="Arial"/>
        </w:rPr>
        <w:lastRenderedPageBreak/>
        <w:t>implementación de ordenamientos jurídicos o medidas de política fiscal que, en ejercicios fiscales posteriores, contribuyan a mejorar ampliamente el Balance presupuestario de recursos disponibles negativo, ya sea porque generen mayores ingresos o menores gastos permanentes; es decir, que el valor presente neto de dicha medida supere ampliamente el costo de la misma en el Ejercicio Fiscal que se implemente, el Gobierno del Estado de Colima podrá incurrir en un Balance presupuestario de recursos disponibles negativo. La Titular del Poder Ejecutivo, a través de la Secretaría de Planeación, Finanzas y Administración, deberá dar cuenta a la Legislatura local en términos de lo dispuesto por la Ley de Disciplina Financiera de las Entidades Federativas y los Municipios.</w:t>
      </w:r>
    </w:p>
    <w:p w14:paraId="3589CD74" w14:textId="77777777" w:rsidR="00BF5974" w:rsidRDefault="00BF5974" w:rsidP="00BF5974">
      <w:pPr>
        <w:rPr>
          <w:rFonts w:eastAsia="Times New Roman" w:cs="Arial"/>
          <w:b/>
          <w:bCs/>
        </w:rPr>
      </w:pPr>
    </w:p>
    <w:p w14:paraId="029BAE9D" w14:textId="340971E6" w:rsidR="00BF5974" w:rsidRDefault="00BF5974" w:rsidP="00BF5974">
      <w:pPr>
        <w:rPr>
          <w:rFonts w:cs="Arial"/>
        </w:rPr>
      </w:pPr>
      <w:r>
        <w:rPr>
          <w:rFonts w:cs="Arial"/>
          <w:b/>
          <w:bCs/>
        </w:rPr>
        <w:t>SÉPTIMO</w:t>
      </w:r>
      <w:r>
        <w:rPr>
          <w:rFonts w:cs="Arial"/>
          <w:b/>
        </w:rPr>
        <w:t xml:space="preserve">. </w:t>
      </w:r>
      <w:r>
        <w:rPr>
          <w:rFonts w:cs="Arial"/>
        </w:rPr>
        <w:t xml:space="preserve">A fin de estar en posibilidad de financiar y garantizar la sustentabilidad financiera de las Cuentas Institucionales de las Entidades Públicas Patronales Estatales, que son administradas por el Instituto de Pensiones de los Servidores Públicos del Estado de Colima, y dadas las condiciones financieras en las que se recibió la presente administración, se actualiza la necesidad para el Ejercicio Fiscal 2025, que la aportación prevista en la tabla detallada en el inciso a) de la fracción II del artículo 60 de la Ley de Pensiones de los Servidores Públicos del Estado de Colima sea en el porcentaje que correspondió al Ejercicio Fiscal 2024.   </w:t>
      </w:r>
    </w:p>
    <w:p w14:paraId="29867DDA" w14:textId="77777777" w:rsidR="00BF5974" w:rsidRDefault="00BF5974" w:rsidP="00BF5974">
      <w:pPr>
        <w:rPr>
          <w:rFonts w:cs="Arial"/>
        </w:rPr>
      </w:pPr>
    </w:p>
    <w:p w14:paraId="2796CC3F" w14:textId="77777777" w:rsidR="00BF5974" w:rsidRDefault="00BF5974" w:rsidP="00BF5974">
      <w:pPr>
        <w:rPr>
          <w:rFonts w:cs="Arial"/>
        </w:rPr>
      </w:pPr>
      <w:r>
        <w:rPr>
          <w:rFonts w:cs="Arial"/>
          <w:b/>
        </w:rPr>
        <w:t>OCTAVO</w:t>
      </w:r>
      <w:r>
        <w:rPr>
          <w:rFonts w:cs="Arial"/>
        </w:rPr>
        <w:t>. Si durante el Ejercicio Fiscal 2025 se constituye el Archivo General del Estado y el Fondo de Apoyo Económico para Archivos; en términos de lo dispuesto en la Ley de Archivos del Estado de Colima, Ley publicada en el Periódico Oficial “El Estado de Colima”, Núm. 59, 14 de agosto de 2019; el presupuesto que este Decreto asigna a la Secretaría General de Gobierno podrá ser sujeto a reestructuraciones y adecuaciones con el fin de transferir progresivamente los recursos para el cumplimiento de las obligaciones establecidas en la Ley en comento.</w:t>
      </w:r>
    </w:p>
    <w:p w14:paraId="5F265245" w14:textId="77777777" w:rsidR="00BF5974" w:rsidRDefault="00BF5974" w:rsidP="00BF5974">
      <w:pPr>
        <w:rPr>
          <w:rFonts w:cs="Arial"/>
        </w:rPr>
      </w:pPr>
    </w:p>
    <w:p w14:paraId="5C2F028C" w14:textId="77777777" w:rsidR="00BF5974" w:rsidRDefault="00BF5974" w:rsidP="00BF5974">
      <w:pPr>
        <w:rPr>
          <w:rFonts w:cs="Arial"/>
        </w:rPr>
      </w:pPr>
      <w:r>
        <w:rPr>
          <w:rFonts w:cs="Arial"/>
          <w:b/>
        </w:rPr>
        <w:t>NOVENO</w:t>
      </w:r>
      <w:r>
        <w:rPr>
          <w:rFonts w:cs="Arial"/>
        </w:rPr>
        <w:t>. Si durante el Ejercicio Fiscal 2025 se constituye la Comisión Ejecutiva Estatal de Atención a Víctimas como Organismo Público Descentralizado a través de una Ley expedida por el Congreso del Estado o de un decreto emanado de la persona Titular del Poder Ejecutivo; el presupuesto que este Decreto asigna a la Secretaría General de Gobierno podrá ser sujeto a reestructuraciones y adecuaciones con el fin de transferir progresivamente los recursos para el cumplimiento de las obligaciones establecidas en Ley o Decreto respectivo.</w:t>
      </w:r>
    </w:p>
    <w:p w14:paraId="12819AC4" w14:textId="77777777" w:rsidR="00BF5974" w:rsidRDefault="00BF5974" w:rsidP="00BF5974">
      <w:pPr>
        <w:rPr>
          <w:rFonts w:cs="Arial"/>
        </w:rPr>
      </w:pPr>
    </w:p>
    <w:p w14:paraId="111B05E2" w14:textId="77777777" w:rsidR="00BF5974" w:rsidRDefault="00BF5974" w:rsidP="00BF5974">
      <w:pPr>
        <w:rPr>
          <w:rFonts w:cs="Arial"/>
        </w:rPr>
      </w:pPr>
      <w:r>
        <w:rPr>
          <w:rFonts w:cs="Arial"/>
          <w:b/>
          <w:bCs/>
        </w:rPr>
        <w:t>DÉCIMO.</w:t>
      </w:r>
      <w:r>
        <w:rPr>
          <w:rFonts w:cs="Arial"/>
        </w:rPr>
        <w:t xml:space="preserve"> En atención a lo dispuesto en la Constitución Política del Estado Libre y Soberano de Colima, la Ley de Presupuesto, y demás ordenamientos aplicables, los Órganos Autónomos administrarán y ejercerán en forma autónoma los recursos que se les aprueban en el presente Decreto.</w:t>
      </w:r>
    </w:p>
    <w:p w14:paraId="54BD56D0" w14:textId="6F47D5EA" w:rsidR="00BF5974" w:rsidRDefault="00BF5974" w:rsidP="00BF5974">
      <w:pPr>
        <w:rPr>
          <w:rFonts w:cs="Arial"/>
        </w:rPr>
      </w:pPr>
    </w:p>
    <w:p w14:paraId="31E656CA" w14:textId="3A956655" w:rsidR="00B13BDF" w:rsidRDefault="00B13BDF" w:rsidP="00BF5974">
      <w:pPr>
        <w:rPr>
          <w:rFonts w:cs="Arial"/>
        </w:rPr>
      </w:pPr>
    </w:p>
    <w:p w14:paraId="1083ADF0" w14:textId="77777777" w:rsidR="00B13BDF" w:rsidRDefault="00B13BDF" w:rsidP="00BF5974">
      <w:pPr>
        <w:rPr>
          <w:rFonts w:cs="Arial"/>
        </w:rPr>
      </w:pPr>
    </w:p>
    <w:p w14:paraId="7F8B463D" w14:textId="77777777" w:rsidR="00BF5974" w:rsidRDefault="00BF5974" w:rsidP="00BF5974">
      <w:pPr>
        <w:spacing w:after="160" w:line="256" w:lineRule="auto"/>
        <w:jc w:val="left"/>
        <w:rPr>
          <w:rFonts w:cs="Arial"/>
        </w:rPr>
      </w:pPr>
      <w:r>
        <w:rPr>
          <w:rFonts w:cs="Arial"/>
        </w:rPr>
        <w:lastRenderedPageBreak/>
        <w:t>La Gobernadora del Estado dispondrá se publique, circule y observe.</w:t>
      </w:r>
    </w:p>
    <w:p w14:paraId="1D1298A9" w14:textId="77777777" w:rsidR="00BF5974" w:rsidRDefault="00BF5974" w:rsidP="00BF5974">
      <w:pPr>
        <w:rPr>
          <w:rFonts w:cs="Arial"/>
          <w:lang w:val="es-ES"/>
        </w:rPr>
      </w:pPr>
      <w:r>
        <w:rPr>
          <w:rFonts w:cs="Arial"/>
          <w:lang w:val="es-ES"/>
        </w:rPr>
        <w:t xml:space="preserve">Dado en la Residencia del Poder Ejecutivo, en Palacio de Gobierno el día 31 de octubre del año 2024. </w:t>
      </w:r>
    </w:p>
    <w:p w14:paraId="6D7740AB" w14:textId="77777777" w:rsidR="00BF5974" w:rsidRDefault="00BF5974" w:rsidP="00BF5974">
      <w:pPr>
        <w:rPr>
          <w:rFonts w:cs="Arial"/>
          <w:lang w:val="es-ES"/>
        </w:rPr>
      </w:pPr>
    </w:p>
    <w:p w14:paraId="12F8BF95" w14:textId="77777777" w:rsidR="00BF5974" w:rsidRDefault="00BF5974" w:rsidP="00BF5974">
      <w:pPr>
        <w:jc w:val="center"/>
        <w:rPr>
          <w:rFonts w:cs="Arial"/>
          <w:b/>
          <w:lang w:val="es-ES"/>
        </w:rPr>
      </w:pPr>
      <w:r>
        <w:rPr>
          <w:rFonts w:cs="Arial"/>
          <w:b/>
          <w:lang w:val="es-ES"/>
        </w:rPr>
        <w:t>ATENTAMENTE</w:t>
      </w:r>
    </w:p>
    <w:p w14:paraId="6BDA7A7D" w14:textId="77777777" w:rsidR="00BF5974" w:rsidRDefault="00BF5974" w:rsidP="00BF5974">
      <w:pPr>
        <w:jc w:val="center"/>
        <w:rPr>
          <w:rFonts w:cs="Arial"/>
          <w:b/>
          <w:lang w:val="es-ES"/>
        </w:rPr>
      </w:pPr>
    </w:p>
    <w:p w14:paraId="3799F290" w14:textId="77777777" w:rsidR="00BF5974" w:rsidRDefault="00BF5974" w:rsidP="00BF5974">
      <w:pPr>
        <w:jc w:val="center"/>
        <w:rPr>
          <w:rFonts w:cs="Arial"/>
          <w:b/>
          <w:lang w:val="es-ES"/>
        </w:rPr>
      </w:pPr>
    </w:p>
    <w:p w14:paraId="27FB608C" w14:textId="77777777" w:rsidR="00BF5974" w:rsidRDefault="00BF5974" w:rsidP="00BF5974">
      <w:pPr>
        <w:jc w:val="center"/>
        <w:rPr>
          <w:rFonts w:cs="Arial"/>
          <w:b/>
          <w:lang w:val="es-ES"/>
        </w:rPr>
      </w:pPr>
    </w:p>
    <w:p w14:paraId="71B3935A" w14:textId="77777777" w:rsidR="00BF5974" w:rsidRDefault="00BF5974" w:rsidP="00BF5974">
      <w:pPr>
        <w:jc w:val="center"/>
        <w:rPr>
          <w:rFonts w:cs="Arial"/>
          <w:b/>
          <w:lang w:val="es-ES"/>
        </w:rPr>
      </w:pPr>
    </w:p>
    <w:p w14:paraId="1128E241" w14:textId="77777777" w:rsidR="00BF5974" w:rsidRDefault="00BF5974" w:rsidP="00BF5974">
      <w:pPr>
        <w:jc w:val="center"/>
        <w:rPr>
          <w:rFonts w:cs="Arial"/>
          <w:b/>
          <w:lang w:val="es-ES"/>
        </w:rPr>
      </w:pPr>
    </w:p>
    <w:p w14:paraId="687C8325" w14:textId="77777777" w:rsidR="00BF5974" w:rsidRDefault="00BF5974" w:rsidP="00BF5974">
      <w:pPr>
        <w:jc w:val="center"/>
        <w:rPr>
          <w:rFonts w:cs="Arial"/>
          <w:b/>
          <w:lang w:val="es-ES"/>
        </w:rPr>
      </w:pPr>
      <w:r>
        <w:rPr>
          <w:rFonts w:cs="Arial"/>
          <w:b/>
          <w:lang w:val="es-ES"/>
        </w:rPr>
        <w:t>MTRA. INDIRA VIZCAÍNO SILVA</w:t>
      </w:r>
    </w:p>
    <w:p w14:paraId="0BC010BD" w14:textId="77777777" w:rsidR="00BF5974" w:rsidRDefault="00BF5974" w:rsidP="00BF5974">
      <w:pPr>
        <w:jc w:val="center"/>
        <w:rPr>
          <w:rFonts w:cs="Arial"/>
          <w:b/>
          <w:lang w:val="es-ES"/>
        </w:rPr>
      </w:pPr>
      <w:r>
        <w:rPr>
          <w:rFonts w:cs="Arial"/>
          <w:b/>
          <w:lang w:val="es-ES"/>
        </w:rPr>
        <w:t>GOBERNADORA CONSTITUCIONAL DEL ESTADO</w:t>
      </w:r>
    </w:p>
    <w:p w14:paraId="624EE485" w14:textId="77777777" w:rsidR="00BF5974" w:rsidRDefault="00BF5974" w:rsidP="00BF5974">
      <w:pPr>
        <w:jc w:val="center"/>
        <w:rPr>
          <w:rFonts w:cs="Arial"/>
          <w:b/>
          <w:sz w:val="18"/>
          <w:lang w:val="es-ES"/>
        </w:rPr>
      </w:pPr>
    </w:p>
    <w:p w14:paraId="07A1B58F" w14:textId="77777777" w:rsidR="00BF5974" w:rsidRDefault="00BF5974" w:rsidP="00BF5974">
      <w:pPr>
        <w:jc w:val="center"/>
        <w:rPr>
          <w:rFonts w:cs="Arial"/>
          <w:b/>
          <w:sz w:val="18"/>
          <w:lang w:val="es-ES"/>
        </w:rPr>
      </w:pPr>
    </w:p>
    <w:p w14:paraId="61BEF05C" w14:textId="77777777" w:rsidR="00BF5974" w:rsidRDefault="00BF5974" w:rsidP="00BF5974">
      <w:pPr>
        <w:jc w:val="center"/>
        <w:rPr>
          <w:rFonts w:cs="Arial"/>
          <w:b/>
          <w:lang w:val="es-ES"/>
        </w:rPr>
      </w:pPr>
    </w:p>
    <w:p w14:paraId="7517E936" w14:textId="77777777" w:rsidR="00BF5974" w:rsidRDefault="00BF5974" w:rsidP="00BF5974">
      <w:pPr>
        <w:jc w:val="center"/>
        <w:rPr>
          <w:rFonts w:cs="Arial"/>
          <w:b/>
          <w:lang w:val="es-ES"/>
        </w:rPr>
      </w:pPr>
    </w:p>
    <w:p w14:paraId="315ABD1F" w14:textId="77777777" w:rsidR="00BF5974" w:rsidRDefault="00BF5974" w:rsidP="00BF5974">
      <w:pPr>
        <w:jc w:val="center"/>
        <w:rPr>
          <w:rFonts w:cs="Arial"/>
          <w:b/>
          <w:lang w:val="es-ES"/>
        </w:rPr>
      </w:pPr>
    </w:p>
    <w:p w14:paraId="01161586" w14:textId="77777777" w:rsidR="00BF5974" w:rsidRDefault="00BF5974" w:rsidP="00BF5974">
      <w:pPr>
        <w:jc w:val="center"/>
        <w:rPr>
          <w:rFonts w:cs="Arial"/>
          <w:b/>
          <w:lang w:val="es-ES"/>
        </w:rPr>
      </w:pPr>
      <w:r>
        <w:rPr>
          <w:rFonts w:cs="Arial"/>
          <w:b/>
          <w:lang w:val="es-ES"/>
        </w:rPr>
        <w:t>LIC. ALBERTO ELOY GARCÍA ALCARAZ</w:t>
      </w:r>
    </w:p>
    <w:p w14:paraId="47445F31" w14:textId="77777777" w:rsidR="00BF5974" w:rsidRDefault="00BF5974" w:rsidP="00BF5974">
      <w:pPr>
        <w:jc w:val="center"/>
        <w:rPr>
          <w:rFonts w:cs="Arial"/>
          <w:b/>
          <w:lang w:val="es-ES"/>
        </w:rPr>
      </w:pPr>
      <w:r>
        <w:rPr>
          <w:rFonts w:cs="Arial"/>
          <w:b/>
          <w:lang w:val="es-ES"/>
        </w:rPr>
        <w:t>SECRETARIO GENERAL DE GOBIERNO</w:t>
      </w:r>
    </w:p>
    <w:p w14:paraId="2504A668" w14:textId="77777777" w:rsidR="00BF5974" w:rsidRDefault="00BF5974" w:rsidP="00BF5974">
      <w:pPr>
        <w:jc w:val="center"/>
        <w:rPr>
          <w:rFonts w:eastAsia="Arial Unicode MS" w:cs="Arial"/>
          <w:b/>
          <w:lang w:val="es-ES"/>
        </w:rPr>
      </w:pPr>
    </w:p>
    <w:p w14:paraId="3E70AD49" w14:textId="77777777" w:rsidR="00BF5974" w:rsidRDefault="00BF5974" w:rsidP="00BF5974">
      <w:pPr>
        <w:jc w:val="center"/>
        <w:rPr>
          <w:rFonts w:eastAsia="Arial Unicode MS" w:cs="Arial"/>
          <w:b/>
          <w:lang w:val="es-ES"/>
        </w:rPr>
      </w:pPr>
    </w:p>
    <w:p w14:paraId="03B4AAA1" w14:textId="77777777" w:rsidR="00BF5974" w:rsidRDefault="00BF5974" w:rsidP="00BF5974">
      <w:pPr>
        <w:jc w:val="center"/>
        <w:rPr>
          <w:rFonts w:eastAsia="Arial Unicode MS" w:cs="Arial"/>
          <w:b/>
          <w:lang w:val="es-ES"/>
        </w:rPr>
      </w:pPr>
    </w:p>
    <w:p w14:paraId="4502A58D" w14:textId="77777777" w:rsidR="00BF5974" w:rsidRDefault="00BF5974" w:rsidP="00BF5974">
      <w:pPr>
        <w:jc w:val="center"/>
        <w:rPr>
          <w:rFonts w:eastAsia="Arial Unicode MS" w:cs="Arial"/>
          <w:b/>
          <w:lang w:val="es-ES"/>
        </w:rPr>
      </w:pPr>
    </w:p>
    <w:p w14:paraId="1195DB81" w14:textId="77777777" w:rsidR="00BF5974" w:rsidRDefault="00BF5974" w:rsidP="00BF5974">
      <w:pPr>
        <w:jc w:val="center"/>
        <w:rPr>
          <w:rFonts w:eastAsia="Arial Unicode MS" w:cs="Arial"/>
          <w:b/>
          <w:lang w:val="es-ES"/>
        </w:rPr>
      </w:pPr>
    </w:p>
    <w:p w14:paraId="3D12B011" w14:textId="77777777" w:rsidR="00BF5974" w:rsidRDefault="00BF5974" w:rsidP="00BF5974">
      <w:pPr>
        <w:jc w:val="center"/>
        <w:rPr>
          <w:rFonts w:eastAsia="Arial Bold" w:cs="Arial"/>
          <w:b/>
          <w:lang w:val="es-ES"/>
        </w:rPr>
      </w:pPr>
      <w:r>
        <w:rPr>
          <w:rFonts w:eastAsia="Arial Unicode MS" w:cs="Arial"/>
          <w:b/>
          <w:lang w:val="es-ES"/>
        </w:rPr>
        <w:t>C.P. FABIOLA VERDUZCO APARICIO</w:t>
      </w:r>
    </w:p>
    <w:p w14:paraId="10F94B9A" w14:textId="77777777" w:rsidR="00BF5974" w:rsidRDefault="00BF5974" w:rsidP="00BF5974">
      <w:pPr>
        <w:jc w:val="center"/>
        <w:rPr>
          <w:rFonts w:eastAsia="Arial Bold" w:cs="Arial"/>
          <w:b/>
          <w:lang w:val="es-ES"/>
        </w:rPr>
      </w:pPr>
      <w:r>
        <w:rPr>
          <w:rFonts w:eastAsia="Arial Unicode MS" w:cs="Arial"/>
          <w:b/>
          <w:lang w:val="es-ES"/>
        </w:rPr>
        <w:t>SECRETARIA DE PLANEACIÓN, FINANZAS Y ADMINISTRACIÓN</w:t>
      </w:r>
    </w:p>
    <w:p w14:paraId="46D61B1A" w14:textId="77777777" w:rsidR="00BF5974" w:rsidRDefault="00BF5974" w:rsidP="00BF5974">
      <w:pPr>
        <w:jc w:val="center"/>
        <w:rPr>
          <w:rFonts w:cs="Arial"/>
          <w:b/>
          <w:lang w:val="es-ES"/>
        </w:rPr>
      </w:pPr>
    </w:p>
    <w:p w14:paraId="1EDA8B37" w14:textId="77777777" w:rsidR="00BF5974" w:rsidRDefault="00BF5974" w:rsidP="00BF5974">
      <w:pPr>
        <w:jc w:val="center"/>
        <w:rPr>
          <w:rFonts w:cs="Arial"/>
          <w:b/>
          <w:lang w:val="es-ES"/>
        </w:rPr>
      </w:pPr>
    </w:p>
    <w:p w14:paraId="411B7D7E" w14:textId="77777777" w:rsidR="00BF5974" w:rsidRDefault="00BF5974" w:rsidP="00BF5974">
      <w:pPr>
        <w:jc w:val="center"/>
        <w:rPr>
          <w:rFonts w:cs="Arial"/>
          <w:b/>
          <w:lang w:val="es-ES"/>
        </w:rPr>
      </w:pPr>
    </w:p>
    <w:p w14:paraId="56AA33AC" w14:textId="77777777" w:rsidR="00BF5974" w:rsidRDefault="00BF5974" w:rsidP="00BF5974">
      <w:pPr>
        <w:jc w:val="center"/>
        <w:rPr>
          <w:rFonts w:cs="Arial"/>
          <w:b/>
          <w:lang w:val="es-ES"/>
        </w:rPr>
      </w:pPr>
    </w:p>
    <w:p w14:paraId="5A8D32B6" w14:textId="77777777" w:rsidR="00BF5974" w:rsidRDefault="00BF5974" w:rsidP="00BF5974">
      <w:pPr>
        <w:jc w:val="center"/>
        <w:rPr>
          <w:rFonts w:cs="Arial"/>
          <w:b/>
          <w:lang w:val="es-ES"/>
        </w:rPr>
      </w:pPr>
    </w:p>
    <w:p w14:paraId="75DF592A" w14:textId="77777777" w:rsidR="00BF5974" w:rsidRPr="00F6217C" w:rsidRDefault="00BF5974" w:rsidP="00BF5974">
      <w:pPr>
        <w:ind w:left="1134" w:right="1183"/>
        <w:jc w:val="center"/>
        <w:rPr>
          <w:rFonts w:cs="Arial"/>
          <w:b/>
          <w:sz w:val="20"/>
          <w:szCs w:val="20"/>
          <w:lang w:val="es-ES"/>
        </w:rPr>
      </w:pPr>
      <w:r w:rsidRPr="00F6217C">
        <w:rPr>
          <w:rFonts w:cs="Arial"/>
          <w:b/>
          <w:lang w:val="es-ES"/>
        </w:rPr>
        <w:t>LICDA. FENA ELIZABETH CRUZ AVALOS</w:t>
      </w:r>
      <w:r w:rsidRPr="00F6217C">
        <w:rPr>
          <w:rFonts w:cs="Arial"/>
          <w:b/>
          <w:lang w:val="es-ES"/>
        </w:rPr>
        <w:br/>
      </w:r>
      <w:r w:rsidRPr="00F6217C">
        <w:rPr>
          <w:rFonts w:cs="Arial"/>
          <w:b/>
          <w:sz w:val="20"/>
          <w:szCs w:val="20"/>
          <w:lang w:val="es-ES"/>
        </w:rPr>
        <w:t>Directora General de Control y Gestión Jurídica de la Consejería Jurídica del Poder Ejecutivo del Estado, actuando de conformidad con lo dispuesto por el artículo 17, fracción XIV, en relación al artículo 37 numerales 1, 2 y 3 del Reglamento Interior de la Consejería Jurídica del Poder Ejecutivo del Estado de Colima</w:t>
      </w:r>
    </w:p>
    <w:p w14:paraId="146C936D" w14:textId="77777777" w:rsidR="00BF5974" w:rsidRDefault="00BF5974" w:rsidP="00BF5974">
      <w:pPr>
        <w:jc w:val="center"/>
        <w:rPr>
          <w:rFonts w:cs="Arial"/>
          <w:b/>
          <w:lang w:val="es-ES"/>
        </w:rPr>
      </w:pPr>
    </w:p>
    <w:p w14:paraId="08C9ED4B" w14:textId="2460771E" w:rsidR="00BF5974" w:rsidRDefault="00BF5974" w:rsidP="00BF5974">
      <w:pPr>
        <w:spacing w:after="160" w:line="259" w:lineRule="auto"/>
        <w:jc w:val="left"/>
        <w:rPr>
          <w:rFonts w:cs="Arial"/>
          <w:b/>
        </w:rPr>
      </w:pPr>
      <w:r>
        <w:rPr>
          <w:rFonts w:cs="Arial"/>
          <w:sz w:val="16"/>
          <w:lang w:val="es-ES"/>
        </w:rPr>
        <w:t>---------------------- Las firmas del presente documento corresponden a la Iniciativa con Proyecto de Decreto por el que se expide el Presupuesto de Egresos del Estado de Colima para el Ejercicio Fiscal 2025 -------</w:t>
      </w:r>
      <w:bookmarkEnd w:id="7"/>
      <w:bookmarkEnd w:id="8"/>
      <w:r>
        <w:rPr>
          <w:rFonts w:cs="Arial"/>
          <w:sz w:val="16"/>
          <w:lang w:val="es-ES"/>
        </w:rPr>
        <w:t>------------------------------------------------------</w:t>
      </w:r>
      <w:bookmarkEnd w:id="5"/>
    </w:p>
    <w:sectPr w:rsidR="00BF5974" w:rsidSect="00751934">
      <w:headerReference w:type="default" r:id="rId22"/>
      <w:footerReference w:type="default" r:id="rId23"/>
      <w:pgSz w:w="12240" w:h="15840" w:code="1"/>
      <w:pgMar w:top="3260" w:right="1701" w:bottom="170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66D69" w14:textId="77777777" w:rsidR="006B7524" w:rsidRDefault="006B7524" w:rsidP="00E752F0">
      <w:r>
        <w:separator/>
      </w:r>
    </w:p>
  </w:endnote>
  <w:endnote w:type="continuationSeparator" w:id="0">
    <w:p w14:paraId="23F993C2" w14:textId="77777777" w:rsidR="006B7524" w:rsidRDefault="006B7524" w:rsidP="00E7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tis Sans Serif Std Light">
    <w:altName w:val="Cambria"/>
    <w:panose1 w:val="00000000000000000000"/>
    <w:charset w:val="00"/>
    <w:family w:val="roman"/>
    <w:notTrueType/>
    <w:pitch w:val="default"/>
    <w:sig w:usb0="00000003" w:usb1="00000000" w:usb2="00000000" w:usb3="00000000" w:csb0="00000001" w:csb1="00000000"/>
  </w:font>
  <w:font w:name="Arial Bold">
    <w:altName w:val="Times New Roman"/>
    <w:charset w:val="00"/>
    <w:family w:val="roman"/>
    <w:pitch w:val="default"/>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155727"/>
      <w:docPartObj>
        <w:docPartGallery w:val="Page Numbers (Bottom of Page)"/>
        <w:docPartUnique/>
      </w:docPartObj>
    </w:sdtPr>
    <w:sdtEndPr/>
    <w:sdtContent>
      <w:p w14:paraId="57954F67" w14:textId="129FA0D1" w:rsidR="006A4190" w:rsidRPr="00480662" w:rsidRDefault="006A4190" w:rsidP="00480662">
        <w:pPr>
          <w:pStyle w:val="Piedepgina"/>
          <w:jc w:val="center"/>
          <w:rPr>
            <w:rFonts w:ascii="Montserrat" w:hAnsi="Montserrat" w:cs="Arial"/>
            <w:i/>
            <w:iCs/>
            <w:sz w:val="16"/>
            <w:szCs w:val="16"/>
          </w:rPr>
        </w:pPr>
        <w:r>
          <w:t>“</w:t>
        </w:r>
        <w:r>
          <w:rPr>
            <w:rFonts w:ascii="Montserrat" w:hAnsi="Montserrat"/>
            <w:i/>
            <w:iCs/>
            <w:sz w:val="16"/>
            <w:szCs w:val="16"/>
          </w:rPr>
          <w:t>2024:</w:t>
        </w:r>
        <w:r w:rsidRPr="00480662">
          <w:rPr>
            <w:rFonts w:ascii="Montserrat" w:hAnsi="Montserrat"/>
            <w:i/>
            <w:iCs/>
            <w:sz w:val="16"/>
            <w:szCs w:val="16"/>
          </w:rPr>
          <w:t xml:space="preserve"> </w:t>
        </w:r>
        <w:r>
          <w:rPr>
            <w:rFonts w:ascii="Montserrat" w:hAnsi="Montserrat"/>
            <w:i/>
            <w:iCs/>
            <w:sz w:val="16"/>
            <w:szCs w:val="16"/>
          </w:rPr>
          <w:t>A</w:t>
        </w:r>
        <w:r w:rsidRPr="00480662">
          <w:rPr>
            <w:rFonts w:ascii="Montserrat" w:hAnsi="Montserrat"/>
            <w:i/>
            <w:iCs/>
            <w:sz w:val="16"/>
            <w:szCs w:val="16"/>
          </w:rPr>
          <w:t>ño del</w:t>
        </w:r>
        <w:r>
          <w:rPr>
            <w:rFonts w:ascii="Montserrat" w:hAnsi="Montserrat"/>
            <w:i/>
            <w:iCs/>
            <w:sz w:val="16"/>
            <w:szCs w:val="16"/>
          </w:rPr>
          <w:t xml:space="preserve"> Bicentenario de la creación del Territorio Federal </w:t>
        </w:r>
        <w:r w:rsidRPr="00480662">
          <w:rPr>
            <w:rFonts w:ascii="Montserrat" w:hAnsi="Montserrat"/>
            <w:i/>
            <w:iCs/>
            <w:sz w:val="16"/>
            <w:szCs w:val="16"/>
          </w:rPr>
          <w:t>de Colima</w:t>
        </w:r>
        <w:r>
          <w:rPr>
            <w:rFonts w:ascii="Montserrat" w:hAnsi="Montserrat"/>
            <w:i/>
            <w:iCs/>
            <w:sz w:val="16"/>
            <w:szCs w:val="16"/>
          </w:rPr>
          <w:t>”</w:t>
        </w:r>
      </w:p>
      <w:p w14:paraId="161416C9" w14:textId="1CB9BE51" w:rsidR="006A4190" w:rsidRDefault="006A4190" w:rsidP="00BA31D9">
        <w:pPr>
          <w:pStyle w:val="Piedepgina"/>
          <w:jc w:val="center"/>
        </w:pPr>
        <w:r>
          <w:tab/>
        </w:r>
        <w:r>
          <w:tab/>
        </w:r>
        <w:r w:rsidRPr="006C6311">
          <w:rPr>
            <w:rFonts w:cs="Arial"/>
            <w:sz w:val="24"/>
          </w:rPr>
          <w:fldChar w:fldCharType="begin"/>
        </w:r>
        <w:r w:rsidRPr="006C6311">
          <w:rPr>
            <w:rFonts w:cs="Arial"/>
            <w:sz w:val="24"/>
          </w:rPr>
          <w:instrText>PAGE   \* MERGEFORMAT</w:instrText>
        </w:r>
        <w:r w:rsidRPr="006C6311">
          <w:rPr>
            <w:rFonts w:cs="Arial"/>
            <w:sz w:val="24"/>
          </w:rPr>
          <w:fldChar w:fldCharType="separate"/>
        </w:r>
        <w:r w:rsidR="004E0879" w:rsidRPr="004E0879">
          <w:rPr>
            <w:rFonts w:cs="Arial"/>
            <w:noProof/>
            <w:sz w:val="24"/>
            <w:lang w:val="es-ES"/>
          </w:rPr>
          <w:t>154</w:t>
        </w:r>
        <w:r w:rsidRPr="006C6311">
          <w:rPr>
            <w:rFonts w:cs="Arial"/>
            <w:sz w:val="24"/>
          </w:rPr>
          <w:fldChar w:fldCharType="end"/>
        </w:r>
      </w:p>
    </w:sdtContent>
  </w:sdt>
  <w:p w14:paraId="07149ECC" w14:textId="77777777" w:rsidR="006A4190" w:rsidRDefault="006A41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6A149" w14:textId="77777777" w:rsidR="006B7524" w:rsidRDefault="006B7524" w:rsidP="00E752F0">
      <w:r>
        <w:separator/>
      </w:r>
    </w:p>
  </w:footnote>
  <w:footnote w:type="continuationSeparator" w:id="0">
    <w:p w14:paraId="37979ADC" w14:textId="77777777" w:rsidR="006B7524" w:rsidRDefault="006B7524" w:rsidP="00E75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A9E5" w14:textId="77777777" w:rsidR="006A4190" w:rsidRDefault="006A4190" w:rsidP="00D96528">
    <w:pPr>
      <w:pStyle w:val="Encabezado"/>
    </w:pPr>
    <w:r>
      <w:rPr>
        <w:noProof/>
      </w:rPr>
      <w:drawing>
        <wp:anchor distT="0" distB="0" distL="114300" distR="114300" simplePos="0" relativeHeight="251659264" behindDoc="0" locked="0" layoutInCell="1" allowOverlap="1" wp14:anchorId="7391A0AA" wp14:editId="68EED933">
          <wp:simplePos x="0" y="0"/>
          <wp:positionH relativeFrom="column">
            <wp:posOffset>-255270</wp:posOffset>
          </wp:positionH>
          <wp:positionV relativeFrom="paragraph">
            <wp:posOffset>-333674</wp:posOffset>
          </wp:positionV>
          <wp:extent cx="1874569" cy="1770380"/>
          <wp:effectExtent l="0" t="0" r="0" b="1270"/>
          <wp:wrapNone/>
          <wp:docPr id="4" name="Imagen 4" descr="\\RECEPCION\Users\Public\Scan.jpg"/>
          <wp:cNvGraphicFramePr/>
          <a:graphic xmlns:a="http://schemas.openxmlformats.org/drawingml/2006/main">
            <a:graphicData uri="http://schemas.openxmlformats.org/drawingml/2006/picture">
              <pic:pic xmlns:pic="http://schemas.openxmlformats.org/drawingml/2006/picture">
                <pic:nvPicPr>
                  <pic:cNvPr id="2" name="Imagen 1" descr="\\RECEPCION\Users\Public\Scan.jpg"/>
                  <pic:cNvPicPr/>
                </pic:nvPicPr>
                <pic:blipFill rotWithShape="1">
                  <a:blip r:embed="rId1">
                    <a:grayscl/>
                    <a:extLst>
                      <a:ext uri="{28A0092B-C50C-407E-A947-70E740481C1C}">
                        <a14:useLocalDpi xmlns:a14="http://schemas.microsoft.com/office/drawing/2010/main" val="0"/>
                      </a:ext>
                    </a:extLst>
                  </a:blip>
                  <a:srcRect l="11226" t="10794" r="-1511" b="3940"/>
                  <a:stretch/>
                </pic:blipFill>
                <pic:spPr bwMode="auto">
                  <a:xfrm>
                    <a:off x="0" y="0"/>
                    <a:ext cx="1874569" cy="1770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CDB80A" w14:textId="77777777" w:rsidR="006A4190" w:rsidRDefault="006A41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C3A"/>
    <w:multiLevelType w:val="hybridMultilevel"/>
    <w:tmpl w:val="5BAAEC9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E96C59"/>
    <w:multiLevelType w:val="hybridMultilevel"/>
    <w:tmpl w:val="A7888A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2D6534"/>
    <w:multiLevelType w:val="hybridMultilevel"/>
    <w:tmpl w:val="533C9874"/>
    <w:lvl w:ilvl="0" w:tplc="4EE4DBF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493390"/>
    <w:multiLevelType w:val="hybridMultilevel"/>
    <w:tmpl w:val="D4FA0AE4"/>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 w15:restartNumberingAfterBreak="0">
    <w:nsid w:val="0DE7169C"/>
    <w:multiLevelType w:val="hybridMultilevel"/>
    <w:tmpl w:val="EC54E24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F21815"/>
    <w:multiLevelType w:val="hybridMultilevel"/>
    <w:tmpl w:val="736C8D66"/>
    <w:lvl w:ilvl="0" w:tplc="197C293E">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0F4D35EE"/>
    <w:multiLevelType w:val="hybridMultilevel"/>
    <w:tmpl w:val="9880CDF0"/>
    <w:lvl w:ilvl="0" w:tplc="366C31DE">
      <w:start w:val="1"/>
      <w:numFmt w:val="upperRoman"/>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1A76A3D"/>
    <w:multiLevelType w:val="hybridMultilevel"/>
    <w:tmpl w:val="E912D3F6"/>
    <w:lvl w:ilvl="0" w:tplc="0B4A5484">
      <w:numFmt w:val="bullet"/>
      <w:lvlText w:val=""/>
      <w:lvlJc w:val="left"/>
      <w:pPr>
        <w:ind w:left="520" w:hanging="361"/>
      </w:pPr>
      <w:rPr>
        <w:rFonts w:ascii="Symbol" w:eastAsia="Symbol" w:hAnsi="Symbol" w:cs="Symbol" w:hint="default"/>
        <w:w w:val="100"/>
        <w:sz w:val="16"/>
        <w:szCs w:val="16"/>
        <w:lang w:val="es-ES" w:eastAsia="en-US" w:bidi="ar-SA"/>
      </w:rPr>
    </w:lvl>
    <w:lvl w:ilvl="1" w:tplc="A85C5B16">
      <w:numFmt w:val="bullet"/>
      <w:lvlText w:val="•"/>
      <w:lvlJc w:val="left"/>
      <w:pPr>
        <w:ind w:left="939" w:hanging="361"/>
      </w:pPr>
      <w:rPr>
        <w:rFonts w:hint="default"/>
        <w:lang w:val="es-ES" w:eastAsia="en-US" w:bidi="ar-SA"/>
      </w:rPr>
    </w:lvl>
    <w:lvl w:ilvl="2" w:tplc="B1EC542C">
      <w:numFmt w:val="bullet"/>
      <w:lvlText w:val="•"/>
      <w:lvlJc w:val="left"/>
      <w:pPr>
        <w:ind w:left="1359" w:hanging="361"/>
      </w:pPr>
      <w:rPr>
        <w:rFonts w:hint="default"/>
        <w:lang w:val="es-ES" w:eastAsia="en-US" w:bidi="ar-SA"/>
      </w:rPr>
    </w:lvl>
    <w:lvl w:ilvl="3" w:tplc="6FB26BB0">
      <w:numFmt w:val="bullet"/>
      <w:lvlText w:val="•"/>
      <w:lvlJc w:val="left"/>
      <w:pPr>
        <w:ind w:left="1779" w:hanging="361"/>
      </w:pPr>
      <w:rPr>
        <w:rFonts w:hint="default"/>
        <w:lang w:val="es-ES" w:eastAsia="en-US" w:bidi="ar-SA"/>
      </w:rPr>
    </w:lvl>
    <w:lvl w:ilvl="4" w:tplc="A52E5F10">
      <w:numFmt w:val="bullet"/>
      <w:lvlText w:val="•"/>
      <w:lvlJc w:val="left"/>
      <w:pPr>
        <w:ind w:left="2199" w:hanging="361"/>
      </w:pPr>
      <w:rPr>
        <w:rFonts w:hint="default"/>
        <w:lang w:val="es-ES" w:eastAsia="en-US" w:bidi="ar-SA"/>
      </w:rPr>
    </w:lvl>
    <w:lvl w:ilvl="5" w:tplc="5150BEB2">
      <w:numFmt w:val="bullet"/>
      <w:lvlText w:val="•"/>
      <w:lvlJc w:val="left"/>
      <w:pPr>
        <w:ind w:left="2619" w:hanging="361"/>
      </w:pPr>
      <w:rPr>
        <w:rFonts w:hint="default"/>
        <w:lang w:val="es-ES" w:eastAsia="en-US" w:bidi="ar-SA"/>
      </w:rPr>
    </w:lvl>
    <w:lvl w:ilvl="6" w:tplc="249E4082">
      <w:numFmt w:val="bullet"/>
      <w:lvlText w:val="•"/>
      <w:lvlJc w:val="left"/>
      <w:pPr>
        <w:ind w:left="3039" w:hanging="361"/>
      </w:pPr>
      <w:rPr>
        <w:rFonts w:hint="default"/>
        <w:lang w:val="es-ES" w:eastAsia="en-US" w:bidi="ar-SA"/>
      </w:rPr>
    </w:lvl>
    <w:lvl w:ilvl="7" w:tplc="4746C1E6">
      <w:numFmt w:val="bullet"/>
      <w:lvlText w:val="•"/>
      <w:lvlJc w:val="left"/>
      <w:pPr>
        <w:ind w:left="3459" w:hanging="361"/>
      </w:pPr>
      <w:rPr>
        <w:rFonts w:hint="default"/>
        <w:lang w:val="es-ES" w:eastAsia="en-US" w:bidi="ar-SA"/>
      </w:rPr>
    </w:lvl>
    <w:lvl w:ilvl="8" w:tplc="24A2C71E">
      <w:numFmt w:val="bullet"/>
      <w:lvlText w:val="•"/>
      <w:lvlJc w:val="left"/>
      <w:pPr>
        <w:ind w:left="3879" w:hanging="361"/>
      </w:pPr>
      <w:rPr>
        <w:rFonts w:hint="default"/>
        <w:lang w:val="es-ES" w:eastAsia="en-US" w:bidi="ar-SA"/>
      </w:rPr>
    </w:lvl>
  </w:abstractNum>
  <w:abstractNum w:abstractNumId="8" w15:restartNumberingAfterBreak="0">
    <w:nsid w:val="1A82278A"/>
    <w:multiLevelType w:val="hybridMultilevel"/>
    <w:tmpl w:val="C33C8792"/>
    <w:lvl w:ilvl="0" w:tplc="1CD698D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080345"/>
    <w:multiLevelType w:val="hybridMultilevel"/>
    <w:tmpl w:val="42505F8C"/>
    <w:lvl w:ilvl="0" w:tplc="D24E70EA">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23D56DCE"/>
    <w:multiLevelType w:val="hybridMultilevel"/>
    <w:tmpl w:val="6BCA85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811A9E"/>
    <w:multiLevelType w:val="hybridMultilevel"/>
    <w:tmpl w:val="94E6DDA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AF0E47"/>
    <w:multiLevelType w:val="hybridMultilevel"/>
    <w:tmpl w:val="90D4937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6C2BE5"/>
    <w:multiLevelType w:val="hybridMultilevel"/>
    <w:tmpl w:val="F61C15E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555851"/>
    <w:multiLevelType w:val="multilevel"/>
    <w:tmpl w:val="D25A536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B6B6391"/>
    <w:multiLevelType w:val="hybridMultilevel"/>
    <w:tmpl w:val="19202BB6"/>
    <w:lvl w:ilvl="0" w:tplc="9D0C5090">
      <w:start w:val="1"/>
      <w:numFmt w:val="upperRoman"/>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DBB1E02"/>
    <w:multiLevelType w:val="hybridMultilevel"/>
    <w:tmpl w:val="472A6CD0"/>
    <w:lvl w:ilvl="0" w:tplc="DC88E91A">
      <w:numFmt w:val="bullet"/>
      <w:lvlText w:val="•"/>
      <w:lvlJc w:val="left"/>
      <w:pPr>
        <w:ind w:left="1065" w:hanging="705"/>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0A112C"/>
    <w:multiLevelType w:val="hybridMultilevel"/>
    <w:tmpl w:val="7E7E19E0"/>
    <w:lvl w:ilvl="0" w:tplc="2D36CE9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8343D3"/>
    <w:multiLevelType w:val="hybridMultilevel"/>
    <w:tmpl w:val="878452A6"/>
    <w:lvl w:ilvl="0" w:tplc="6FDA6F8A">
      <w:start w:val="1"/>
      <w:numFmt w:val="upperRoman"/>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8A125C5"/>
    <w:multiLevelType w:val="hybridMultilevel"/>
    <w:tmpl w:val="7C5419AC"/>
    <w:lvl w:ilvl="0" w:tplc="971CAA2A">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3D9D63A4"/>
    <w:multiLevelType w:val="hybridMultilevel"/>
    <w:tmpl w:val="C89A437C"/>
    <w:lvl w:ilvl="0" w:tplc="681C7476">
      <w:numFmt w:val="bullet"/>
      <w:lvlText w:val=""/>
      <w:lvlJc w:val="left"/>
      <w:pPr>
        <w:ind w:left="415" w:hanging="221"/>
      </w:pPr>
      <w:rPr>
        <w:rFonts w:ascii="Symbol" w:eastAsia="Symbol" w:hAnsi="Symbol" w:cs="Symbol" w:hint="default"/>
        <w:w w:val="100"/>
        <w:sz w:val="16"/>
        <w:szCs w:val="16"/>
        <w:lang w:val="es-ES" w:eastAsia="en-US" w:bidi="ar-SA"/>
      </w:rPr>
    </w:lvl>
    <w:lvl w:ilvl="1" w:tplc="32763A7E">
      <w:numFmt w:val="bullet"/>
      <w:lvlText w:val="•"/>
      <w:lvlJc w:val="left"/>
      <w:pPr>
        <w:ind w:left="848" w:hanging="221"/>
      </w:pPr>
      <w:rPr>
        <w:rFonts w:hint="default"/>
        <w:lang w:val="es-ES" w:eastAsia="en-US" w:bidi="ar-SA"/>
      </w:rPr>
    </w:lvl>
    <w:lvl w:ilvl="2" w:tplc="46767F10">
      <w:numFmt w:val="bullet"/>
      <w:lvlText w:val="•"/>
      <w:lvlJc w:val="left"/>
      <w:pPr>
        <w:ind w:left="1277" w:hanging="221"/>
      </w:pPr>
      <w:rPr>
        <w:rFonts w:hint="default"/>
        <w:lang w:val="es-ES" w:eastAsia="en-US" w:bidi="ar-SA"/>
      </w:rPr>
    </w:lvl>
    <w:lvl w:ilvl="3" w:tplc="2E76BE54">
      <w:numFmt w:val="bullet"/>
      <w:lvlText w:val="•"/>
      <w:lvlJc w:val="left"/>
      <w:pPr>
        <w:ind w:left="1706" w:hanging="221"/>
      </w:pPr>
      <w:rPr>
        <w:rFonts w:hint="default"/>
        <w:lang w:val="es-ES" w:eastAsia="en-US" w:bidi="ar-SA"/>
      </w:rPr>
    </w:lvl>
    <w:lvl w:ilvl="4" w:tplc="23A6F860">
      <w:numFmt w:val="bullet"/>
      <w:lvlText w:val="•"/>
      <w:lvlJc w:val="left"/>
      <w:pPr>
        <w:ind w:left="2134" w:hanging="221"/>
      </w:pPr>
      <w:rPr>
        <w:rFonts w:hint="default"/>
        <w:lang w:val="es-ES" w:eastAsia="en-US" w:bidi="ar-SA"/>
      </w:rPr>
    </w:lvl>
    <w:lvl w:ilvl="5" w:tplc="1A4AF06C">
      <w:numFmt w:val="bullet"/>
      <w:lvlText w:val="•"/>
      <w:lvlJc w:val="left"/>
      <w:pPr>
        <w:ind w:left="2563" w:hanging="221"/>
      </w:pPr>
      <w:rPr>
        <w:rFonts w:hint="default"/>
        <w:lang w:val="es-ES" w:eastAsia="en-US" w:bidi="ar-SA"/>
      </w:rPr>
    </w:lvl>
    <w:lvl w:ilvl="6" w:tplc="0EDC7FEA">
      <w:numFmt w:val="bullet"/>
      <w:lvlText w:val="•"/>
      <w:lvlJc w:val="left"/>
      <w:pPr>
        <w:ind w:left="2992" w:hanging="221"/>
      </w:pPr>
      <w:rPr>
        <w:rFonts w:hint="default"/>
        <w:lang w:val="es-ES" w:eastAsia="en-US" w:bidi="ar-SA"/>
      </w:rPr>
    </w:lvl>
    <w:lvl w:ilvl="7" w:tplc="B96E2826">
      <w:numFmt w:val="bullet"/>
      <w:lvlText w:val="•"/>
      <w:lvlJc w:val="left"/>
      <w:pPr>
        <w:ind w:left="3420" w:hanging="221"/>
      </w:pPr>
      <w:rPr>
        <w:rFonts w:hint="default"/>
        <w:lang w:val="es-ES" w:eastAsia="en-US" w:bidi="ar-SA"/>
      </w:rPr>
    </w:lvl>
    <w:lvl w:ilvl="8" w:tplc="82905EA4">
      <w:numFmt w:val="bullet"/>
      <w:lvlText w:val="•"/>
      <w:lvlJc w:val="left"/>
      <w:pPr>
        <w:ind w:left="3849" w:hanging="221"/>
      </w:pPr>
      <w:rPr>
        <w:rFonts w:hint="default"/>
        <w:lang w:val="es-ES" w:eastAsia="en-US" w:bidi="ar-SA"/>
      </w:rPr>
    </w:lvl>
  </w:abstractNum>
  <w:abstractNum w:abstractNumId="21" w15:restartNumberingAfterBreak="0">
    <w:nsid w:val="43E15658"/>
    <w:multiLevelType w:val="hybridMultilevel"/>
    <w:tmpl w:val="4A0AF994"/>
    <w:lvl w:ilvl="0" w:tplc="E62E34CC">
      <w:start w:val="6"/>
      <w:numFmt w:val="upperRoman"/>
      <w:lvlText w:val="%1."/>
      <w:lvlJc w:val="right"/>
      <w:pPr>
        <w:ind w:left="540"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AF3AA4"/>
    <w:multiLevelType w:val="hybridMultilevel"/>
    <w:tmpl w:val="B044B29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DB4E50"/>
    <w:multiLevelType w:val="hybridMultilevel"/>
    <w:tmpl w:val="A6F82408"/>
    <w:lvl w:ilvl="0" w:tplc="3602499E">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15:restartNumberingAfterBreak="0">
    <w:nsid w:val="4BE269CC"/>
    <w:multiLevelType w:val="multilevel"/>
    <w:tmpl w:val="77602540"/>
    <w:lvl w:ilvl="0">
      <w:start w:val="4"/>
      <w:numFmt w:val="decimal"/>
      <w:lvlText w:val="%1"/>
      <w:lvlJc w:val="left"/>
      <w:pPr>
        <w:ind w:left="1370" w:hanging="372"/>
      </w:pPr>
      <w:rPr>
        <w:rFonts w:hint="default"/>
        <w:lang w:val="es-ES" w:eastAsia="en-US" w:bidi="ar-SA"/>
      </w:rPr>
    </w:lvl>
    <w:lvl w:ilvl="1">
      <w:start w:val="1"/>
      <w:numFmt w:val="decimal"/>
      <w:lvlText w:val="%1.%2"/>
      <w:lvlJc w:val="left"/>
      <w:pPr>
        <w:ind w:left="1370" w:hanging="372"/>
      </w:pPr>
      <w:rPr>
        <w:rFonts w:ascii="Tahoma" w:eastAsia="Tahoma" w:hAnsi="Tahoma" w:cs="Tahoma" w:hint="default"/>
        <w:b/>
        <w:bCs/>
        <w:color w:val="9D2348"/>
        <w:spacing w:val="-4"/>
        <w:w w:val="59"/>
        <w:sz w:val="24"/>
        <w:szCs w:val="24"/>
        <w:lang w:val="es-ES" w:eastAsia="en-US" w:bidi="ar-SA"/>
      </w:rPr>
    </w:lvl>
    <w:lvl w:ilvl="2">
      <w:start w:val="1"/>
      <w:numFmt w:val="decimal"/>
      <w:lvlText w:val="%1.%2.%3"/>
      <w:lvlJc w:val="left"/>
      <w:pPr>
        <w:ind w:left="1589" w:hanging="591"/>
      </w:pPr>
      <w:rPr>
        <w:rFonts w:hint="default"/>
        <w:b/>
        <w:bCs/>
        <w:spacing w:val="-4"/>
        <w:w w:val="59"/>
        <w:lang w:val="es-ES" w:eastAsia="en-US" w:bidi="ar-SA"/>
      </w:rPr>
    </w:lvl>
    <w:lvl w:ilvl="3">
      <w:start w:val="1"/>
      <w:numFmt w:val="lowerRoman"/>
      <w:lvlText w:val="(%4)"/>
      <w:lvlJc w:val="left"/>
      <w:pPr>
        <w:ind w:left="2076" w:hanging="591"/>
      </w:pPr>
      <w:rPr>
        <w:rFonts w:ascii="Verdana" w:eastAsia="Verdana" w:hAnsi="Verdana" w:cs="Verdana" w:hint="default"/>
        <w:w w:val="76"/>
        <w:sz w:val="20"/>
        <w:szCs w:val="20"/>
        <w:lang w:val="es-ES" w:eastAsia="en-US" w:bidi="ar-SA"/>
      </w:rPr>
    </w:lvl>
    <w:lvl w:ilvl="4">
      <w:numFmt w:val="bullet"/>
      <w:lvlText w:val="•"/>
      <w:lvlJc w:val="left"/>
      <w:pPr>
        <w:ind w:left="3408" w:hanging="591"/>
      </w:pPr>
      <w:rPr>
        <w:rFonts w:hint="default"/>
        <w:lang w:val="es-ES" w:eastAsia="en-US" w:bidi="ar-SA"/>
      </w:rPr>
    </w:lvl>
    <w:lvl w:ilvl="5">
      <w:numFmt w:val="bullet"/>
      <w:lvlText w:val="•"/>
      <w:lvlJc w:val="left"/>
      <w:pPr>
        <w:ind w:left="4737" w:hanging="591"/>
      </w:pPr>
      <w:rPr>
        <w:rFonts w:hint="default"/>
        <w:lang w:val="es-ES" w:eastAsia="en-US" w:bidi="ar-SA"/>
      </w:rPr>
    </w:lvl>
    <w:lvl w:ilvl="6">
      <w:numFmt w:val="bullet"/>
      <w:lvlText w:val="•"/>
      <w:lvlJc w:val="left"/>
      <w:pPr>
        <w:ind w:left="6065" w:hanging="591"/>
      </w:pPr>
      <w:rPr>
        <w:rFonts w:hint="default"/>
        <w:lang w:val="es-ES" w:eastAsia="en-US" w:bidi="ar-SA"/>
      </w:rPr>
    </w:lvl>
    <w:lvl w:ilvl="7">
      <w:numFmt w:val="bullet"/>
      <w:lvlText w:val="•"/>
      <w:lvlJc w:val="left"/>
      <w:pPr>
        <w:ind w:left="7394" w:hanging="591"/>
      </w:pPr>
      <w:rPr>
        <w:rFonts w:hint="default"/>
        <w:lang w:val="es-ES" w:eastAsia="en-US" w:bidi="ar-SA"/>
      </w:rPr>
    </w:lvl>
    <w:lvl w:ilvl="8">
      <w:numFmt w:val="bullet"/>
      <w:lvlText w:val="•"/>
      <w:lvlJc w:val="left"/>
      <w:pPr>
        <w:ind w:left="8722" w:hanging="591"/>
      </w:pPr>
      <w:rPr>
        <w:rFonts w:hint="default"/>
        <w:lang w:val="es-ES" w:eastAsia="en-US" w:bidi="ar-SA"/>
      </w:rPr>
    </w:lvl>
  </w:abstractNum>
  <w:abstractNum w:abstractNumId="25" w15:restartNumberingAfterBreak="0">
    <w:nsid w:val="4BF543EE"/>
    <w:multiLevelType w:val="hybridMultilevel"/>
    <w:tmpl w:val="6EAEA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4D55ED"/>
    <w:multiLevelType w:val="hybridMultilevel"/>
    <w:tmpl w:val="417CA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3A4095"/>
    <w:multiLevelType w:val="hybridMultilevel"/>
    <w:tmpl w:val="B41041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4D72D1"/>
    <w:multiLevelType w:val="hybridMultilevel"/>
    <w:tmpl w:val="2B7462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15:restartNumberingAfterBreak="0">
    <w:nsid w:val="65402062"/>
    <w:multiLevelType w:val="hybridMultilevel"/>
    <w:tmpl w:val="4A9CA8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69B34270"/>
    <w:multiLevelType w:val="hybridMultilevel"/>
    <w:tmpl w:val="F13419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BC24C11"/>
    <w:multiLevelType w:val="hybridMultilevel"/>
    <w:tmpl w:val="C31C9C0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D66E01"/>
    <w:multiLevelType w:val="hybridMultilevel"/>
    <w:tmpl w:val="DAE62F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EB611C9"/>
    <w:multiLevelType w:val="hybridMultilevel"/>
    <w:tmpl w:val="F3547C72"/>
    <w:lvl w:ilvl="0" w:tplc="6BBEC436">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6FC05F7E"/>
    <w:multiLevelType w:val="hybridMultilevel"/>
    <w:tmpl w:val="1B0C21E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A3C1375"/>
    <w:multiLevelType w:val="hybridMultilevel"/>
    <w:tmpl w:val="44A844DE"/>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A72D19"/>
    <w:multiLevelType w:val="hybridMultilevel"/>
    <w:tmpl w:val="8FB21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F6812D4"/>
    <w:multiLevelType w:val="hybridMultilevel"/>
    <w:tmpl w:val="A4B4F644"/>
    <w:lvl w:ilvl="0" w:tplc="D102CCE2">
      <w:start w:val="1"/>
      <w:numFmt w:val="upperRoman"/>
      <w:lvlText w:val="%1."/>
      <w:lvlJc w:val="left"/>
      <w:pPr>
        <w:ind w:left="720" w:hanging="360"/>
      </w:pPr>
      <w:rPr>
        <w:rFonts w:hint="default"/>
        <w:strike w:val="0"/>
        <w:dstrike w:val="0"/>
        <w:color w:val="auto"/>
        <w:u w:val="none"/>
        <w:effect w:val="no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3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3"/>
  </w:num>
  <w:num w:numId="11">
    <w:abstractNumId w:val="35"/>
  </w:num>
  <w:num w:numId="12">
    <w:abstractNumId w:val="1"/>
  </w:num>
  <w:num w:numId="13">
    <w:abstractNumId w:val="22"/>
  </w:num>
  <w:num w:numId="14">
    <w:abstractNumId w:val="30"/>
  </w:num>
  <w:num w:numId="15">
    <w:abstractNumId w:val="36"/>
  </w:num>
  <w:num w:numId="16">
    <w:abstractNumId w:val="10"/>
  </w:num>
  <w:num w:numId="17">
    <w:abstractNumId w:val="27"/>
  </w:num>
  <w:num w:numId="18">
    <w:abstractNumId w:val="21"/>
  </w:num>
  <w:num w:numId="19">
    <w:abstractNumId w:val="3"/>
  </w:num>
  <w:num w:numId="20">
    <w:abstractNumId w:val="11"/>
  </w:num>
  <w:num w:numId="21">
    <w:abstractNumId w:val="7"/>
  </w:num>
  <w:num w:numId="22">
    <w:abstractNumId w:val="20"/>
  </w:num>
  <w:num w:numId="23">
    <w:abstractNumId w:val="24"/>
  </w:num>
  <w:num w:numId="24">
    <w:abstractNumId w:val="2"/>
  </w:num>
  <w:num w:numId="25">
    <w:abstractNumId w:val="17"/>
  </w:num>
  <w:num w:numId="26">
    <w:abstractNumId w:val="8"/>
  </w:num>
  <w:num w:numId="27">
    <w:abstractNumId w:val="31"/>
  </w:num>
  <w:num w:numId="28">
    <w:abstractNumId w:val="32"/>
  </w:num>
  <w:num w:numId="29">
    <w:abstractNumId w:val="9"/>
  </w:num>
  <w:num w:numId="30">
    <w:abstractNumId w:val="25"/>
  </w:num>
  <w:num w:numId="31">
    <w:abstractNumId w:val="16"/>
  </w:num>
  <w:num w:numId="32">
    <w:abstractNumId w:val="26"/>
  </w:num>
  <w:num w:numId="33">
    <w:abstractNumId w:val="28"/>
  </w:num>
  <w:num w:numId="34">
    <w:abstractNumId w:val="29"/>
  </w:num>
  <w:num w:numId="35">
    <w:abstractNumId w:val="12"/>
  </w:num>
  <w:num w:numId="36">
    <w:abstractNumId w:val="4"/>
  </w:num>
  <w:num w:numId="37">
    <w:abstractNumId w:val="0"/>
  </w:num>
  <w:num w:numId="38">
    <w:abstractNumId w:val="34"/>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lvlOverride w:ilvl="2"/>
    <w:lvlOverride w:ilvl="3"/>
    <w:lvlOverride w:ilvl="4"/>
    <w:lvlOverride w:ilvl="5"/>
    <w:lvlOverride w:ilvl="6"/>
    <w:lvlOverride w:ilvl="7"/>
    <w:lvlOverride w:ilvl="8"/>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MX" w:vendorID="64" w:dllVersion="0" w:nlCheck="1" w:checkStyle="0"/>
  <w:activeWritingStyle w:appName="MSWord" w:lang="fr-FR" w:vendorID="64" w:dllVersion="0" w:nlCheck="1" w:checkStyle="0"/>
  <w:activeWritingStyle w:appName="MSWord" w:lang="fr-F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2F0"/>
    <w:rsid w:val="0000049A"/>
    <w:rsid w:val="000015A1"/>
    <w:rsid w:val="00002C28"/>
    <w:rsid w:val="00002E5B"/>
    <w:rsid w:val="00003379"/>
    <w:rsid w:val="0000395F"/>
    <w:rsid w:val="00003E21"/>
    <w:rsid w:val="00005445"/>
    <w:rsid w:val="00005FBE"/>
    <w:rsid w:val="0000683D"/>
    <w:rsid w:val="0001084A"/>
    <w:rsid w:val="0001143B"/>
    <w:rsid w:val="000126CE"/>
    <w:rsid w:val="000149A4"/>
    <w:rsid w:val="00015853"/>
    <w:rsid w:val="00017F71"/>
    <w:rsid w:val="000216FB"/>
    <w:rsid w:val="0002250B"/>
    <w:rsid w:val="0002271F"/>
    <w:rsid w:val="00022ACC"/>
    <w:rsid w:val="00022C95"/>
    <w:rsid w:val="000230AE"/>
    <w:rsid w:val="0002390D"/>
    <w:rsid w:val="00023C08"/>
    <w:rsid w:val="00023D66"/>
    <w:rsid w:val="00024DB8"/>
    <w:rsid w:val="000253F1"/>
    <w:rsid w:val="0002721F"/>
    <w:rsid w:val="00030765"/>
    <w:rsid w:val="00030C6D"/>
    <w:rsid w:val="00031785"/>
    <w:rsid w:val="00031978"/>
    <w:rsid w:val="00031EB2"/>
    <w:rsid w:val="00032855"/>
    <w:rsid w:val="00034ADF"/>
    <w:rsid w:val="00034E02"/>
    <w:rsid w:val="00034EE6"/>
    <w:rsid w:val="000353FE"/>
    <w:rsid w:val="0003541C"/>
    <w:rsid w:val="00035C8A"/>
    <w:rsid w:val="00036012"/>
    <w:rsid w:val="00036946"/>
    <w:rsid w:val="00036A85"/>
    <w:rsid w:val="00037584"/>
    <w:rsid w:val="00037D21"/>
    <w:rsid w:val="00037FBF"/>
    <w:rsid w:val="000404C5"/>
    <w:rsid w:val="000405D6"/>
    <w:rsid w:val="000407E7"/>
    <w:rsid w:val="0004171F"/>
    <w:rsid w:val="00042BF1"/>
    <w:rsid w:val="000430B6"/>
    <w:rsid w:val="00043385"/>
    <w:rsid w:val="000433A6"/>
    <w:rsid w:val="00043B39"/>
    <w:rsid w:val="00043D9D"/>
    <w:rsid w:val="00044ED0"/>
    <w:rsid w:val="00045C85"/>
    <w:rsid w:val="00045F26"/>
    <w:rsid w:val="000464AB"/>
    <w:rsid w:val="000511AA"/>
    <w:rsid w:val="00051948"/>
    <w:rsid w:val="00052495"/>
    <w:rsid w:val="00052ED4"/>
    <w:rsid w:val="00054F84"/>
    <w:rsid w:val="000550AF"/>
    <w:rsid w:val="0005543F"/>
    <w:rsid w:val="0005616D"/>
    <w:rsid w:val="00057771"/>
    <w:rsid w:val="00057B07"/>
    <w:rsid w:val="000600E0"/>
    <w:rsid w:val="0006048F"/>
    <w:rsid w:val="00060CCE"/>
    <w:rsid w:val="00060DF9"/>
    <w:rsid w:val="00062E8C"/>
    <w:rsid w:val="000633DB"/>
    <w:rsid w:val="0006381C"/>
    <w:rsid w:val="000644C6"/>
    <w:rsid w:val="00064864"/>
    <w:rsid w:val="00064952"/>
    <w:rsid w:val="00064F50"/>
    <w:rsid w:val="000659B2"/>
    <w:rsid w:val="00065BB5"/>
    <w:rsid w:val="00065E18"/>
    <w:rsid w:val="00066CB1"/>
    <w:rsid w:val="000671CD"/>
    <w:rsid w:val="00067879"/>
    <w:rsid w:val="00072B96"/>
    <w:rsid w:val="000731E8"/>
    <w:rsid w:val="0007452B"/>
    <w:rsid w:val="00075369"/>
    <w:rsid w:val="000759FE"/>
    <w:rsid w:val="00075EB0"/>
    <w:rsid w:val="00075F3C"/>
    <w:rsid w:val="000769AB"/>
    <w:rsid w:val="0007759E"/>
    <w:rsid w:val="00080770"/>
    <w:rsid w:val="00080A1C"/>
    <w:rsid w:val="00081707"/>
    <w:rsid w:val="00081BDA"/>
    <w:rsid w:val="0008200D"/>
    <w:rsid w:val="0008256B"/>
    <w:rsid w:val="00083525"/>
    <w:rsid w:val="00084461"/>
    <w:rsid w:val="00084C1A"/>
    <w:rsid w:val="000857F9"/>
    <w:rsid w:val="00085C17"/>
    <w:rsid w:val="00085E1E"/>
    <w:rsid w:val="00086030"/>
    <w:rsid w:val="00090031"/>
    <w:rsid w:val="000903EB"/>
    <w:rsid w:val="00091B63"/>
    <w:rsid w:val="0009299C"/>
    <w:rsid w:val="00092DB4"/>
    <w:rsid w:val="000938F0"/>
    <w:rsid w:val="00093C99"/>
    <w:rsid w:val="00093FA1"/>
    <w:rsid w:val="00094BC5"/>
    <w:rsid w:val="0009608D"/>
    <w:rsid w:val="00097142"/>
    <w:rsid w:val="00097603"/>
    <w:rsid w:val="000A0F29"/>
    <w:rsid w:val="000A11F6"/>
    <w:rsid w:val="000A12AC"/>
    <w:rsid w:val="000A135F"/>
    <w:rsid w:val="000A1392"/>
    <w:rsid w:val="000A13CE"/>
    <w:rsid w:val="000A1A7D"/>
    <w:rsid w:val="000A2026"/>
    <w:rsid w:val="000A2E8E"/>
    <w:rsid w:val="000A3972"/>
    <w:rsid w:val="000A44DC"/>
    <w:rsid w:val="000A4E2D"/>
    <w:rsid w:val="000A50E5"/>
    <w:rsid w:val="000A634F"/>
    <w:rsid w:val="000A643E"/>
    <w:rsid w:val="000A65EB"/>
    <w:rsid w:val="000A718C"/>
    <w:rsid w:val="000A7D54"/>
    <w:rsid w:val="000B0179"/>
    <w:rsid w:val="000B23E4"/>
    <w:rsid w:val="000B337D"/>
    <w:rsid w:val="000B5B46"/>
    <w:rsid w:val="000B6FB3"/>
    <w:rsid w:val="000B6FF5"/>
    <w:rsid w:val="000B7869"/>
    <w:rsid w:val="000B7AD2"/>
    <w:rsid w:val="000C072F"/>
    <w:rsid w:val="000C0B6C"/>
    <w:rsid w:val="000C0BE0"/>
    <w:rsid w:val="000C0F43"/>
    <w:rsid w:val="000C11EA"/>
    <w:rsid w:val="000C195E"/>
    <w:rsid w:val="000C2381"/>
    <w:rsid w:val="000C246B"/>
    <w:rsid w:val="000C36CF"/>
    <w:rsid w:val="000C3C74"/>
    <w:rsid w:val="000C3F69"/>
    <w:rsid w:val="000C448A"/>
    <w:rsid w:val="000C5DBD"/>
    <w:rsid w:val="000C5E29"/>
    <w:rsid w:val="000C6441"/>
    <w:rsid w:val="000C7BEB"/>
    <w:rsid w:val="000D0C5D"/>
    <w:rsid w:val="000D168C"/>
    <w:rsid w:val="000D1CEC"/>
    <w:rsid w:val="000D21AC"/>
    <w:rsid w:val="000D29E7"/>
    <w:rsid w:val="000D3054"/>
    <w:rsid w:val="000D30A6"/>
    <w:rsid w:val="000D310F"/>
    <w:rsid w:val="000D31D7"/>
    <w:rsid w:val="000D3688"/>
    <w:rsid w:val="000D399D"/>
    <w:rsid w:val="000D3EA2"/>
    <w:rsid w:val="000D4592"/>
    <w:rsid w:val="000D48E0"/>
    <w:rsid w:val="000D4C55"/>
    <w:rsid w:val="000D4F42"/>
    <w:rsid w:val="000D5F51"/>
    <w:rsid w:val="000D681D"/>
    <w:rsid w:val="000D764B"/>
    <w:rsid w:val="000E0BA1"/>
    <w:rsid w:val="000E0F98"/>
    <w:rsid w:val="000E1E47"/>
    <w:rsid w:val="000E20E3"/>
    <w:rsid w:val="000E3099"/>
    <w:rsid w:val="000E4F27"/>
    <w:rsid w:val="000E77FE"/>
    <w:rsid w:val="000E79E1"/>
    <w:rsid w:val="000E7A3B"/>
    <w:rsid w:val="000F15DD"/>
    <w:rsid w:val="000F1B6B"/>
    <w:rsid w:val="000F2AD6"/>
    <w:rsid w:val="000F2C50"/>
    <w:rsid w:val="000F329E"/>
    <w:rsid w:val="000F391D"/>
    <w:rsid w:val="000F4765"/>
    <w:rsid w:val="000F4EC3"/>
    <w:rsid w:val="000F5B7E"/>
    <w:rsid w:val="000F6587"/>
    <w:rsid w:val="000F678F"/>
    <w:rsid w:val="000F679E"/>
    <w:rsid w:val="000F70E0"/>
    <w:rsid w:val="000F732F"/>
    <w:rsid w:val="000F78E0"/>
    <w:rsid w:val="00100220"/>
    <w:rsid w:val="0010070E"/>
    <w:rsid w:val="00100843"/>
    <w:rsid w:val="001009F5"/>
    <w:rsid w:val="001011C3"/>
    <w:rsid w:val="00101AB3"/>
    <w:rsid w:val="001037E4"/>
    <w:rsid w:val="00103EA4"/>
    <w:rsid w:val="00104D76"/>
    <w:rsid w:val="00104DCE"/>
    <w:rsid w:val="00105286"/>
    <w:rsid w:val="001054D0"/>
    <w:rsid w:val="0010565F"/>
    <w:rsid w:val="00110B91"/>
    <w:rsid w:val="00112661"/>
    <w:rsid w:val="00112BEB"/>
    <w:rsid w:val="00113122"/>
    <w:rsid w:val="00113625"/>
    <w:rsid w:val="00113BD8"/>
    <w:rsid w:val="00116726"/>
    <w:rsid w:val="00117E57"/>
    <w:rsid w:val="00120729"/>
    <w:rsid w:val="00121E06"/>
    <w:rsid w:val="00122C27"/>
    <w:rsid w:val="00122D12"/>
    <w:rsid w:val="00123557"/>
    <w:rsid w:val="001248BB"/>
    <w:rsid w:val="00124D57"/>
    <w:rsid w:val="00125289"/>
    <w:rsid w:val="00125D92"/>
    <w:rsid w:val="00126761"/>
    <w:rsid w:val="001277B4"/>
    <w:rsid w:val="00130EAD"/>
    <w:rsid w:val="0013127D"/>
    <w:rsid w:val="001326CC"/>
    <w:rsid w:val="0013270E"/>
    <w:rsid w:val="0013296E"/>
    <w:rsid w:val="00133AFB"/>
    <w:rsid w:val="001341C0"/>
    <w:rsid w:val="0013494C"/>
    <w:rsid w:val="00134A35"/>
    <w:rsid w:val="0013520C"/>
    <w:rsid w:val="00135212"/>
    <w:rsid w:val="001355FF"/>
    <w:rsid w:val="0013594C"/>
    <w:rsid w:val="0013665C"/>
    <w:rsid w:val="001367A2"/>
    <w:rsid w:val="0013783E"/>
    <w:rsid w:val="00137845"/>
    <w:rsid w:val="00137998"/>
    <w:rsid w:val="0014071B"/>
    <w:rsid w:val="0014157D"/>
    <w:rsid w:val="0014162A"/>
    <w:rsid w:val="0014174B"/>
    <w:rsid w:val="00141CC2"/>
    <w:rsid w:val="00142120"/>
    <w:rsid w:val="001422EE"/>
    <w:rsid w:val="001429F3"/>
    <w:rsid w:val="0014465A"/>
    <w:rsid w:val="00145B3A"/>
    <w:rsid w:val="00145B9D"/>
    <w:rsid w:val="00146D2C"/>
    <w:rsid w:val="00151DA6"/>
    <w:rsid w:val="001534C0"/>
    <w:rsid w:val="001539DC"/>
    <w:rsid w:val="001539F5"/>
    <w:rsid w:val="0015436B"/>
    <w:rsid w:val="0015489C"/>
    <w:rsid w:val="00154E7A"/>
    <w:rsid w:val="001555D6"/>
    <w:rsid w:val="00160AEE"/>
    <w:rsid w:val="00161798"/>
    <w:rsid w:val="0016184F"/>
    <w:rsid w:val="00163B82"/>
    <w:rsid w:val="00163C6A"/>
    <w:rsid w:val="00164398"/>
    <w:rsid w:val="001644F8"/>
    <w:rsid w:val="00165699"/>
    <w:rsid w:val="001659C3"/>
    <w:rsid w:val="00165C7D"/>
    <w:rsid w:val="001661F5"/>
    <w:rsid w:val="0016723F"/>
    <w:rsid w:val="00167A1A"/>
    <w:rsid w:val="00167BC6"/>
    <w:rsid w:val="00167FBA"/>
    <w:rsid w:val="00170890"/>
    <w:rsid w:val="0017182D"/>
    <w:rsid w:val="00171F6E"/>
    <w:rsid w:val="0017307B"/>
    <w:rsid w:val="00174D62"/>
    <w:rsid w:val="00175090"/>
    <w:rsid w:val="00175BCB"/>
    <w:rsid w:val="00176108"/>
    <w:rsid w:val="00176324"/>
    <w:rsid w:val="00177FAF"/>
    <w:rsid w:val="001800EE"/>
    <w:rsid w:val="001803C2"/>
    <w:rsid w:val="0018113F"/>
    <w:rsid w:val="00181875"/>
    <w:rsid w:val="00182894"/>
    <w:rsid w:val="00184810"/>
    <w:rsid w:val="00185690"/>
    <w:rsid w:val="00185A41"/>
    <w:rsid w:val="00187183"/>
    <w:rsid w:val="001879CC"/>
    <w:rsid w:val="001910C1"/>
    <w:rsid w:val="0019174A"/>
    <w:rsid w:val="00191EFB"/>
    <w:rsid w:val="00193ADA"/>
    <w:rsid w:val="00193D6E"/>
    <w:rsid w:val="00194241"/>
    <w:rsid w:val="001950E5"/>
    <w:rsid w:val="0019513A"/>
    <w:rsid w:val="00197B38"/>
    <w:rsid w:val="001A0558"/>
    <w:rsid w:val="001A0595"/>
    <w:rsid w:val="001A08DA"/>
    <w:rsid w:val="001A13FF"/>
    <w:rsid w:val="001A1A00"/>
    <w:rsid w:val="001A1AE5"/>
    <w:rsid w:val="001A20C6"/>
    <w:rsid w:val="001A28F5"/>
    <w:rsid w:val="001A373B"/>
    <w:rsid w:val="001A3BA0"/>
    <w:rsid w:val="001A498D"/>
    <w:rsid w:val="001A4D65"/>
    <w:rsid w:val="001A5E14"/>
    <w:rsid w:val="001A5EBA"/>
    <w:rsid w:val="001A6059"/>
    <w:rsid w:val="001A7289"/>
    <w:rsid w:val="001B0B5A"/>
    <w:rsid w:val="001B19AF"/>
    <w:rsid w:val="001B1D00"/>
    <w:rsid w:val="001B2A08"/>
    <w:rsid w:val="001B2DDE"/>
    <w:rsid w:val="001B4546"/>
    <w:rsid w:val="001B48DC"/>
    <w:rsid w:val="001B517C"/>
    <w:rsid w:val="001B528F"/>
    <w:rsid w:val="001B6C84"/>
    <w:rsid w:val="001B6E51"/>
    <w:rsid w:val="001B723B"/>
    <w:rsid w:val="001B7F77"/>
    <w:rsid w:val="001C0B2F"/>
    <w:rsid w:val="001C1991"/>
    <w:rsid w:val="001C1DCB"/>
    <w:rsid w:val="001C1E67"/>
    <w:rsid w:val="001C2304"/>
    <w:rsid w:val="001C2B32"/>
    <w:rsid w:val="001C6608"/>
    <w:rsid w:val="001C6A96"/>
    <w:rsid w:val="001C7E7B"/>
    <w:rsid w:val="001D065D"/>
    <w:rsid w:val="001D0683"/>
    <w:rsid w:val="001D0755"/>
    <w:rsid w:val="001D0A50"/>
    <w:rsid w:val="001D2112"/>
    <w:rsid w:val="001D2207"/>
    <w:rsid w:val="001D28B9"/>
    <w:rsid w:val="001D2FCD"/>
    <w:rsid w:val="001D31FF"/>
    <w:rsid w:val="001D415F"/>
    <w:rsid w:val="001D4CD4"/>
    <w:rsid w:val="001D688B"/>
    <w:rsid w:val="001D7AE2"/>
    <w:rsid w:val="001D7BA4"/>
    <w:rsid w:val="001D7CEB"/>
    <w:rsid w:val="001D7FBB"/>
    <w:rsid w:val="001E00BA"/>
    <w:rsid w:val="001E0B5B"/>
    <w:rsid w:val="001E2001"/>
    <w:rsid w:val="001E44B0"/>
    <w:rsid w:val="001E45FD"/>
    <w:rsid w:val="001E473F"/>
    <w:rsid w:val="001E4FCA"/>
    <w:rsid w:val="001E560C"/>
    <w:rsid w:val="001E5F5D"/>
    <w:rsid w:val="001E6716"/>
    <w:rsid w:val="001E6DAA"/>
    <w:rsid w:val="001E7056"/>
    <w:rsid w:val="001E72EE"/>
    <w:rsid w:val="001E7508"/>
    <w:rsid w:val="001E7D80"/>
    <w:rsid w:val="001E7DA1"/>
    <w:rsid w:val="001F1499"/>
    <w:rsid w:val="001F1DFF"/>
    <w:rsid w:val="001F2D69"/>
    <w:rsid w:val="001F3690"/>
    <w:rsid w:val="001F4A7B"/>
    <w:rsid w:val="001F4BEA"/>
    <w:rsid w:val="001F6188"/>
    <w:rsid w:val="001F68B8"/>
    <w:rsid w:val="001F6D7C"/>
    <w:rsid w:val="001F6EDB"/>
    <w:rsid w:val="001F73D3"/>
    <w:rsid w:val="0020038A"/>
    <w:rsid w:val="002005E4"/>
    <w:rsid w:val="002007C4"/>
    <w:rsid w:val="00201AD4"/>
    <w:rsid w:val="00201BE3"/>
    <w:rsid w:val="002027F0"/>
    <w:rsid w:val="00203564"/>
    <w:rsid w:val="00204845"/>
    <w:rsid w:val="00205863"/>
    <w:rsid w:val="00205ECF"/>
    <w:rsid w:val="00206286"/>
    <w:rsid w:val="002067ED"/>
    <w:rsid w:val="002073A7"/>
    <w:rsid w:val="00207C4C"/>
    <w:rsid w:val="00211494"/>
    <w:rsid w:val="00212613"/>
    <w:rsid w:val="002128BC"/>
    <w:rsid w:val="0021293F"/>
    <w:rsid w:val="00212AC9"/>
    <w:rsid w:val="00212E73"/>
    <w:rsid w:val="00213C2E"/>
    <w:rsid w:val="002142A1"/>
    <w:rsid w:val="00214F5A"/>
    <w:rsid w:val="002159AD"/>
    <w:rsid w:val="00215E0B"/>
    <w:rsid w:val="002162B9"/>
    <w:rsid w:val="002176A4"/>
    <w:rsid w:val="00217C33"/>
    <w:rsid w:val="00221571"/>
    <w:rsid w:val="00221BDE"/>
    <w:rsid w:val="002221E0"/>
    <w:rsid w:val="002249C4"/>
    <w:rsid w:val="00224BD9"/>
    <w:rsid w:val="00225233"/>
    <w:rsid w:val="002257B4"/>
    <w:rsid w:val="00225B83"/>
    <w:rsid w:val="00226CEA"/>
    <w:rsid w:val="00226D74"/>
    <w:rsid w:val="002278B1"/>
    <w:rsid w:val="00227910"/>
    <w:rsid w:val="00230B5B"/>
    <w:rsid w:val="00230CEF"/>
    <w:rsid w:val="00233DDA"/>
    <w:rsid w:val="00236626"/>
    <w:rsid w:val="00236939"/>
    <w:rsid w:val="0023751B"/>
    <w:rsid w:val="002378CD"/>
    <w:rsid w:val="00240183"/>
    <w:rsid w:val="00240234"/>
    <w:rsid w:val="00242597"/>
    <w:rsid w:val="00242C70"/>
    <w:rsid w:val="00242E07"/>
    <w:rsid w:val="002430C7"/>
    <w:rsid w:val="002430E3"/>
    <w:rsid w:val="00246720"/>
    <w:rsid w:val="0024754C"/>
    <w:rsid w:val="00250102"/>
    <w:rsid w:val="0025072C"/>
    <w:rsid w:val="0025134B"/>
    <w:rsid w:val="00252F5D"/>
    <w:rsid w:val="00253879"/>
    <w:rsid w:val="002549EE"/>
    <w:rsid w:val="0025781F"/>
    <w:rsid w:val="00257C8A"/>
    <w:rsid w:val="0026062E"/>
    <w:rsid w:val="00260DB1"/>
    <w:rsid w:val="002616A0"/>
    <w:rsid w:val="00261CE9"/>
    <w:rsid w:val="002621F4"/>
    <w:rsid w:val="00262438"/>
    <w:rsid w:val="00262BD2"/>
    <w:rsid w:val="00263298"/>
    <w:rsid w:val="002637F2"/>
    <w:rsid w:val="00263822"/>
    <w:rsid w:val="00263E05"/>
    <w:rsid w:val="00263F7E"/>
    <w:rsid w:val="0026481B"/>
    <w:rsid w:val="002655F4"/>
    <w:rsid w:val="00265CCC"/>
    <w:rsid w:val="00266459"/>
    <w:rsid w:val="0026698B"/>
    <w:rsid w:val="00270DD2"/>
    <w:rsid w:val="00272080"/>
    <w:rsid w:val="00272E5E"/>
    <w:rsid w:val="00272ECA"/>
    <w:rsid w:val="0027452E"/>
    <w:rsid w:val="00275FB7"/>
    <w:rsid w:val="00277D9C"/>
    <w:rsid w:val="00277DF2"/>
    <w:rsid w:val="0028007A"/>
    <w:rsid w:val="00280282"/>
    <w:rsid w:val="002803AB"/>
    <w:rsid w:val="002811A2"/>
    <w:rsid w:val="00282C23"/>
    <w:rsid w:val="00282CF0"/>
    <w:rsid w:val="002843C9"/>
    <w:rsid w:val="0028454E"/>
    <w:rsid w:val="00284610"/>
    <w:rsid w:val="002851ED"/>
    <w:rsid w:val="00285D67"/>
    <w:rsid w:val="00285FFF"/>
    <w:rsid w:val="00286214"/>
    <w:rsid w:val="002864C9"/>
    <w:rsid w:val="00286EC1"/>
    <w:rsid w:val="002873A2"/>
    <w:rsid w:val="0028749D"/>
    <w:rsid w:val="00287E1B"/>
    <w:rsid w:val="002913F0"/>
    <w:rsid w:val="002917D6"/>
    <w:rsid w:val="002917F4"/>
    <w:rsid w:val="00291FAD"/>
    <w:rsid w:val="0029219E"/>
    <w:rsid w:val="00292EB6"/>
    <w:rsid w:val="002934C8"/>
    <w:rsid w:val="0029366E"/>
    <w:rsid w:val="002936BB"/>
    <w:rsid w:val="00293EDB"/>
    <w:rsid w:val="00294B5E"/>
    <w:rsid w:val="00294F1B"/>
    <w:rsid w:val="00295342"/>
    <w:rsid w:val="002963FA"/>
    <w:rsid w:val="002969A8"/>
    <w:rsid w:val="00296BDD"/>
    <w:rsid w:val="0029704D"/>
    <w:rsid w:val="00297144"/>
    <w:rsid w:val="00297266"/>
    <w:rsid w:val="002972FF"/>
    <w:rsid w:val="0029783F"/>
    <w:rsid w:val="00297A26"/>
    <w:rsid w:val="002A1053"/>
    <w:rsid w:val="002A1177"/>
    <w:rsid w:val="002A1946"/>
    <w:rsid w:val="002A3FD6"/>
    <w:rsid w:val="002A41F8"/>
    <w:rsid w:val="002A4E36"/>
    <w:rsid w:val="002A505B"/>
    <w:rsid w:val="002A6C54"/>
    <w:rsid w:val="002A6FB7"/>
    <w:rsid w:val="002A7204"/>
    <w:rsid w:val="002B027E"/>
    <w:rsid w:val="002B04A0"/>
    <w:rsid w:val="002B0B87"/>
    <w:rsid w:val="002B0CBA"/>
    <w:rsid w:val="002B14C4"/>
    <w:rsid w:val="002B2A42"/>
    <w:rsid w:val="002B2F94"/>
    <w:rsid w:val="002B39F9"/>
    <w:rsid w:val="002B3DAE"/>
    <w:rsid w:val="002B4756"/>
    <w:rsid w:val="002B4873"/>
    <w:rsid w:val="002B51DF"/>
    <w:rsid w:val="002B526B"/>
    <w:rsid w:val="002B60E1"/>
    <w:rsid w:val="002B75B4"/>
    <w:rsid w:val="002C046C"/>
    <w:rsid w:val="002C0982"/>
    <w:rsid w:val="002C2558"/>
    <w:rsid w:val="002C31A7"/>
    <w:rsid w:val="002C497E"/>
    <w:rsid w:val="002C4A51"/>
    <w:rsid w:val="002C531E"/>
    <w:rsid w:val="002C5AFB"/>
    <w:rsid w:val="002C619B"/>
    <w:rsid w:val="002C6992"/>
    <w:rsid w:val="002C6DE4"/>
    <w:rsid w:val="002C727D"/>
    <w:rsid w:val="002C7CB8"/>
    <w:rsid w:val="002D0399"/>
    <w:rsid w:val="002D0787"/>
    <w:rsid w:val="002D0FC7"/>
    <w:rsid w:val="002D12A3"/>
    <w:rsid w:val="002D158B"/>
    <w:rsid w:val="002D17DD"/>
    <w:rsid w:val="002D1A04"/>
    <w:rsid w:val="002D1AA1"/>
    <w:rsid w:val="002D1ABE"/>
    <w:rsid w:val="002D1D77"/>
    <w:rsid w:val="002D3DA7"/>
    <w:rsid w:val="002D3DC4"/>
    <w:rsid w:val="002D406B"/>
    <w:rsid w:val="002D47F1"/>
    <w:rsid w:val="002D4F9E"/>
    <w:rsid w:val="002D59F3"/>
    <w:rsid w:val="002D761E"/>
    <w:rsid w:val="002D7BAD"/>
    <w:rsid w:val="002E03A9"/>
    <w:rsid w:val="002E0474"/>
    <w:rsid w:val="002E0DB6"/>
    <w:rsid w:val="002E1729"/>
    <w:rsid w:val="002E184E"/>
    <w:rsid w:val="002E1F23"/>
    <w:rsid w:val="002E29B1"/>
    <w:rsid w:val="002E2F82"/>
    <w:rsid w:val="002E3EEA"/>
    <w:rsid w:val="002E4C59"/>
    <w:rsid w:val="002E5441"/>
    <w:rsid w:val="002E5A75"/>
    <w:rsid w:val="002E5ABA"/>
    <w:rsid w:val="002E6411"/>
    <w:rsid w:val="002E6E23"/>
    <w:rsid w:val="002F0F8E"/>
    <w:rsid w:val="002F1232"/>
    <w:rsid w:val="002F15C5"/>
    <w:rsid w:val="002F16C6"/>
    <w:rsid w:val="002F2AC5"/>
    <w:rsid w:val="002F2B8E"/>
    <w:rsid w:val="002F2C7A"/>
    <w:rsid w:val="002F3432"/>
    <w:rsid w:val="002F3EC4"/>
    <w:rsid w:val="002F3EF4"/>
    <w:rsid w:val="002F48DB"/>
    <w:rsid w:val="002F4D52"/>
    <w:rsid w:val="002F4E87"/>
    <w:rsid w:val="002F561C"/>
    <w:rsid w:val="002F5808"/>
    <w:rsid w:val="002F5886"/>
    <w:rsid w:val="002F6C91"/>
    <w:rsid w:val="002F7D88"/>
    <w:rsid w:val="00301347"/>
    <w:rsid w:val="003014A4"/>
    <w:rsid w:val="003020AC"/>
    <w:rsid w:val="003022D6"/>
    <w:rsid w:val="00302905"/>
    <w:rsid w:val="003039C1"/>
    <w:rsid w:val="00303DFD"/>
    <w:rsid w:val="0030471B"/>
    <w:rsid w:val="00305061"/>
    <w:rsid w:val="00305520"/>
    <w:rsid w:val="00305A5A"/>
    <w:rsid w:val="00305D85"/>
    <w:rsid w:val="00305F30"/>
    <w:rsid w:val="00310336"/>
    <w:rsid w:val="00311F92"/>
    <w:rsid w:val="00311FE7"/>
    <w:rsid w:val="003124BF"/>
    <w:rsid w:val="00312D6F"/>
    <w:rsid w:val="00313571"/>
    <w:rsid w:val="00313E49"/>
    <w:rsid w:val="00314C0F"/>
    <w:rsid w:val="00315F9F"/>
    <w:rsid w:val="0031645C"/>
    <w:rsid w:val="003166BD"/>
    <w:rsid w:val="00316F0A"/>
    <w:rsid w:val="003172F7"/>
    <w:rsid w:val="00317655"/>
    <w:rsid w:val="003179AA"/>
    <w:rsid w:val="003179DB"/>
    <w:rsid w:val="00317D8E"/>
    <w:rsid w:val="0032175A"/>
    <w:rsid w:val="00322162"/>
    <w:rsid w:val="0032273C"/>
    <w:rsid w:val="00322756"/>
    <w:rsid w:val="00324457"/>
    <w:rsid w:val="00325788"/>
    <w:rsid w:val="003258CB"/>
    <w:rsid w:val="0032591F"/>
    <w:rsid w:val="00326448"/>
    <w:rsid w:val="00326FBE"/>
    <w:rsid w:val="00327A36"/>
    <w:rsid w:val="00327AEB"/>
    <w:rsid w:val="0033016B"/>
    <w:rsid w:val="00330802"/>
    <w:rsid w:val="003337A7"/>
    <w:rsid w:val="00334587"/>
    <w:rsid w:val="00334644"/>
    <w:rsid w:val="00334C12"/>
    <w:rsid w:val="00334C7B"/>
    <w:rsid w:val="00334F6E"/>
    <w:rsid w:val="00335224"/>
    <w:rsid w:val="00335902"/>
    <w:rsid w:val="00336683"/>
    <w:rsid w:val="00336896"/>
    <w:rsid w:val="00337245"/>
    <w:rsid w:val="00337423"/>
    <w:rsid w:val="0034003A"/>
    <w:rsid w:val="00340097"/>
    <w:rsid w:val="00341BF4"/>
    <w:rsid w:val="003420DB"/>
    <w:rsid w:val="00342176"/>
    <w:rsid w:val="00344323"/>
    <w:rsid w:val="00344F2C"/>
    <w:rsid w:val="00345757"/>
    <w:rsid w:val="00345ACB"/>
    <w:rsid w:val="00345B3D"/>
    <w:rsid w:val="00346071"/>
    <w:rsid w:val="003462D3"/>
    <w:rsid w:val="003462EA"/>
    <w:rsid w:val="00346552"/>
    <w:rsid w:val="003474F7"/>
    <w:rsid w:val="00351217"/>
    <w:rsid w:val="00351363"/>
    <w:rsid w:val="00351BA5"/>
    <w:rsid w:val="003525B5"/>
    <w:rsid w:val="00354D66"/>
    <w:rsid w:val="0035501B"/>
    <w:rsid w:val="003559AA"/>
    <w:rsid w:val="00355D25"/>
    <w:rsid w:val="0035614E"/>
    <w:rsid w:val="0035623C"/>
    <w:rsid w:val="00356F0B"/>
    <w:rsid w:val="00357292"/>
    <w:rsid w:val="0036037B"/>
    <w:rsid w:val="00360847"/>
    <w:rsid w:val="00360E05"/>
    <w:rsid w:val="00361D95"/>
    <w:rsid w:val="00362220"/>
    <w:rsid w:val="0036398C"/>
    <w:rsid w:val="00363F0E"/>
    <w:rsid w:val="003641A0"/>
    <w:rsid w:val="00364301"/>
    <w:rsid w:val="00364DAD"/>
    <w:rsid w:val="00365E52"/>
    <w:rsid w:val="0036697D"/>
    <w:rsid w:val="00366BEF"/>
    <w:rsid w:val="00367331"/>
    <w:rsid w:val="0036784F"/>
    <w:rsid w:val="0037091C"/>
    <w:rsid w:val="00370AF3"/>
    <w:rsid w:val="00370E53"/>
    <w:rsid w:val="003711A0"/>
    <w:rsid w:val="00371287"/>
    <w:rsid w:val="00371DA9"/>
    <w:rsid w:val="00372C6D"/>
    <w:rsid w:val="00373574"/>
    <w:rsid w:val="00373AF8"/>
    <w:rsid w:val="00373B64"/>
    <w:rsid w:val="0037401D"/>
    <w:rsid w:val="003750A8"/>
    <w:rsid w:val="00375368"/>
    <w:rsid w:val="00375A5B"/>
    <w:rsid w:val="00377AF7"/>
    <w:rsid w:val="00380440"/>
    <w:rsid w:val="00380E1C"/>
    <w:rsid w:val="00380F1E"/>
    <w:rsid w:val="0038169C"/>
    <w:rsid w:val="00381DC2"/>
    <w:rsid w:val="003821D5"/>
    <w:rsid w:val="003824CB"/>
    <w:rsid w:val="0038285E"/>
    <w:rsid w:val="00382F53"/>
    <w:rsid w:val="00383097"/>
    <w:rsid w:val="0038352B"/>
    <w:rsid w:val="00387EE7"/>
    <w:rsid w:val="00387FAF"/>
    <w:rsid w:val="0039044B"/>
    <w:rsid w:val="0039083F"/>
    <w:rsid w:val="0039091A"/>
    <w:rsid w:val="003911FD"/>
    <w:rsid w:val="00392D00"/>
    <w:rsid w:val="00392EC3"/>
    <w:rsid w:val="00393DBE"/>
    <w:rsid w:val="00394027"/>
    <w:rsid w:val="00395B2C"/>
    <w:rsid w:val="00396E47"/>
    <w:rsid w:val="0039724E"/>
    <w:rsid w:val="003977E2"/>
    <w:rsid w:val="003979AC"/>
    <w:rsid w:val="00397EF5"/>
    <w:rsid w:val="003A033B"/>
    <w:rsid w:val="003A035A"/>
    <w:rsid w:val="003A105F"/>
    <w:rsid w:val="003A11E3"/>
    <w:rsid w:val="003A3720"/>
    <w:rsid w:val="003A43F8"/>
    <w:rsid w:val="003A48EB"/>
    <w:rsid w:val="003A5694"/>
    <w:rsid w:val="003A593E"/>
    <w:rsid w:val="003A5EBA"/>
    <w:rsid w:val="003A6B49"/>
    <w:rsid w:val="003A70C3"/>
    <w:rsid w:val="003A7154"/>
    <w:rsid w:val="003A7434"/>
    <w:rsid w:val="003B03C1"/>
    <w:rsid w:val="003B0FA9"/>
    <w:rsid w:val="003B1916"/>
    <w:rsid w:val="003B19D9"/>
    <w:rsid w:val="003B38B9"/>
    <w:rsid w:val="003B3C24"/>
    <w:rsid w:val="003B476C"/>
    <w:rsid w:val="003B4927"/>
    <w:rsid w:val="003B50FE"/>
    <w:rsid w:val="003B571C"/>
    <w:rsid w:val="003B65BA"/>
    <w:rsid w:val="003B671A"/>
    <w:rsid w:val="003B67AF"/>
    <w:rsid w:val="003B6BB1"/>
    <w:rsid w:val="003B73C6"/>
    <w:rsid w:val="003C0B81"/>
    <w:rsid w:val="003C1241"/>
    <w:rsid w:val="003C2290"/>
    <w:rsid w:val="003C313F"/>
    <w:rsid w:val="003C36D2"/>
    <w:rsid w:val="003C4BC0"/>
    <w:rsid w:val="003C6CA1"/>
    <w:rsid w:val="003C6F68"/>
    <w:rsid w:val="003D0344"/>
    <w:rsid w:val="003D0604"/>
    <w:rsid w:val="003D0A73"/>
    <w:rsid w:val="003D2EC1"/>
    <w:rsid w:val="003D3553"/>
    <w:rsid w:val="003D3A2C"/>
    <w:rsid w:val="003D3E34"/>
    <w:rsid w:val="003D40E2"/>
    <w:rsid w:val="003D5174"/>
    <w:rsid w:val="003D5932"/>
    <w:rsid w:val="003D6C7C"/>
    <w:rsid w:val="003D6FDF"/>
    <w:rsid w:val="003D7CF0"/>
    <w:rsid w:val="003E1198"/>
    <w:rsid w:val="003E12E8"/>
    <w:rsid w:val="003E1C83"/>
    <w:rsid w:val="003E1F1D"/>
    <w:rsid w:val="003E21EC"/>
    <w:rsid w:val="003E2532"/>
    <w:rsid w:val="003E27E9"/>
    <w:rsid w:val="003E3B12"/>
    <w:rsid w:val="003E3CBC"/>
    <w:rsid w:val="003E5E4B"/>
    <w:rsid w:val="003E6617"/>
    <w:rsid w:val="003E70A5"/>
    <w:rsid w:val="003E7890"/>
    <w:rsid w:val="003E7BDB"/>
    <w:rsid w:val="003F0249"/>
    <w:rsid w:val="003F0599"/>
    <w:rsid w:val="003F059C"/>
    <w:rsid w:val="003F0604"/>
    <w:rsid w:val="003F0829"/>
    <w:rsid w:val="003F1617"/>
    <w:rsid w:val="003F1A85"/>
    <w:rsid w:val="003F34B0"/>
    <w:rsid w:val="003F357E"/>
    <w:rsid w:val="003F4C6E"/>
    <w:rsid w:val="003F4DFD"/>
    <w:rsid w:val="003F619F"/>
    <w:rsid w:val="003F6956"/>
    <w:rsid w:val="003F6ED7"/>
    <w:rsid w:val="003F7337"/>
    <w:rsid w:val="00401279"/>
    <w:rsid w:val="00402767"/>
    <w:rsid w:val="00402AB9"/>
    <w:rsid w:val="00402CA4"/>
    <w:rsid w:val="00402CC4"/>
    <w:rsid w:val="00402FCE"/>
    <w:rsid w:val="00403481"/>
    <w:rsid w:val="0040381A"/>
    <w:rsid w:val="00403DF1"/>
    <w:rsid w:val="004049ED"/>
    <w:rsid w:val="004067DA"/>
    <w:rsid w:val="00406EAA"/>
    <w:rsid w:val="004071CA"/>
    <w:rsid w:val="00407415"/>
    <w:rsid w:val="00407DE5"/>
    <w:rsid w:val="00407EC0"/>
    <w:rsid w:val="0041064A"/>
    <w:rsid w:val="0041089A"/>
    <w:rsid w:val="0041095A"/>
    <w:rsid w:val="004112AB"/>
    <w:rsid w:val="004114BA"/>
    <w:rsid w:val="00411594"/>
    <w:rsid w:val="00412EB7"/>
    <w:rsid w:val="00412ED7"/>
    <w:rsid w:val="004136AE"/>
    <w:rsid w:val="004148BC"/>
    <w:rsid w:val="00414D1F"/>
    <w:rsid w:val="004177D3"/>
    <w:rsid w:val="00417E2C"/>
    <w:rsid w:val="00420607"/>
    <w:rsid w:val="00420DBD"/>
    <w:rsid w:val="0042145D"/>
    <w:rsid w:val="004218E5"/>
    <w:rsid w:val="00421E87"/>
    <w:rsid w:val="00422C47"/>
    <w:rsid w:val="00423649"/>
    <w:rsid w:val="00423E7C"/>
    <w:rsid w:val="00424C62"/>
    <w:rsid w:val="00425A44"/>
    <w:rsid w:val="004266F5"/>
    <w:rsid w:val="00426F68"/>
    <w:rsid w:val="004279E7"/>
    <w:rsid w:val="00430C14"/>
    <w:rsid w:val="004312F0"/>
    <w:rsid w:val="0043134A"/>
    <w:rsid w:val="00431C22"/>
    <w:rsid w:val="00432894"/>
    <w:rsid w:val="004328A1"/>
    <w:rsid w:val="00432F6F"/>
    <w:rsid w:val="004331D2"/>
    <w:rsid w:val="004345DA"/>
    <w:rsid w:val="0043473E"/>
    <w:rsid w:val="00434C90"/>
    <w:rsid w:val="004355B0"/>
    <w:rsid w:val="0043611E"/>
    <w:rsid w:val="004362C5"/>
    <w:rsid w:val="00436426"/>
    <w:rsid w:val="00436DDF"/>
    <w:rsid w:val="004376BE"/>
    <w:rsid w:val="0044079E"/>
    <w:rsid w:val="00440ABC"/>
    <w:rsid w:val="0044198F"/>
    <w:rsid w:val="00442CEE"/>
    <w:rsid w:val="0044308D"/>
    <w:rsid w:val="0044507C"/>
    <w:rsid w:val="0044682C"/>
    <w:rsid w:val="00446F49"/>
    <w:rsid w:val="00447326"/>
    <w:rsid w:val="004503F5"/>
    <w:rsid w:val="00451A59"/>
    <w:rsid w:val="00451C1F"/>
    <w:rsid w:val="00451EBA"/>
    <w:rsid w:val="004529C8"/>
    <w:rsid w:val="004534B5"/>
    <w:rsid w:val="0045406C"/>
    <w:rsid w:val="00454384"/>
    <w:rsid w:val="004550A6"/>
    <w:rsid w:val="004552D8"/>
    <w:rsid w:val="00455AE0"/>
    <w:rsid w:val="00456ACB"/>
    <w:rsid w:val="0046027E"/>
    <w:rsid w:val="00461184"/>
    <w:rsid w:val="0046188A"/>
    <w:rsid w:val="00461B58"/>
    <w:rsid w:val="00461CFF"/>
    <w:rsid w:val="00463064"/>
    <w:rsid w:val="0046357D"/>
    <w:rsid w:val="00463CE1"/>
    <w:rsid w:val="004647CD"/>
    <w:rsid w:val="00465BB2"/>
    <w:rsid w:val="00465C7E"/>
    <w:rsid w:val="00466B28"/>
    <w:rsid w:val="00466DC9"/>
    <w:rsid w:val="004701D2"/>
    <w:rsid w:val="004704F0"/>
    <w:rsid w:val="00470A5C"/>
    <w:rsid w:val="00471E4B"/>
    <w:rsid w:val="0047251D"/>
    <w:rsid w:val="0047378C"/>
    <w:rsid w:val="0047437D"/>
    <w:rsid w:val="00475887"/>
    <w:rsid w:val="00477B7D"/>
    <w:rsid w:val="00480662"/>
    <w:rsid w:val="00480ECE"/>
    <w:rsid w:val="00481662"/>
    <w:rsid w:val="004817AB"/>
    <w:rsid w:val="00481FC3"/>
    <w:rsid w:val="00483541"/>
    <w:rsid w:val="00483AEE"/>
    <w:rsid w:val="00484C0A"/>
    <w:rsid w:val="00484D7F"/>
    <w:rsid w:val="004858FE"/>
    <w:rsid w:val="00487718"/>
    <w:rsid w:val="00490745"/>
    <w:rsid w:val="00490BFE"/>
    <w:rsid w:val="0049165D"/>
    <w:rsid w:val="00491AB8"/>
    <w:rsid w:val="00492827"/>
    <w:rsid w:val="004932DB"/>
    <w:rsid w:val="00493426"/>
    <w:rsid w:val="0049470C"/>
    <w:rsid w:val="004949B8"/>
    <w:rsid w:val="00495584"/>
    <w:rsid w:val="0049669E"/>
    <w:rsid w:val="00496F10"/>
    <w:rsid w:val="00496F8D"/>
    <w:rsid w:val="0049766B"/>
    <w:rsid w:val="004A1145"/>
    <w:rsid w:val="004A1AC8"/>
    <w:rsid w:val="004A1C68"/>
    <w:rsid w:val="004A1CD1"/>
    <w:rsid w:val="004A2F67"/>
    <w:rsid w:val="004A3C17"/>
    <w:rsid w:val="004A40E9"/>
    <w:rsid w:val="004A4422"/>
    <w:rsid w:val="004A4F52"/>
    <w:rsid w:val="004A5D08"/>
    <w:rsid w:val="004A6047"/>
    <w:rsid w:val="004B0148"/>
    <w:rsid w:val="004B2573"/>
    <w:rsid w:val="004B25E9"/>
    <w:rsid w:val="004B3348"/>
    <w:rsid w:val="004B3922"/>
    <w:rsid w:val="004B3988"/>
    <w:rsid w:val="004B3CF6"/>
    <w:rsid w:val="004B40E4"/>
    <w:rsid w:val="004B5154"/>
    <w:rsid w:val="004B5B1D"/>
    <w:rsid w:val="004B5F5B"/>
    <w:rsid w:val="004B67B8"/>
    <w:rsid w:val="004C0D3B"/>
    <w:rsid w:val="004C5606"/>
    <w:rsid w:val="004C6154"/>
    <w:rsid w:val="004C699A"/>
    <w:rsid w:val="004C7B24"/>
    <w:rsid w:val="004D0AFD"/>
    <w:rsid w:val="004D16C1"/>
    <w:rsid w:val="004D2FD6"/>
    <w:rsid w:val="004D3210"/>
    <w:rsid w:val="004D422C"/>
    <w:rsid w:val="004D448C"/>
    <w:rsid w:val="004D4771"/>
    <w:rsid w:val="004D4FAD"/>
    <w:rsid w:val="004D575E"/>
    <w:rsid w:val="004D60A5"/>
    <w:rsid w:val="004D60D9"/>
    <w:rsid w:val="004D65B5"/>
    <w:rsid w:val="004D65B9"/>
    <w:rsid w:val="004D6E9F"/>
    <w:rsid w:val="004D76A8"/>
    <w:rsid w:val="004D7ED1"/>
    <w:rsid w:val="004E0139"/>
    <w:rsid w:val="004E0879"/>
    <w:rsid w:val="004E1975"/>
    <w:rsid w:val="004E2CA0"/>
    <w:rsid w:val="004E3018"/>
    <w:rsid w:val="004E303A"/>
    <w:rsid w:val="004E30C5"/>
    <w:rsid w:val="004E31A6"/>
    <w:rsid w:val="004E4689"/>
    <w:rsid w:val="004E49A6"/>
    <w:rsid w:val="004E5382"/>
    <w:rsid w:val="004E5E9B"/>
    <w:rsid w:val="004E718E"/>
    <w:rsid w:val="004E7205"/>
    <w:rsid w:val="004E73B9"/>
    <w:rsid w:val="004E7462"/>
    <w:rsid w:val="004E7D50"/>
    <w:rsid w:val="004F25CD"/>
    <w:rsid w:val="004F271B"/>
    <w:rsid w:val="004F2BCE"/>
    <w:rsid w:val="004F3A4B"/>
    <w:rsid w:val="004F3F19"/>
    <w:rsid w:val="004F43B3"/>
    <w:rsid w:val="004F4B4E"/>
    <w:rsid w:val="004F4F8E"/>
    <w:rsid w:val="004F56C1"/>
    <w:rsid w:val="004F6455"/>
    <w:rsid w:val="00500183"/>
    <w:rsid w:val="0050213A"/>
    <w:rsid w:val="00504C64"/>
    <w:rsid w:val="00504EB7"/>
    <w:rsid w:val="0050506B"/>
    <w:rsid w:val="00505118"/>
    <w:rsid w:val="00505BCB"/>
    <w:rsid w:val="005063D3"/>
    <w:rsid w:val="00507650"/>
    <w:rsid w:val="00507DF7"/>
    <w:rsid w:val="005102AA"/>
    <w:rsid w:val="0051087F"/>
    <w:rsid w:val="00510D38"/>
    <w:rsid w:val="00511689"/>
    <w:rsid w:val="00511F59"/>
    <w:rsid w:val="00512CF0"/>
    <w:rsid w:val="00513165"/>
    <w:rsid w:val="00513C3B"/>
    <w:rsid w:val="00513FDE"/>
    <w:rsid w:val="0051429E"/>
    <w:rsid w:val="00514339"/>
    <w:rsid w:val="00515E16"/>
    <w:rsid w:val="00515E52"/>
    <w:rsid w:val="00516251"/>
    <w:rsid w:val="00516AFF"/>
    <w:rsid w:val="00517CA4"/>
    <w:rsid w:val="00517EDE"/>
    <w:rsid w:val="00520244"/>
    <w:rsid w:val="00520357"/>
    <w:rsid w:val="00520395"/>
    <w:rsid w:val="00520BD1"/>
    <w:rsid w:val="00522DF4"/>
    <w:rsid w:val="0052444A"/>
    <w:rsid w:val="005245AB"/>
    <w:rsid w:val="00524825"/>
    <w:rsid w:val="005250E9"/>
    <w:rsid w:val="005275A9"/>
    <w:rsid w:val="00527954"/>
    <w:rsid w:val="00527FF6"/>
    <w:rsid w:val="00530322"/>
    <w:rsid w:val="00531CF6"/>
    <w:rsid w:val="00532765"/>
    <w:rsid w:val="005329EE"/>
    <w:rsid w:val="0053359B"/>
    <w:rsid w:val="00534288"/>
    <w:rsid w:val="00534963"/>
    <w:rsid w:val="005350B6"/>
    <w:rsid w:val="005357FC"/>
    <w:rsid w:val="00536619"/>
    <w:rsid w:val="005366B2"/>
    <w:rsid w:val="00537A58"/>
    <w:rsid w:val="0054045B"/>
    <w:rsid w:val="005404E5"/>
    <w:rsid w:val="005407FF"/>
    <w:rsid w:val="00540C30"/>
    <w:rsid w:val="00540F71"/>
    <w:rsid w:val="0054301D"/>
    <w:rsid w:val="00543328"/>
    <w:rsid w:val="00543408"/>
    <w:rsid w:val="00543ADF"/>
    <w:rsid w:val="005443EF"/>
    <w:rsid w:val="00544F94"/>
    <w:rsid w:val="005467CA"/>
    <w:rsid w:val="00546FA8"/>
    <w:rsid w:val="0054731A"/>
    <w:rsid w:val="00550188"/>
    <w:rsid w:val="005506B3"/>
    <w:rsid w:val="00550A27"/>
    <w:rsid w:val="00550B84"/>
    <w:rsid w:val="00550C60"/>
    <w:rsid w:val="00551523"/>
    <w:rsid w:val="00551996"/>
    <w:rsid w:val="00551A8C"/>
    <w:rsid w:val="005529A4"/>
    <w:rsid w:val="005529AD"/>
    <w:rsid w:val="00553682"/>
    <w:rsid w:val="00554848"/>
    <w:rsid w:val="00555C3A"/>
    <w:rsid w:val="0055613F"/>
    <w:rsid w:val="00557B6A"/>
    <w:rsid w:val="00557CF0"/>
    <w:rsid w:val="005604CF"/>
    <w:rsid w:val="0056057E"/>
    <w:rsid w:val="00560AF0"/>
    <w:rsid w:val="005611E8"/>
    <w:rsid w:val="0056127E"/>
    <w:rsid w:val="0056160D"/>
    <w:rsid w:val="00561D52"/>
    <w:rsid w:val="00561E8C"/>
    <w:rsid w:val="00562139"/>
    <w:rsid w:val="005628B0"/>
    <w:rsid w:val="00563080"/>
    <w:rsid w:val="005636FB"/>
    <w:rsid w:val="00564088"/>
    <w:rsid w:val="005646E0"/>
    <w:rsid w:val="00564F69"/>
    <w:rsid w:val="005655B6"/>
    <w:rsid w:val="00565A98"/>
    <w:rsid w:val="00567341"/>
    <w:rsid w:val="00567EAC"/>
    <w:rsid w:val="005701CA"/>
    <w:rsid w:val="00571836"/>
    <w:rsid w:val="00572677"/>
    <w:rsid w:val="0057286B"/>
    <w:rsid w:val="00572957"/>
    <w:rsid w:val="00572C7E"/>
    <w:rsid w:val="005742CF"/>
    <w:rsid w:val="00574940"/>
    <w:rsid w:val="00574ED0"/>
    <w:rsid w:val="005754A3"/>
    <w:rsid w:val="0057586E"/>
    <w:rsid w:val="0057658E"/>
    <w:rsid w:val="00576EA0"/>
    <w:rsid w:val="005804CE"/>
    <w:rsid w:val="00580691"/>
    <w:rsid w:val="00580BD1"/>
    <w:rsid w:val="00580D53"/>
    <w:rsid w:val="00581A07"/>
    <w:rsid w:val="0058393B"/>
    <w:rsid w:val="00583D4E"/>
    <w:rsid w:val="00585A21"/>
    <w:rsid w:val="00585F1F"/>
    <w:rsid w:val="00585FC2"/>
    <w:rsid w:val="00586158"/>
    <w:rsid w:val="005873E4"/>
    <w:rsid w:val="00587932"/>
    <w:rsid w:val="00587ADE"/>
    <w:rsid w:val="00587C37"/>
    <w:rsid w:val="00587FE1"/>
    <w:rsid w:val="00590397"/>
    <w:rsid w:val="00590A8E"/>
    <w:rsid w:val="00591939"/>
    <w:rsid w:val="00591F95"/>
    <w:rsid w:val="0059276E"/>
    <w:rsid w:val="00594957"/>
    <w:rsid w:val="0059517B"/>
    <w:rsid w:val="00595934"/>
    <w:rsid w:val="0059647B"/>
    <w:rsid w:val="005975C0"/>
    <w:rsid w:val="005A0103"/>
    <w:rsid w:val="005A0171"/>
    <w:rsid w:val="005A05BF"/>
    <w:rsid w:val="005A07A9"/>
    <w:rsid w:val="005A2644"/>
    <w:rsid w:val="005A2B07"/>
    <w:rsid w:val="005A322D"/>
    <w:rsid w:val="005A4449"/>
    <w:rsid w:val="005A457F"/>
    <w:rsid w:val="005A4A66"/>
    <w:rsid w:val="005A4A7A"/>
    <w:rsid w:val="005A511A"/>
    <w:rsid w:val="005A5546"/>
    <w:rsid w:val="005A56D8"/>
    <w:rsid w:val="005A690C"/>
    <w:rsid w:val="005A7B29"/>
    <w:rsid w:val="005A7CE6"/>
    <w:rsid w:val="005B02D6"/>
    <w:rsid w:val="005B0A8E"/>
    <w:rsid w:val="005B0D48"/>
    <w:rsid w:val="005B1293"/>
    <w:rsid w:val="005B12A2"/>
    <w:rsid w:val="005B3CE0"/>
    <w:rsid w:val="005B423E"/>
    <w:rsid w:val="005B4906"/>
    <w:rsid w:val="005B557D"/>
    <w:rsid w:val="005B5891"/>
    <w:rsid w:val="005B5A75"/>
    <w:rsid w:val="005B6680"/>
    <w:rsid w:val="005B7CB8"/>
    <w:rsid w:val="005C0F04"/>
    <w:rsid w:val="005C1FAD"/>
    <w:rsid w:val="005C24A6"/>
    <w:rsid w:val="005C39C6"/>
    <w:rsid w:val="005C3B0B"/>
    <w:rsid w:val="005C3C00"/>
    <w:rsid w:val="005C46A8"/>
    <w:rsid w:val="005C478B"/>
    <w:rsid w:val="005C48D1"/>
    <w:rsid w:val="005C4C91"/>
    <w:rsid w:val="005C4E24"/>
    <w:rsid w:val="005C4F1D"/>
    <w:rsid w:val="005C51C5"/>
    <w:rsid w:val="005C583B"/>
    <w:rsid w:val="005C5C29"/>
    <w:rsid w:val="005C64E7"/>
    <w:rsid w:val="005C6DC5"/>
    <w:rsid w:val="005C6E4D"/>
    <w:rsid w:val="005C7350"/>
    <w:rsid w:val="005C7370"/>
    <w:rsid w:val="005C7AA1"/>
    <w:rsid w:val="005D03CF"/>
    <w:rsid w:val="005D0FCC"/>
    <w:rsid w:val="005D1FB5"/>
    <w:rsid w:val="005D2932"/>
    <w:rsid w:val="005D30A6"/>
    <w:rsid w:val="005D3222"/>
    <w:rsid w:val="005D5009"/>
    <w:rsid w:val="005D50D2"/>
    <w:rsid w:val="005D5948"/>
    <w:rsid w:val="005D5BE0"/>
    <w:rsid w:val="005D5F81"/>
    <w:rsid w:val="005D6BFA"/>
    <w:rsid w:val="005D73C7"/>
    <w:rsid w:val="005D77E9"/>
    <w:rsid w:val="005D7FDD"/>
    <w:rsid w:val="005E046D"/>
    <w:rsid w:val="005E19D2"/>
    <w:rsid w:val="005E2A4E"/>
    <w:rsid w:val="005E3CF8"/>
    <w:rsid w:val="005E48F1"/>
    <w:rsid w:val="005E4B64"/>
    <w:rsid w:val="005E4E1B"/>
    <w:rsid w:val="005E537C"/>
    <w:rsid w:val="005E5E70"/>
    <w:rsid w:val="005E6B5D"/>
    <w:rsid w:val="005E6EA4"/>
    <w:rsid w:val="005E7DEC"/>
    <w:rsid w:val="005E7F8F"/>
    <w:rsid w:val="005F022B"/>
    <w:rsid w:val="005F0FE2"/>
    <w:rsid w:val="005F1996"/>
    <w:rsid w:val="005F1A33"/>
    <w:rsid w:val="005F257C"/>
    <w:rsid w:val="005F30D3"/>
    <w:rsid w:val="005F3529"/>
    <w:rsid w:val="005F357A"/>
    <w:rsid w:val="005F65BF"/>
    <w:rsid w:val="005F6762"/>
    <w:rsid w:val="005F6FF2"/>
    <w:rsid w:val="005F7932"/>
    <w:rsid w:val="00600053"/>
    <w:rsid w:val="00600223"/>
    <w:rsid w:val="00600C6A"/>
    <w:rsid w:val="006010EF"/>
    <w:rsid w:val="006018A5"/>
    <w:rsid w:val="00602143"/>
    <w:rsid w:val="0060260C"/>
    <w:rsid w:val="00602646"/>
    <w:rsid w:val="0060265F"/>
    <w:rsid w:val="00602E18"/>
    <w:rsid w:val="0060300A"/>
    <w:rsid w:val="00604095"/>
    <w:rsid w:val="00604D31"/>
    <w:rsid w:val="00605C3E"/>
    <w:rsid w:val="00607321"/>
    <w:rsid w:val="00607D2D"/>
    <w:rsid w:val="00610D9F"/>
    <w:rsid w:val="00611BC9"/>
    <w:rsid w:val="00611C5A"/>
    <w:rsid w:val="00611CD0"/>
    <w:rsid w:val="00611D38"/>
    <w:rsid w:val="0061211D"/>
    <w:rsid w:val="006122BD"/>
    <w:rsid w:val="0061379B"/>
    <w:rsid w:val="0061468D"/>
    <w:rsid w:val="0061497B"/>
    <w:rsid w:val="006153E2"/>
    <w:rsid w:val="00615B5D"/>
    <w:rsid w:val="00616D58"/>
    <w:rsid w:val="00617287"/>
    <w:rsid w:val="00617C00"/>
    <w:rsid w:val="00620333"/>
    <w:rsid w:val="00620E14"/>
    <w:rsid w:val="0062129D"/>
    <w:rsid w:val="00621F45"/>
    <w:rsid w:val="0062242C"/>
    <w:rsid w:val="0062270C"/>
    <w:rsid w:val="006232EF"/>
    <w:rsid w:val="006235DB"/>
    <w:rsid w:val="006243EC"/>
    <w:rsid w:val="0062482B"/>
    <w:rsid w:val="0062496F"/>
    <w:rsid w:val="00625C03"/>
    <w:rsid w:val="00625E22"/>
    <w:rsid w:val="006260A7"/>
    <w:rsid w:val="00626B9C"/>
    <w:rsid w:val="00627116"/>
    <w:rsid w:val="006274E3"/>
    <w:rsid w:val="00630C33"/>
    <w:rsid w:val="00632933"/>
    <w:rsid w:val="00632DDB"/>
    <w:rsid w:val="006378D6"/>
    <w:rsid w:val="006402C1"/>
    <w:rsid w:val="00641FF2"/>
    <w:rsid w:val="00642186"/>
    <w:rsid w:val="0064254D"/>
    <w:rsid w:val="00642ED5"/>
    <w:rsid w:val="00643680"/>
    <w:rsid w:val="00644087"/>
    <w:rsid w:val="00645E6B"/>
    <w:rsid w:val="00646787"/>
    <w:rsid w:val="0064699D"/>
    <w:rsid w:val="00646E38"/>
    <w:rsid w:val="006471B6"/>
    <w:rsid w:val="006475EE"/>
    <w:rsid w:val="006479F1"/>
    <w:rsid w:val="00647F9E"/>
    <w:rsid w:val="00650D81"/>
    <w:rsid w:val="0065133D"/>
    <w:rsid w:val="00651CB4"/>
    <w:rsid w:val="006522F6"/>
    <w:rsid w:val="006524F0"/>
    <w:rsid w:val="00654562"/>
    <w:rsid w:val="0065476B"/>
    <w:rsid w:val="00654AFC"/>
    <w:rsid w:val="00654C29"/>
    <w:rsid w:val="0065691E"/>
    <w:rsid w:val="00657B7A"/>
    <w:rsid w:val="00660055"/>
    <w:rsid w:val="00660866"/>
    <w:rsid w:val="00661CFF"/>
    <w:rsid w:val="006623C1"/>
    <w:rsid w:val="006624A0"/>
    <w:rsid w:val="00662733"/>
    <w:rsid w:val="00663455"/>
    <w:rsid w:val="006634DB"/>
    <w:rsid w:val="006638C3"/>
    <w:rsid w:val="00664D7F"/>
    <w:rsid w:val="006650F5"/>
    <w:rsid w:val="006652D3"/>
    <w:rsid w:val="00665647"/>
    <w:rsid w:val="0066645F"/>
    <w:rsid w:val="0066668D"/>
    <w:rsid w:val="00666740"/>
    <w:rsid w:val="00667DD1"/>
    <w:rsid w:val="006702CA"/>
    <w:rsid w:val="0067035D"/>
    <w:rsid w:val="00670779"/>
    <w:rsid w:val="00670805"/>
    <w:rsid w:val="00671322"/>
    <w:rsid w:val="00671B9F"/>
    <w:rsid w:val="006748DA"/>
    <w:rsid w:val="00674F0A"/>
    <w:rsid w:val="00675939"/>
    <w:rsid w:val="00675A4B"/>
    <w:rsid w:val="00675B18"/>
    <w:rsid w:val="006769B9"/>
    <w:rsid w:val="0067734F"/>
    <w:rsid w:val="00677E65"/>
    <w:rsid w:val="00680A7D"/>
    <w:rsid w:val="00681026"/>
    <w:rsid w:val="00681184"/>
    <w:rsid w:val="0068149B"/>
    <w:rsid w:val="00681704"/>
    <w:rsid w:val="0068200C"/>
    <w:rsid w:val="006839F3"/>
    <w:rsid w:val="0068479A"/>
    <w:rsid w:val="00684DC9"/>
    <w:rsid w:val="00684F57"/>
    <w:rsid w:val="0068627F"/>
    <w:rsid w:val="006862A3"/>
    <w:rsid w:val="006875A3"/>
    <w:rsid w:val="00687B58"/>
    <w:rsid w:val="00690AAA"/>
    <w:rsid w:val="00691493"/>
    <w:rsid w:val="00691606"/>
    <w:rsid w:val="006916F1"/>
    <w:rsid w:val="006917A2"/>
    <w:rsid w:val="006920EB"/>
    <w:rsid w:val="00693374"/>
    <w:rsid w:val="006946FD"/>
    <w:rsid w:val="00694C7E"/>
    <w:rsid w:val="00694FD5"/>
    <w:rsid w:val="00695540"/>
    <w:rsid w:val="006960DF"/>
    <w:rsid w:val="006962D7"/>
    <w:rsid w:val="006965CE"/>
    <w:rsid w:val="00696B71"/>
    <w:rsid w:val="00697931"/>
    <w:rsid w:val="006A00DE"/>
    <w:rsid w:val="006A0C17"/>
    <w:rsid w:val="006A1C29"/>
    <w:rsid w:val="006A1D6E"/>
    <w:rsid w:val="006A2077"/>
    <w:rsid w:val="006A2A8D"/>
    <w:rsid w:val="006A37D9"/>
    <w:rsid w:val="006A4190"/>
    <w:rsid w:val="006A4C30"/>
    <w:rsid w:val="006A5945"/>
    <w:rsid w:val="006A5E1C"/>
    <w:rsid w:val="006A64E4"/>
    <w:rsid w:val="006A6649"/>
    <w:rsid w:val="006A72D2"/>
    <w:rsid w:val="006B06B3"/>
    <w:rsid w:val="006B0AEF"/>
    <w:rsid w:val="006B2490"/>
    <w:rsid w:val="006B274B"/>
    <w:rsid w:val="006B335E"/>
    <w:rsid w:val="006B38E0"/>
    <w:rsid w:val="006B3EBB"/>
    <w:rsid w:val="006B3FF5"/>
    <w:rsid w:val="006B53D9"/>
    <w:rsid w:val="006B5BC8"/>
    <w:rsid w:val="006B6679"/>
    <w:rsid w:val="006B6982"/>
    <w:rsid w:val="006B6A39"/>
    <w:rsid w:val="006B7524"/>
    <w:rsid w:val="006B7929"/>
    <w:rsid w:val="006C1091"/>
    <w:rsid w:val="006C2378"/>
    <w:rsid w:val="006C2597"/>
    <w:rsid w:val="006C2681"/>
    <w:rsid w:val="006C27B7"/>
    <w:rsid w:val="006C2E8E"/>
    <w:rsid w:val="006C3407"/>
    <w:rsid w:val="006C3958"/>
    <w:rsid w:val="006C3B4D"/>
    <w:rsid w:val="006C3D8E"/>
    <w:rsid w:val="006C3FBA"/>
    <w:rsid w:val="006C4430"/>
    <w:rsid w:val="006C48F7"/>
    <w:rsid w:val="006C4BAE"/>
    <w:rsid w:val="006C54A3"/>
    <w:rsid w:val="006C5C3A"/>
    <w:rsid w:val="006C6311"/>
    <w:rsid w:val="006C6340"/>
    <w:rsid w:val="006D0CFE"/>
    <w:rsid w:val="006D0D66"/>
    <w:rsid w:val="006D1667"/>
    <w:rsid w:val="006D18B7"/>
    <w:rsid w:val="006D196F"/>
    <w:rsid w:val="006D2848"/>
    <w:rsid w:val="006D32D8"/>
    <w:rsid w:val="006D3C61"/>
    <w:rsid w:val="006D528F"/>
    <w:rsid w:val="006D7121"/>
    <w:rsid w:val="006D7C48"/>
    <w:rsid w:val="006E260B"/>
    <w:rsid w:val="006E2A8A"/>
    <w:rsid w:val="006E349F"/>
    <w:rsid w:val="006E4333"/>
    <w:rsid w:val="006E5443"/>
    <w:rsid w:val="006E6150"/>
    <w:rsid w:val="006E61BD"/>
    <w:rsid w:val="006E63C8"/>
    <w:rsid w:val="006E65FD"/>
    <w:rsid w:val="006E6D10"/>
    <w:rsid w:val="006F02E1"/>
    <w:rsid w:val="006F141D"/>
    <w:rsid w:val="006F16C5"/>
    <w:rsid w:val="006F270B"/>
    <w:rsid w:val="006F2E74"/>
    <w:rsid w:val="006F2E93"/>
    <w:rsid w:val="006F313D"/>
    <w:rsid w:val="006F329C"/>
    <w:rsid w:val="006F4C65"/>
    <w:rsid w:val="006F51C6"/>
    <w:rsid w:val="006F51F6"/>
    <w:rsid w:val="006F5950"/>
    <w:rsid w:val="006F5AF1"/>
    <w:rsid w:val="006F635A"/>
    <w:rsid w:val="006F6698"/>
    <w:rsid w:val="006F7217"/>
    <w:rsid w:val="006F769A"/>
    <w:rsid w:val="006F7767"/>
    <w:rsid w:val="007009DA"/>
    <w:rsid w:val="00700C70"/>
    <w:rsid w:val="00701B49"/>
    <w:rsid w:val="007026F5"/>
    <w:rsid w:val="00702C1C"/>
    <w:rsid w:val="00702C7E"/>
    <w:rsid w:val="007038FD"/>
    <w:rsid w:val="00703908"/>
    <w:rsid w:val="00706242"/>
    <w:rsid w:val="00710568"/>
    <w:rsid w:val="00710609"/>
    <w:rsid w:val="00710FDC"/>
    <w:rsid w:val="0071205A"/>
    <w:rsid w:val="007124F2"/>
    <w:rsid w:val="00713416"/>
    <w:rsid w:val="00713754"/>
    <w:rsid w:val="00713A0B"/>
    <w:rsid w:val="00713C36"/>
    <w:rsid w:val="00713E29"/>
    <w:rsid w:val="00716C1F"/>
    <w:rsid w:val="007173F9"/>
    <w:rsid w:val="0071785C"/>
    <w:rsid w:val="0071787A"/>
    <w:rsid w:val="00720D05"/>
    <w:rsid w:val="00720EA8"/>
    <w:rsid w:val="00721BAF"/>
    <w:rsid w:val="007229E0"/>
    <w:rsid w:val="00722EA9"/>
    <w:rsid w:val="0072388A"/>
    <w:rsid w:val="00723961"/>
    <w:rsid w:val="00723EB1"/>
    <w:rsid w:val="00723FA8"/>
    <w:rsid w:val="00724E3A"/>
    <w:rsid w:val="00724FCB"/>
    <w:rsid w:val="00725BFB"/>
    <w:rsid w:val="00725D0A"/>
    <w:rsid w:val="007263CE"/>
    <w:rsid w:val="00726495"/>
    <w:rsid w:val="00726586"/>
    <w:rsid w:val="00730B44"/>
    <w:rsid w:val="0073286C"/>
    <w:rsid w:val="00733057"/>
    <w:rsid w:val="007340A4"/>
    <w:rsid w:val="0073460C"/>
    <w:rsid w:val="00734B2C"/>
    <w:rsid w:val="00735521"/>
    <w:rsid w:val="00735CFB"/>
    <w:rsid w:val="00736482"/>
    <w:rsid w:val="007367F4"/>
    <w:rsid w:val="00736D51"/>
    <w:rsid w:val="00737143"/>
    <w:rsid w:val="007378B7"/>
    <w:rsid w:val="00737D15"/>
    <w:rsid w:val="00740B93"/>
    <w:rsid w:val="007410B0"/>
    <w:rsid w:val="007410EC"/>
    <w:rsid w:val="0074128D"/>
    <w:rsid w:val="00743841"/>
    <w:rsid w:val="007439B2"/>
    <w:rsid w:val="00743C0A"/>
    <w:rsid w:val="00745179"/>
    <w:rsid w:val="00745634"/>
    <w:rsid w:val="00745866"/>
    <w:rsid w:val="007461CE"/>
    <w:rsid w:val="00746392"/>
    <w:rsid w:val="00747EF1"/>
    <w:rsid w:val="007500A4"/>
    <w:rsid w:val="00750A45"/>
    <w:rsid w:val="00750EC8"/>
    <w:rsid w:val="00751934"/>
    <w:rsid w:val="0075231A"/>
    <w:rsid w:val="00752353"/>
    <w:rsid w:val="00752B35"/>
    <w:rsid w:val="00755408"/>
    <w:rsid w:val="007557CC"/>
    <w:rsid w:val="007559B5"/>
    <w:rsid w:val="00756C47"/>
    <w:rsid w:val="00757A39"/>
    <w:rsid w:val="00761647"/>
    <w:rsid w:val="00763AAB"/>
    <w:rsid w:val="00763F85"/>
    <w:rsid w:val="00766122"/>
    <w:rsid w:val="007664F0"/>
    <w:rsid w:val="0076732E"/>
    <w:rsid w:val="007701F7"/>
    <w:rsid w:val="007702CD"/>
    <w:rsid w:val="00772424"/>
    <w:rsid w:val="00772936"/>
    <w:rsid w:val="00772CFE"/>
    <w:rsid w:val="007748DC"/>
    <w:rsid w:val="00774F56"/>
    <w:rsid w:val="00775C18"/>
    <w:rsid w:val="0077603D"/>
    <w:rsid w:val="00776133"/>
    <w:rsid w:val="007769ED"/>
    <w:rsid w:val="0077716D"/>
    <w:rsid w:val="00777622"/>
    <w:rsid w:val="00777B76"/>
    <w:rsid w:val="00780B23"/>
    <w:rsid w:val="00782046"/>
    <w:rsid w:val="00782150"/>
    <w:rsid w:val="00782A5C"/>
    <w:rsid w:val="00782F8B"/>
    <w:rsid w:val="007834D3"/>
    <w:rsid w:val="00783A2F"/>
    <w:rsid w:val="00783D01"/>
    <w:rsid w:val="00785528"/>
    <w:rsid w:val="00787859"/>
    <w:rsid w:val="00787F26"/>
    <w:rsid w:val="0079018E"/>
    <w:rsid w:val="007904CA"/>
    <w:rsid w:val="00791213"/>
    <w:rsid w:val="007912E5"/>
    <w:rsid w:val="00792742"/>
    <w:rsid w:val="00792A5A"/>
    <w:rsid w:val="00793342"/>
    <w:rsid w:val="0079401F"/>
    <w:rsid w:val="007948F5"/>
    <w:rsid w:val="00794B55"/>
    <w:rsid w:val="00795DDC"/>
    <w:rsid w:val="00796E22"/>
    <w:rsid w:val="007A05DA"/>
    <w:rsid w:val="007A1A92"/>
    <w:rsid w:val="007A22F2"/>
    <w:rsid w:val="007A2AA7"/>
    <w:rsid w:val="007A4194"/>
    <w:rsid w:val="007A4A69"/>
    <w:rsid w:val="007A4D39"/>
    <w:rsid w:val="007A4F59"/>
    <w:rsid w:val="007A55E9"/>
    <w:rsid w:val="007A604A"/>
    <w:rsid w:val="007A6F93"/>
    <w:rsid w:val="007A715C"/>
    <w:rsid w:val="007A71B0"/>
    <w:rsid w:val="007B0060"/>
    <w:rsid w:val="007B0166"/>
    <w:rsid w:val="007B0B1C"/>
    <w:rsid w:val="007B0ECF"/>
    <w:rsid w:val="007B1191"/>
    <w:rsid w:val="007B1323"/>
    <w:rsid w:val="007B203A"/>
    <w:rsid w:val="007B2655"/>
    <w:rsid w:val="007B2C90"/>
    <w:rsid w:val="007B3BF4"/>
    <w:rsid w:val="007B5092"/>
    <w:rsid w:val="007B539B"/>
    <w:rsid w:val="007B5F5F"/>
    <w:rsid w:val="007B6EB5"/>
    <w:rsid w:val="007B7755"/>
    <w:rsid w:val="007B7B20"/>
    <w:rsid w:val="007C0BC3"/>
    <w:rsid w:val="007C24B4"/>
    <w:rsid w:val="007C2FA0"/>
    <w:rsid w:val="007C3084"/>
    <w:rsid w:val="007C3299"/>
    <w:rsid w:val="007C331B"/>
    <w:rsid w:val="007C33ED"/>
    <w:rsid w:val="007C448D"/>
    <w:rsid w:val="007C4933"/>
    <w:rsid w:val="007C50E2"/>
    <w:rsid w:val="007C5E81"/>
    <w:rsid w:val="007C636B"/>
    <w:rsid w:val="007C664F"/>
    <w:rsid w:val="007C6D87"/>
    <w:rsid w:val="007C73A6"/>
    <w:rsid w:val="007C7829"/>
    <w:rsid w:val="007D0908"/>
    <w:rsid w:val="007D136A"/>
    <w:rsid w:val="007D18C4"/>
    <w:rsid w:val="007D1B36"/>
    <w:rsid w:val="007D1FCD"/>
    <w:rsid w:val="007D221F"/>
    <w:rsid w:val="007D2C17"/>
    <w:rsid w:val="007D2E94"/>
    <w:rsid w:val="007D35DE"/>
    <w:rsid w:val="007D3C49"/>
    <w:rsid w:val="007D44F5"/>
    <w:rsid w:val="007D5B9A"/>
    <w:rsid w:val="007D67BD"/>
    <w:rsid w:val="007D7F96"/>
    <w:rsid w:val="007E0100"/>
    <w:rsid w:val="007E07FC"/>
    <w:rsid w:val="007E0B21"/>
    <w:rsid w:val="007E0D3E"/>
    <w:rsid w:val="007E0D45"/>
    <w:rsid w:val="007E1019"/>
    <w:rsid w:val="007E179C"/>
    <w:rsid w:val="007E2F22"/>
    <w:rsid w:val="007E38DC"/>
    <w:rsid w:val="007E3BD2"/>
    <w:rsid w:val="007E4035"/>
    <w:rsid w:val="007E414A"/>
    <w:rsid w:val="007E6B2A"/>
    <w:rsid w:val="007E70DD"/>
    <w:rsid w:val="007F08F9"/>
    <w:rsid w:val="007F0950"/>
    <w:rsid w:val="007F1457"/>
    <w:rsid w:val="007F1602"/>
    <w:rsid w:val="007F1EFB"/>
    <w:rsid w:val="007F1FE3"/>
    <w:rsid w:val="007F2113"/>
    <w:rsid w:val="007F287D"/>
    <w:rsid w:val="007F2DF2"/>
    <w:rsid w:val="007F2FC2"/>
    <w:rsid w:val="007F3A22"/>
    <w:rsid w:val="007F5546"/>
    <w:rsid w:val="007F62F6"/>
    <w:rsid w:val="007F7AE9"/>
    <w:rsid w:val="008002D9"/>
    <w:rsid w:val="00800CDE"/>
    <w:rsid w:val="008017BF"/>
    <w:rsid w:val="008020DE"/>
    <w:rsid w:val="008026BC"/>
    <w:rsid w:val="008051C4"/>
    <w:rsid w:val="0080558F"/>
    <w:rsid w:val="0080621E"/>
    <w:rsid w:val="0080643F"/>
    <w:rsid w:val="00807CE2"/>
    <w:rsid w:val="0081073A"/>
    <w:rsid w:val="00811869"/>
    <w:rsid w:val="008119C2"/>
    <w:rsid w:val="00811A2B"/>
    <w:rsid w:val="008122EB"/>
    <w:rsid w:val="00812417"/>
    <w:rsid w:val="008132B2"/>
    <w:rsid w:val="00813332"/>
    <w:rsid w:val="0081389D"/>
    <w:rsid w:val="00813D2B"/>
    <w:rsid w:val="00814557"/>
    <w:rsid w:val="0081483E"/>
    <w:rsid w:val="008159AB"/>
    <w:rsid w:val="00815B0A"/>
    <w:rsid w:val="008162B8"/>
    <w:rsid w:val="00816545"/>
    <w:rsid w:val="00817086"/>
    <w:rsid w:val="00817C3F"/>
    <w:rsid w:val="0082401B"/>
    <w:rsid w:val="0082419D"/>
    <w:rsid w:val="008248F3"/>
    <w:rsid w:val="00825200"/>
    <w:rsid w:val="00825703"/>
    <w:rsid w:val="008259F3"/>
    <w:rsid w:val="008266C6"/>
    <w:rsid w:val="0082773A"/>
    <w:rsid w:val="00827E3E"/>
    <w:rsid w:val="00830A4F"/>
    <w:rsid w:val="008316E8"/>
    <w:rsid w:val="00831D02"/>
    <w:rsid w:val="008320A8"/>
    <w:rsid w:val="008320FC"/>
    <w:rsid w:val="008336AA"/>
    <w:rsid w:val="00833BC6"/>
    <w:rsid w:val="00834239"/>
    <w:rsid w:val="00834FB2"/>
    <w:rsid w:val="00835A18"/>
    <w:rsid w:val="00835E63"/>
    <w:rsid w:val="00837B0F"/>
    <w:rsid w:val="00840533"/>
    <w:rsid w:val="008413EC"/>
    <w:rsid w:val="0084141B"/>
    <w:rsid w:val="00843E37"/>
    <w:rsid w:val="008442E9"/>
    <w:rsid w:val="008453EB"/>
    <w:rsid w:val="00845949"/>
    <w:rsid w:val="00845B47"/>
    <w:rsid w:val="008509DD"/>
    <w:rsid w:val="00850A1B"/>
    <w:rsid w:val="00851782"/>
    <w:rsid w:val="00853902"/>
    <w:rsid w:val="00853F7E"/>
    <w:rsid w:val="00854075"/>
    <w:rsid w:val="00854489"/>
    <w:rsid w:val="00854F64"/>
    <w:rsid w:val="00855838"/>
    <w:rsid w:val="00856CB2"/>
    <w:rsid w:val="00857855"/>
    <w:rsid w:val="00857F9D"/>
    <w:rsid w:val="008611F8"/>
    <w:rsid w:val="008617FC"/>
    <w:rsid w:val="00864072"/>
    <w:rsid w:val="008643B5"/>
    <w:rsid w:val="0086510D"/>
    <w:rsid w:val="008655F2"/>
    <w:rsid w:val="0086661C"/>
    <w:rsid w:val="00866C75"/>
    <w:rsid w:val="00867DD0"/>
    <w:rsid w:val="0087024D"/>
    <w:rsid w:val="00870A19"/>
    <w:rsid w:val="00870C81"/>
    <w:rsid w:val="008717F2"/>
    <w:rsid w:val="00871A76"/>
    <w:rsid w:val="00871DA9"/>
    <w:rsid w:val="00872075"/>
    <w:rsid w:val="00872497"/>
    <w:rsid w:val="00872555"/>
    <w:rsid w:val="00872701"/>
    <w:rsid w:val="00873F5A"/>
    <w:rsid w:val="008741C0"/>
    <w:rsid w:val="00874B67"/>
    <w:rsid w:val="00874D5E"/>
    <w:rsid w:val="00875547"/>
    <w:rsid w:val="00876537"/>
    <w:rsid w:val="00876C45"/>
    <w:rsid w:val="008805A9"/>
    <w:rsid w:val="00880F01"/>
    <w:rsid w:val="00881265"/>
    <w:rsid w:val="0088161B"/>
    <w:rsid w:val="0088240E"/>
    <w:rsid w:val="008826F0"/>
    <w:rsid w:val="0088393F"/>
    <w:rsid w:val="00883EE3"/>
    <w:rsid w:val="0088579A"/>
    <w:rsid w:val="00885A88"/>
    <w:rsid w:val="00885C1A"/>
    <w:rsid w:val="0088614D"/>
    <w:rsid w:val="00886171"/>
    <w:rsid w:val="00886D04"/>
    <w:rsid w:val="00887D08"/>
    <w:rsid w:val="008905B5"/>
    <w:rsid w:val="00891AB6"/>
    <w:rsid w:val="008930BB"/>
    <w:rsid w:val="008954E1"/>
    <w:rsid w:val="0089588D"/>
    <w:rsid w:val="008972CF"/>
    <w:rsid w:val="008974E1"/>
    <w:rsid w:val="00897783"/>
    <w:rsid w:val="00897A69"/>
    <w:rsid w:val="008A0330"/>
    <w:rsid w:val="008A0527"/>
    <w:rsid w:val="008A0AF3"/>
    <w:rsid w:val="008A0DF1"/>
    <w:rsid w:val="008A1563"/>
    <w:rsid w:val="008A1B1B"/>
    <w:rsid w:val="008A3103"/>
    <w:rsid w:val="008A38A2"/>
    <w:rsid w:val="008A3A80"/>
    <w:rsid w:val="008A3C49"/>
    <w:rsid w:val="008A3D04"/>
    <w:rsid w:val="008A478B"/>
    <w:rsid w:val="008A4F83"/>
    <w:rsid w:val="008A5859"/>
    <w:rsid w:val="008A62A2"/>
    <w:rsid w:val="008A652A"/>
    <w:rsid w:val="008A6CD1"/>
    <w:rsid w:val="008A708E"/>
    <w:rsid w:val="008B0744"/>
    <w:rsid w:val="008B0EB5"/>
    <w:rsid w:val="008B1058"/>
    <w:rsid w:val="008B11B7"/>
    <w:rsid w:val="008B2600"/>
    <w:rsid w:val="008B2B25"/>
    <w:rsid w:val="008B3C77"/>
    <w:rsid w:val="008B3E78"/>
    <w:rsid w:val="008B3F0F"/>
    <w:rsid w:val="008B4501"/>
    <w:rsid w:val="008B4545"/>
    <w:rsid w:val="008B5084"/>
    <w:rsid w:val="008B5375"/>
    <w:rsid w:val="008B54A0"/>
    <w:rsid w:val="008B5AFB"/>
    <w:rsid w:val="008B65A0"/>
    <w:rsid w:val="008B7752"/>
    <w:rsid w:val="008B7A90"/>
    <w:rsid w:val="008B7E32"/>
    <w:rsid w:val="008B7E3D"/>
    <w:rsid w:val="008C1A1A"/>
    <w:rsid w:val="008C23A0"/>
    <w:rsid w:val="008C244B"/>
    <w:rsid w:val="008C2A7F"/>
    <w:rsid w:val="008C3B89"/>
    <w:rsid w:val="008C3F4C"/>
    <w:rsid w:val="008C5E14"/>
    <w:rsid w:val="008C6069"/>
    <w:rsid w:val="008C7BB4"/>
    <w:rsid w:val="008D0AD6"/>
    <w:rsid w:val="008D1E38"/>
    <w:rsid w:val="008D24FA"/>
    <w:rsid w:val="008D4563"/>
    <w:rsid w:val="008D46AF"/>
    <w:rsid w:val="008D537F"/>
    <w:rsid w:val="008D5C1A"/>
    <w:rsid w:val="008D62EE"/>
    <w:rsid w:val="008D72C8"/>
    <w:rsid w:val="008E0D70"/>
    <w:rsid w:val="008E10E2"/>
    <w:rsid w:val="008E1869"/>
    <w:rsid w:val="008E3660"/>
    <w:rsid w:val="008E3EA3"/>
    <w:rsid w:val="008E444B"/>
    <w:rsid w:val="008E486A"/>
    <w:rsid w:val="008E527C"/>
    <w:rsid w:val="008E5425"/>
    <w:rsid w:val="008E5F93"/>
    <w:rsid w:val="008E6B54"/>
    <w:rsid w:val="008E79AC"/>
    <w:rsid w:val="008E7FCA"/>
    <w:rsid w:val="008F0174"/>
    <w:rsid w:val="008F0DE7"/>
    <w:rsid w:val="008F2536"/>
    <w:rsid w:val="008F3757"/>
    <w:rsid w:val="008F47C3"/>
    <w:rsid w:val="008F49AB"/>
    <w:rsid w:val="008F6695"/>
    <w:rsid w:val="008F794C"/>
    <w:rsid w:val="009012FB"/>
    <w:rsid w:val="0090131C"/>
    <w:rsid w:val="0090179A"/>
    <w:rsid w:val="00902A42"/>
    <w:rsid w:val="0090360E"/>
    <w:rsid w:val="00903D51"/>
    <w:rsid w:val="00904C22"/>
    <w:rsid w:val="00904ECB"/>
    <w:rsid w:val="00905341"/>
    <w:rsid w:val="00907D9E"/>
    <w:rsid w:val="009107FC"/>
    <w:rsid w:val="00910F3D"/>
    <w:rsid w:val="00911253"/>
    <w:rsid w:val="00911703"/>
    <w:rsid w:val="00911786"/>
    <w:rsid w:val="009118F6"/>
    <w:rsid w:val="00912136"/>
    <w:rsid w:val="00912F71"/>
    <w:rsid w:val="00912FF9"/>
    <w:rsid w:val="009132C5"/>
    <w:rsid w:val="0091426A"/>
    <w:rsid w:val="00914703"/>
    <w:rsid w:val="009151F8"/>
    <w:rsid w:val="00915A23"/>
    <w:rsid w:val="009163CB"/>
    <w:rsid w:val="009166A0"/>
    <w:rsid w:val="009200D1"/>
    <w:rsid w:val="00921074"/>
    <w:rsid w:val="00921782"/>
    <w:rsid w:val="00921A36"/>
    <w:rsid w:val="00922EEE"/>
    <w:rsid w:val="009232F3"/>
    <w:rsid w:val="00924CFD"/>
    <w:rsid w:val="00924DE5"/>
    <w:rsid w:val="00924EF4"/>
    <w:rsid w:val="00924F90"/>
    <w:rsid w:val="0092633E"/>
    <w:rsid w:val="009265DE"/>
    <w:rsid w:val="00926804"/>
    <w:rsid w:val="00926888"/>
    <w:rsid w:val="00927583"/>
    <w:rsid w:val="00927647"/>
    <w:rsid w:val="0093017C"/>
    <w:rsid w:val="0093065B"/>
    <w:rsid w:val="009309F6"/>
    <w:rsid w:val="00930FAE"/>
    <w:rsid w:val="00931EA1"/>
    <w:rsid w:val="00932E5F"/>
    <w:rsid w:val="00933371"/>
    <w:rsid w:val="0093345D"/>
    <w:rsid w:val="00933BB5"/>
    <w:rsid w:val="00933EC3"/>
    <w:rsid w:val="009340CD"/>
    <w:rsid w:val="00934214"/>
    <w:rsid w:val="009345EE"/>
    <w:rsid w:val="00934771"/>
    <w:rsid w:val="00934C99"/>
    <w:rsid w:val="00935A6C"/>
    <w:rsid w:val="00936DAE"/>
    <w:rsid w:val="00937283"/>
    <w:rsid w:val="009373EC"/>
    <w:rsid w:val="009377C3"/>
    <w:rsid w:val="00940947"/>
    <w:rsid w:val="00942142"/>
    <w:rsid w:val="0094225A"/>
    <w:rsid w:val="00942371"/>
    <w:rsid w:val="009426C5"/>
    <w:rsid w:val="00942E95"/>
    <w:rsid w:val="00942F8F"/>
    <w:rsid w:val="00943552"/>
    <w:rsid w:val="00943B57"/>
    <w:rsid w:val="009442DC"/>
    <w:rsid w:val="0094485E"/>
    <w:rsid w:val="00945152"/>
    <w:rsid w:val="0094590E"/>
    <w:rsid w:val="00946391"/>
    <w:rsid w:val="00947349"/>
    <w:rsid w:val="00950111"/>
    <w:rsid w:val="0095089D"/>
    <w:rsid w:val="00950A3E"/>
    <w:rsid w:val="00950FC5"/>
    <w:rsid w:val="00950FDC"/>
    <w:rsid w:val="00951EC0"/>
    <w:rsid w:val="00952E37"/>
    <w:rsid w:val="009534B1"/>
    <w:rsid w:val="00954A3D"/>
    <w:rsid w:val="00955B03"/>
    <w:rsid w:val="00955BCE"/>
    <w:rsid w:val="00955E0D"/>
    <w:rsid w:val="00957F58"/>
    <w:rsid w:val="00960AA0"/>
    <w:rsid w:val="00961BFF"/>
    <w:rsid w:val="00962701"/>
    <w:rsid w:val="00963FDC"/>
    <w:rsid w:val="00964E43"/>
    <w:rsid w:val="00965103"/>
    <w:rsid w:val="00965322"/>
    <w:rsid w:val="0096590F"/>
    <w:rsid w:val="00965D27"/>
    <w:rsid w:val="00965F1B"/>
    <w:rsid w:val="009669F5"/>
    <w:rsid w:val="009678B1"/>
    <w:rsid w:val="009679CA"/>
    <w:rsid w:val="00970312"/>
    <w:rsid w:val="009704AA"/>
    <w:rsid w:val="00970525"/>
    <w:rsid w:val="00970731"/>
    <w:rsid w:val="00970774"/>
    <w:rsid w:val="00971BCE"/>
    <w:rsid w:val="00972897"/>
    <w:rsid w:val="00972C2B"/>
    <w:rsid w:val="00973A14"/>
    <w:rsid w:val="00974EE9"/>
    <w:rsid w:val="00977324"/>
    <w:rsid w:val="009800A6"/>
    <w:rsid w:val="00980966"/>
    <w:rsid w:val="0098261C"/>
    <w:rsid w:val="00983044"/>
    <w:rsid w:val="0098306A"/>
    <w:rsid w:val="0098352A"/>
    <w:rsid w:val="00983FEF"/>
    <w:rsid w:val="00984D6D"/>
    <w:rsid w:val="009851AE"/>
    <w:rsid w:val="0098544A"/>
    <w:rsid w:val="00985640"/>
    <w:rsid w:val="00986FF4"/>
    <w:rsid w:val="00990801"/>
    <w:rsid w:val="00990F26"/>
    <w:rsid w:val="00992CB6"/>
    <w:rsid w:val="00993197"/>
    <w:rsid w:val="00993312"/>
    <w:rsid w:val="0099354A"/>
    <w:rsid w:val="00993AB6"/>
    <w:rsid w:val="009945BF"/>
    <w:rsid w:val="009946C0"/>
    <w:rsid w:val="009947A1"/>
    <w:rsid w:val="00995A02"/>
    <w:rsid w:val="00995D6A"/>
    <w:rsid w:val="00997068"/>
    <w:rsid w:val="009979FD"/>
    <w:rsid w:val="009A02B4"/>
    <w:rsid w:val="009A1CFE"/>
    <w:rsid w:val="009A323D"/>
    <w:rsid w:val="009A47B0"/>
    <w:rsid w:val="009A486E"/>
    <w:rsid w:val="009A59F2"/>
    <w:rsid w:val="009A5D80"/>
    <w:rsid w:val="009A6E9E"/>
    <w:rsid w:val="009A6F45"/>
    <w:rsid w:val="009A7899"/>
    <w:rsid w:val="009A7C8F"/>
    <w:rsid w:val="009B095C"/>
    <w:rsid w:val="009B1260"/>
    <w:rsid w:val="009B34DE"/>
    <w:rsid w:val="009B3BDA"/>
    <w:rsid w:val="009B4974"/>
    <w:rsid w:val="009B53EA"/>
    <w:rsid w:val="009B55C5"/>
    <w:rsid w:val="009B577A"/>
    <w:rsid w:val="009B58F3"/>
    <w:rsid w:val="009B6D0C"/>
    <w:rsid w:val="009B7BD3"/>
    <w:rsid w:val="009B7CDB"/>
    <w:rsid w:val="009C0C76"/>
    <w:rsid w:val="009C0C95"/>
    <w:rsid w:val="009C4F0B"/>
    <w:rsid w:val="009C6085"/>
    <w:rsid w:val="009C6515"/>
    <w:rsid w:val="009C6D0C"/>
    <w:rsid w:val="009D03D8"/>
    <w:rsid w:val="009D0BC4"/>
    <w:rsid w:val="009D1270"/>
    <w:rsid w:val="009D26EB"/>
    <w:rsid w:val="009D3AB9"/>
    <w:rsid w:val="009D4352"/>
    <w:rsid w:val="009D445E"/>
    <w:rsid w:val="009D7522"/>
    <w:rsid w:val="009E023A"/>
    <w:rsid w:val="009E0F2E"/>
    <w:rsid w:val="009E1862"/>
    <w:rsid w:val="009E2C88"/>
    <w:rsid w:val="009E33D2"/>
    <w:rsid w:val="009E365A"/>
    <w:rsid w:val="009E37EE"/>
    <w:rsid w:val="009E4B57"/>
    <w:rsid w:val="009E6095"/>
    <w:rsid w:val="009E6234"/>
    <w:rsid w:val="009E7334"/>
    <w:rsid w:val="009E79E4"/>
    <w:rsid w:val="009F0199"/>
    <w:rsid w:val="009F10F6"/>
    <w:rsid w:val="009F1232"/>
    <w:rsid w:val="009F161F"/>
    <w:rsid w:val="009F27DD"/>
    <w:rsid w:val="009F39B2"/>
    <w:rsid w:val="009F3A78"/>
    <w:rsid w:val="009F3D0E"/>
    <w:rsid w:val="009F433F"/>
    <w:rsid w:val="009F525C"/>
    <w:rsid w:val="009F605C"/>
    <w:rsid w:val="009F64B7"/>
    <w:rsid w:val="009F66CF"/>
    <w:rsid w:val="009F71FC"/>
    <w:rsid w:val="00A004FF"/>
    <w:rsid w:val="00A00AA8"/>
    <w:rsid w:val="00A0285B"/>
    <w:rsid w:val="00A02E0E"/>
    <w:rsid w:val="00A04566"/>
    <w:rsid w:val="00A04DD8"/>
    <w:rsid w:val="00A058AD"/>
    <w:rsid w:val="00A069E2"/>
    <w:rsid w:val="00A06CB4"/>
    <w:rsid w:val="00A1084B"/>
    <w:rsid w:val="00A10AC4"/>
    <w:rsid w:val="00A10C7C"/>
    <w:rsid w:val="00A122EF"/>
    <w:rsid w:val="00A12DCC"/>
    <w:rsid w:val="00A135DE"/>
    <w:rsid w:val="00A15F4C"/>
    <w:rsid w:val="00A16560"/>
    <w:rsid w:val="00A16716"/>
    <w:rsid w:val="00A16DAC"/>
    <w:rsid w:val="00A17183"/>
    <w:rsid w:val="00A1732E"/>
    <w:rsid w:val="00A179C2"/>
    <w:rsid w:val="00A179CF"/>
    <w:rsid w:val="00A17E4C"/>
    <w:rsid w:val="00A209A0"/>
    <w:rsid w:val="00A210AA"/>
    <w:rsid w:val="00A21C6A"/>
    <w:rsid w:val="00A21D0F"/>
    <w:rsid w:val="00A23F6D"/>
    <w:rsid w:val="00A2425E"/>
    <w:rsid w:val="00A24AAE"/>
    <w:rsid w:val="00A24C0E"/>
    <w:rsid w:val="00A253C8"/>
    <w:rsid w:val="00A256C0"/>
    <w:rsid w:val="00A26EB7"/>
    <w:rsid w:val="00A27050"/>
    <w:rsid w:val="00A2753D"/>
    <w:rsid w:val="00A27BB0"/>
    <w:rsid w:val="00A3119A"/>
    <w:rsid w:val="00A31E9B"/>
    <w:rsid w:val="00A32A5D"/>
    <w:rsid w:val="00A33074"/>
    <w:rsid w:val="00A33666"/>
    <w:rsid w:val="00A33A25"/>
    <w:rsid w:val="00A33E35"/>
    <w:rsid w:val="00A346FD"/>
    <w:rsid w:val="00A35507"/>
    <w:rsid w:val="00A35839"/>
    <w:rsid w:val="00A362FD"/>
    <w:rsid w:val="00A364BE"/>
    <w:rsid w:val="00A36BEA"/>
    <w:rsid w:val="00A3747F"/>
    <w:rsid w:val="00A37538"/>
    <w:rsid w:val="00A37728"/>
    <w:rsid w:val="00A41077"/>
    <w:rsid w:val="00A419C4"/>
    <w:rsid w:val="00A44AD9"/>
    <w:rsid w:val="00A44FDA"/>
    <w:rsid w:val="00A45A0D"/>
    <w:rsid w:val="00A46B70"/>
    <w:rsid w:val="00A46C9C"/>
    <w:rsid w:val="00A4701F"/>
    <w:rsid w:val="00A47795"/>
    <w:rsid w:val="00A478BB"/>
    <w:rsid w:val="00A50ED4"/>
    <w:rsid w:val="00A5111D"/>
    <w:rsid w:val="00A52157"/>
    <w:rsid w:val="00A525A6"/>
    <w:rsid w:val="00A53C68"/>
    <w:rsid w:val="00A54875"/>
    <w:rsid w:val="00A55477"/>
    <w:rsid w:val="00A55906"/>
    <w:rsid w:val="00A5610E"/>
    <w:rsid w:val="00A56250"/>
    <w:rsid w:val="00A56C68"/>
    <w:rsid w:val="00A56FC8"/>
    <w:rsid w:val="00A570CD"/>
    <w:rsid w:val="00A5744D"/>
    <w:rsid w:val="00A57491"/>
    <w:rsid w:val="00A57544"/>
    <w:rsid w:val="00A60065"/>
    <w:rsid w:val="00A603B5"/>
    <w:rsid w:val="00A6044F"/>
    <w:rsid w:val="00A60D13"/>
    <w:rsid w:val="00A634CB"/>
    <w:rsid w:val="00A63713"/>
    <w:rsid w:val="00A63720"/>
    <w:rsid w:val="00A63A40"/>
    <w:rsid w:val="00A642E2"/>
    <w:rsid w:val="00A65C89"/>
    <w:rsid w:val="00A6606E"/>
    <w:rsid w:val="00A6638E"/>
    <w:rsid w:val="00A67A9E"/>
    <w:rsid w:val="00A67BA5"/>
    <w:rsid w:val="00A67DA1"/>
    <w:rsid w:val="00A67EAE"/>
    <w:rsid w:val="00A70574"/>
    <w:rsid w:val="00A706CD"/>
    <w:rsid w:val="00A73526"/>
    <w:rsid w:val="00A735F7"/>
    <w:rsid w:val="00A73796"/>
    <w:rsid w:val="00A749D7"/>
    <w:rsid w:val="00A74C6E"/>
    <w:rsid w:val="00A74EB7"/>
    <w:rsid w:val="00A750DF"/>
    <w:rsid w:val="00A755A7"/>
    <w:rsid w:val="00A766B1"/>
    <w:rsid w:val="00A76B8E"/>
    <w:rsid w:val="00A77197"/>
    <w:rsid w:val="00A77C2D"/>
    <w:rsid w:val="00A8016D"/>
    <w:rsid w:val="00A814F3"/>
    <w:rsid w:val="00A82C5C"/>
    <w:rsid w:val="00A838D3"/>
    <w:rsid w:val="00A83955"/>
    <w:rsid w:val="00A83F8A"/>
    <w:rsid w:val="00A83F90"/>
    <w:rsid w:val="00A84B11"/>
    <w:rsid w:val="00A853EF"/>
    <w:rsid w:val="00A859AC"/>
    <w:rsid w:val="00A85D8C"/>
    <w:rsid w:val="00A86628"/>
    <w:rsid w:val="00A86C2D"/>
    <w:rsid w:val="00A8722B"/>
    <w:rsid w:val="00A900ED"/>
    <w:rsid w:val="00A90838"/>
    <w:rsid w:val="00A917EF"/>
    <w:rsid w:val="00A922ED"/>
    <w:rsid w:val="00A92523"/>
    <w:rsid w:val="00A93F52"/>
    <w:rsid w:val="00A93FA9"/>
    <w:rsid w:val="00A94F51"/>
    <w:rsid w:val="00A94FDC"/>
    <w:rsid w:val="00A950C4"/>
    <w:rsid w:val="00A95727"/>
    <w:rsid w:val="00A96159"/>
    <w:rsid w:val="00A9619F"/>
    <w:rsid w:val="00A96B60"/>
    <w:rsid w:val="00A97061"/>
    <w:rsid w:val="00A97528"/>
    <w:rsid w:val="00AA0C63"/>
    <w:rsid w:val="00AA22C4"/>
    <w:rsid w:val="00AA2C2F"/>
    <w:rsid w:val="00AA3277"/>
    <w:rsid w:val="00AA3FA2"/>
    <w:rsid w:val="00AA4BBA"/>
    <w:rsid w:val="00AA639D"/>
    <w:rsid w:val="00AA6BF7"/>
    <w:rsid w:val="00AA6F4E"/>
    <w:rsid w:val="00AA711B"/>
    <w:rsid w:val="00AB04BD"/>
    <w:rsid w:val="00AB0646"/>
    <w:rsid w:val="00AB12A3"/>
    <w:rsid w:val="00AB1400"/>
    <w:rsid w:val="00AB2B50"/>
    <w:rsid w:val="00AB429A"/>
    <w:rsid w:val="00AB5D4E"/>
    <w:rsid w:val="00AC1945"/>
    <w:rsid w:val="00AC1A1C"/>
    <w:rsid w:val="00AC281A"/>
    <w:rsid w:val="00AC28FE"/>
    <w:rsid w:val="00AC2F29"/>
    <w:rsid w:val="00AC3025"/>
    <w:rsid w:val="00AC3029"/>
    <w:rsid w:val="00AC6B1A"/>
    <w:rsid w:val="00AC7C32"/>
    <w:rsid w:val="00AC7DD3"/>
    <w:rsid w:val="00AD00E5"/>
    <w:rsid w:val="00AD0594"/>
    <w:rsid w:val="00AD1107"/>
    <w:rsid w:val="00AD120C"/>
    <w:rsid w:val="00AD2771"/>
    <w:rsid w:val="00AD2828"/>
    <w:rsid w:val="00AD28DF"/>
    <w:rsid w:val="00AD32A1"/>
    <w:rsid w:val="00AD444D"/>
    <w:rsid w:val="00AD5166"/>
    <w:rsid w:val="00AD5984"/>
    <w:rsid w:val="00AD6BE3"/>
    <w:rsid w:val="00AD6F18"/>
    <w:rsid w:val="00AD7023"/>
    <w:rsid w:val="00AD7702"/>
    <w:rsid w:val="00AD78E2"/>
    <w:rsid w:val="00AD7A5A"/>
    <w:rsid w:val="00AD7C21"/>
    <w:rsid w:val="00AE0BE2"/>
    <w:rsid w:val="00AE1A9F"/>
    <w:rsid w:val="00AE2044"/>
    <w:rsid w:val="00AE332F"/>
    <w:rsid w:val="00AE4362"/>
    <w:rsid w:val="00AE4FD2"/>
    <w:rsid w:val="00AE5211"/>
    <w:rsid w:val="00AE53C8"/>
    <w:rsid w:val="00AE679E"/>
    <w:rsid w:val="00AF06E8"/>
    <w:rsid w:val="00AF1485"/>
    <w:rsid w:val="00AF33E2"/>
    <w:rsid w:val="00AF37D0"/>
    <w:rsid w:val="00AF4457"/>
    <w:rsid w:val="00AF4EE8"/>
    <w:rsid w:val="00AF4F77"/>
    <w:rsid w:val="00AF50DC"/>
    <w:rsid w:val="00AF57A8"/>
    <w:rsid w:val="00B00C31"/>
    <w:rsid w:val="00B01491"/>
    <w:rsid w:val="00B01CFD"/>
    <w:rsid w:val="00B01FF4"/>
    <w:rsid w:val="00B02C1D"/>
    <w:rsid w:val="00B02DB2"/>
    <w:rsid w:val="00B02DC7"/>
    <w:rsid w:val="00B03F28"/>
    <w:rsid w:val="00B05A49"/>
    <w:rsid w:val="00B05A5F"/>
    <w:rsid w:val="00B05A9F"/>
    <w:rsid w:val="00B07143"/>
    <w:rsid w:val="00B10705"/>
    <w:rsid w:val="00B110FC"/>
    <w:rsid w:val="00B1226C"/>
    <w:rsid w:val="00B12E62"/>
    <w:rsid w:val="00B13199"/>
    <w:rsid w:val="00B136CE"/>
    <w:rsid w:val="00B13BDF"/>
    <w:rsid w:val="00B150A2"/>
    <w:rsid w:val="00B152A6"/>
    <w:rsid w:val="00B1555A"/>
    <w:rsid w:val="00B1555D"/>
    <w:rsid w:val="00B1630F"/>
    <w:rsid w:val="00B20072"/>
    <w:rsid w:val="00B20485"/>
    <w:rsid w:val="00B20563"/>
    <w:rsid w:val="00B20640"/>
    <w:rsid w:val="00B20B01"/>
    <w:rsid w:val="00B21596"/>
    <w:rsid w:val="00B22006"/>
    <w:rsid w:val="00B22D58"/>
    <w:rsid w:val="00B2574D"/>
    <w:rsid w:val="00B26885"/>
    <w:rsid w:val="00B27194"/>
    <w:rsid w:val="00B27742"/>
    <w:rsid w:val="00B30082"/>
    <w:rsid w:val="00B332DF"/>
    <w:rsid w:val="00B33852"/>
    <w:rsid w:val="00B33DFC"/>
    <w:rsid w:val="00B34871"/>
    <w:rsid w:val="00B35725"/>
    <w:rsid w:val="00B36120"/>
    <w:rsid w:val="00B36AF3"/>
    <w:rsid w:val="00B37722"/>
    <w:rsid w:val="00B37873"/>
    <w:rsid w:val="00B37BC6"/>
    <w:rsid w:val="00B37D3C"/>
    <w:rsid w:val="00B431F6"/>
    <w:rsid w:val="00B4338B"/>
    <w:rsid w:val="00B43699"/>
    <w:rsid w:val="00B43EC5"/>
    <w:rsid w:val="00B447A2"/>
    <w:rsid w:val="00B475EB"/>
    <w:rsid w:val="00B5030F"/>
    <w:rsid w:val="00B51BA8"/>
    <w:rsid w:val="00B53DC4"/>
    <w:rsid w:val="00B54C3B"/>
    <w:rsid w:val="00B552A3"/>
    <w:rsid w:val="00B5548C"/>
    <w:rsid w:val="00B554F5"/>
    <w:rsid w:val="00B5730A"/>
    <w:rsid w:val="00B5745E"/>
    <w:rsid w:val="00B578C4"/>
    <w:rsid w:val="00B60DE7"/>
    <w:rsid w:val="00B6123B"/>
    <w:rsid w:val="00B6220E"/>
    <w:rsid w:val="00B62612"/>
    <w:rsid w:val="00B63303"/>
    <w:rsid w:val="00B63453"/>
    <w:rsid w:val="00B63C7B"/>
    <w:rsid w:val="00B63CD0"/>
    <w:rsid w:val="00B64058"/>
    <w:rsid w:val="00B6576B"/>
    <w:rsid w:val="00B661CC"/>
    <w:rsid w:val="00B668FA"/>
    <w:rsid w:val="00B6760C"/>
    <w:rsid w:val="00B70249"/>
    <w:rsid w:val="00B70CED"/>
    <w:rsid w:val="00B71087"/>
    <w:rsid w:val="00B717CD"/>
    <w:rsid w:val="00B72E0F"/>
    <w:rsid w:val="00B7355B"/>
    <w:rsid w:val="00B73999"/>
    <w:rsid w:val="00B7401B"/>
    <w:rsid w:val="00B74A03"/>
    <w:rsid w:val="00B75D3B"/>
    <w:rsid w:val="00B76E94"/>
    <w:rsid w:val="00B772C6"/>
    <w:rsid w:val="00B772D8"/>
    <w:rsid w:val="00B7781F"/>
    <w:rsid w:val="00B77EFC"/>
    <w:rsid w:val="00B77FFE"/>
    <w:rsid w:val="00B802EF"/>
    <w:rsid w:val="00B828BE"/>
    <w:rsid w:val="00B851B4"/>
    <w:rsid w:val="00B87467"/>
    <w:rsid w:val="00B87A62"/>
    <w:rsid w:val="00B87E51"/>
    <w:rsid w:val="00B90F16"/>
    <w:rsid w:val="00B93717"/>
    <w:rsid w:val="00B94024"/>
    <w:rsid w:val="00B9412E"/>
    <w:rsid w:val="00B94FD3"/>
    <w:rsid w:val="00B969BD"/>
    <w:rsid w:val="00B96F18"/>
    <w:rsid w:val="00BA02CE"/>
    <w:rsid w:val="00BA05CD"/>
    <w:rsid w:val="00BA08E8"/>
    <w:rsid w:val="00BA1B47"/>
    <w:rsid w:val="00BA1D31"/>
    <w:rsid w:val="00BA2603"/>
    <w:rsid w:val="00BA263C"/>
    <w:rsid w:val="00BA28FD"/>
    <w:rsid w:val="00BA2DCD"/>
    <w:rsid w:val="00BA31D9"/>
    <w:rsid w:val="00BA3FD5"/>
    <w:rsid w:val="00BA4188"/>
    <w:rsid w:val="00BA4C24"/>
    <w:rsid w:val="00BA51CF"/>
    <w:rsid w:val="00BA522A"/>
    <w:rsid w:val="00BA52BB"/>
    <w:rsid w:val="00BA61D9"/>
    <w:rsid w:val="00BA6A87"/>
    <w:rsid w:val="00BB0041"/>
    <w:rsid w:val="00BB03E0"/>
    <w:rsid w:val="00BB05EC"/>
    <w:rsid w:val="00BB0A2C"/>
    <w:rsid w:val="00BB10A0"/>
    <w:rsid w:val="00BB152B"/>
    <w:rsid w:val="00BB27AF"/>
    <w:rsid w:val="00BB2D73"/>
    <w:rsid w:val="00BB37BF"/>
    <w:rsid w:val="00BB3AD8"/>
    <w:rsid w:val="00BB3CB2"/>
    <w:rsid w:val="00BB4E3F"/>
    <w:rsid w:val="00BB557A"/>
    <w:rsid w:val="00BB59AF"/>
    <w:rsid w:val="00BB603F"/>
    <w:rsid w:val="00BB76DD"/>
    <w:rsid w:val="00BB7F2E"/>
    <w:rsid w:val="00BB7F7B"/>
    <w:rsid w:val="00BC0381"/>
    <w:rsid w:val="00BC0DC1"/>
    <w:rsid w:val="00BC0E9C"/>
    <w:rsid w:val="00BC0EB0"/>
    <w:rsid w:val="00BC11CA"/>
    <w:rsid w:val="00BC2214"/>
    <w:rsid w:val="00BC2B13"/>
    <w:rsid w:val="00BC36DF"/>
    <w:rsid w:val="00BC413C"/>
    <w:rsid w:val="00BC4365"/>
    <w:rsid w:val="00BC6A6E"/>
    <w:rsid w:val="00BC7ABF"/>
    <w:rsid w:val="00BD0A51"/>
    <w:rsid w:val="00BD0B3F"/>
    <w:rsid w:val="00BD0B97"/>
    <w:rsid w:val="00BD223A"/>
    <w:rsid w:val="00BD2C72"/>
    <w:rsid w:val="00BD3D71"/>
    <w:rsid w:val="00BD3F55"/>
    <w:rsid w:val="00BD46B7"/>
    <w:rsid w:val="00BD47C2"/>
    <w:rsid w:val="00BD5894"/>
    <w:rsid w:val="00BD5C35"/>
    <w:rsid w:val="00BD63CF"/>
    <w:rsid w:val="00BD6DE2"/>
    <w:rsid w:val="00BD742F"/>
    <w:rsid w:val="00BD7F54"/>
    <w:rsid w:val="00BE00F5"/>
    <w:rsid w:val="00BE013A"/>
    <w:rsid w:val="00BE040C"/>
    <w:rsid w:val="00BE4A67"/>
    <w:rsid w:val="00BE571D"/>
    <w:rsid w:val="00BE5937"/>
    <w:rsid w:val="00BE5941"/>
    <w:rsid w:val="00BE5DB0"/>
    <w:rsid w:val="00BE623A"/>
    <w:rsid w:val="00BE6A2D"/>
    <w:rsid w:val="00BE6C04"/>
    <w:rsid w:val="00BE6F38"/>
    <w:rsid w:val="00BE730E"/>
    <w:rsid w:val="00BE7A32"/>
    <w:rsid w:val="00BF05A9"/>
    <w:rsid w:val="00BF2788"/>
    <w:rsid w:val="00BF34E0"/>
    <w:rsid w:val="00BF514F"/>
    <w:rsid w:val="00BF5334"/>
    <w:rsid w:val="00BF579B"/>
    <w:rsid w:val="00BF5974"/>
    <w:rsid w:val="00BF5B4F"/>
    <w:rsid w:val="00BF5C65"/>
    <w:rsid w:val="00BF7124"/>
    <w:rsid w:val="00BF7DA7"/>
    <w:rsid w:val="00C0075C"/>
    <w:rsid w:val="00C00D93"/>
    <w:rsid w:val="00C01BAB"/>
    <w:rsid w:val="00C023BE"/>
    <w:rsid w:val="00C03FF5"/>
    <w:rsid w:val="00C04111"/>
    <w:rsid w:val="00C041EB"/>
    <w:rsid w:val="00C04317"/>
    <w:rsid w:val="00C0465B"/>
    <w:rsid w:val="00C04719"/>
    <w:rsid w:val="00C04B9E"/>
    <w:rsid w:val="00C04D9B"/>
    <w:rsid w:val="00C058A3"/>
    <w:rsid w:val="00C0592C"/>
    <w:rsid w:val="00C0706F"/>
    <w:rsid w:val="00C0741C"/>
    <w:rsid w:val="00C0763C"/>
    <w:rsid w:val="00C07C06"/>
    <w:rsid w:val="00C10649"/>
    <w:rsid w:val="00C10975"/>
    <w:rsid w:val="00C10988"/>
    <w:rsid w:val="00C10B6E"/>
    <w:rsid w:val="00C115B0"/>
    <w:rsid w:val="00C11980"/>
    <w:rsid w:val="00C1208C"/>
    <w:rsid w:val="00C1264D"/>
    <w:rsid w:val="00C12CF4"/>
    <w:rsid w:val="00C130BD"/>
    <w:rsid w:val="00C13556"/>
    <w:rsid w:val="00C16C23"/>
    <w:rsid w:val="00C1706F"/>
    <w:rsid w:val="00C17137"/>
    <w:rsid w:val="00C17333"/>
    <w:rsid w:val="00C2032B"/>
    <w:rsid w:val="00C20C52"/>
    <w:rsid w:val="00C20EE3"/>
    <w:rsid w:val="00C22011"/>
    <w:rsid w:val="00C22398"/>
    <w:rsid w:val="00C22BC0"/>
    <w:rsid w:val="00C23842"/>
    <w:rsid w:val="00C23A4D"/>
    <w:rsid w:val="00C244E3"/>
    <w:rsid w:val="00C24EE9"/>
    <w:rsid w:val="00C2703B"/>
    <w:rsid w:val="00C27229"/>
    <w:rsid w:val="00C273DE"/>
    <w:rsid w:val="00C27413"/>
    <w:rsid w:val="00C27614"/>
    <w:rsid w:val="00C279B4"/>
    <w:rsid w:val="00C302A2"/>
    <w:rsid w:val="00C30556"/>
    <w:rsid w:val="00C31176"/>
    <w:rsid w:val="00C31DB0"/>
    <w:rsid w:val="00C335FD"/>
    <w:rsid w:val="00C339A1"/>
    <w:rsid w:val="00C34843"/>
    <w:rsid w:val="00C35D41"/>
    <w:rsid w:val="00C37002"/>
    <w:rsid w:val="00C4061C"/>
    <w:rsid w:val="00C45014"/>
    <w:rsid w:val="00C46138"/>
    <w:rsid w:val="00C4746F"/>
    <w:rsid w:val="00C50762"/>
    <w:rsid w:val="00C50834"/>
    <w:rsid w:val="00C51825"/>
    <w:rsid w:val="00C523A5"/>
    <w:rsid w:val="00C527F1"/>
    <w:rsid w:val="00C52883"/>
    <w:rsid w:val="00C530C0"/>
    <w:rsid w:val="00C53E4F"/>
    <w:rsid w:val="00C54A27"/>
    <w:rsid w:val="00C553E0"/>
    <w:rsid w:val="00C557AF"/>
    <w:rsid w:val="00C5752D"/>
    <w:rsid w:val="00C57831"/>
    <w:rsid w:val="00C6179B"/>
    <w:rsid w:val="00C61B41"/>
    <w:rsid w:val="00C63449"/>
    <w:rsid w:val="00C638C4"/>
    <w:rsid w:val="00C63B6A"/>
    <w:rsid w:val="00C63C88"/>
    <w:rsid w:val="00C648F0"/>
    <w:rsid w:val="00C652F5"/>
    <w:rsid w:val="00C65D1B"/>
    <w:rsid w:val="00C6622A"/>
    <w:rsid w:val="00C663E6"/>
    <w:rsid w:val="00C66A82"/>
    <w:rsid w:val="00C67BF1"/>
    <w:rsid w:val="00C7015D"/>
    <w:rsid w:val="00C70C49"/>
    <w:rsid w:val="00C71130"/>
    <w:rsid w:val="00C7176F"/>
    <w:rsid w:val="00C71F6C"/>
    <w:rsid w:val="00C72A52"/>
    <w:rsid w:val="00C73124"/>
    <w:rsid w:val="00C73680"/>
    <w:rsid w:val="00C737BF"/>
    <w:rsid w:val="00C73F86"/>
    <w:rsid w:val="00C75019"/>
    <w:rsid w:val="00C758B3"/>
    <w:rsid w:val="00C7603F"/>
    <w:rsid w:val="00C760EC"/>
    <w:rsid w:val="00C76EC7"/>
    <w:rsid w:val="00C77676"/>
    <w:rsid w:val="00C776A7"/>
    <w:rsid w:val="00C77B6B"/>
    <w:rsid w:val="00C77EA1"/>
    <w:rsid w:val="00C77EB8"/>
    <w:rsid w:val="00C804DD"/>
    <w:rsid w:val="00C80664"/>
    <w:rsid w:val="00C80A01"/>
    <w:rsid w:val="00C80B36"/>
    <w:rsid w:val="00C82076"/>
    <w:rsid w:val="00C82E5C"/>
    <w:rsid w:val="00C835C7"/>
    <w:rsid w:val="00C83AE6"/>
    <w:rsid w:val="00C85343"/>
    <w:rsid w:val="00C860D4"/>
    <w:rsid w:val="00C86BC1"/>
    <w:rsid w:val="00C873FA"/>
    <w:rsid w:val="00C90D32"/>
    <w:rsid w:val="00C91476"/>
    <w:rsid w:val="00C91FD5"/>
    <w:rsid w:val="00C9243E"/>
    <w:rsid w:val="00C92936"/>
    <w:rsid w:val="00C93A6A"/>
    <w:rsid w:val="00C950A9"/>
    <w:rsid w:val="00C95756"/>
    <w:rsid w:val="00C96BDA"/>
    <w:rsid w:val="00C96D42"/>
    <w:rsid w:val="00C972DC"/>
    <w:rsid w:val="00CA0C45"/>
    <w:rsid w:val="00CA0EF4"/>
    <w:rsid w:val="00CA15F8"/>
    <w:rsid w:val="00CA2387"/>
    <w:rsid w:val="00CA26B0"/>
    <w:rsid w:val="00CA3103"/>
    <w:rsid w:val="00CA356D"/>
    <w:rsid w:val="00CA53E8"/>
    <w:rsid w:val="00CA5730"/>
    <w:rsid w:val="00CA6863"/>
    <w:rsid w:val="00CA6C0C"/>
    <w:rsid w:val="00CA747F"/>
    <w:rsid w:val="00CA7912"/>
    <w:rsid w:val="00CB0B34"/>
    <w:rsid w:val="00CB1985"/>
    <w:rsid w:val="00CB271B"/>
    <w:rsid w:val="00CB2EC4"/>
    <w:rsid w:val="00CB330C"/>
    <w:rsid w:val="00CB33E8"/>
    <w:rsid w:val="00CB347C"/>
    <w:rsid w:val="00CB373F"/>
    <w:rsid w:val="00CB382C"/>
    <w:rsid w:val="00CB3B87"/>
    <w:rsid w:val="00CB4FDC"/>
    <w:rsid w:val="00CB5DFA"/>
    <w:rsid w:val="00CB67CE"/>
    <w:rsid w:val="00CB773F"/>
    <w:rsid w:val="00CB7C00"/>
    <w:rsid w:val="00CC3FA4"/>
    <w:rsid w:val="00CC40A4"/>
    <w:rsid w:val="00CC493E"/>
    <w:rsid w:val="00CC49E5"/>
    <w:rsid w:val="00CC4B6B"/>
    <w:rsid w:val="00CC65D6"/>
    <w:rsid w:val="00CC6A8E"/>
    <w:rsid w:val="00CC7711"/>
    <w:rsid w:val="00CC7D7D"/>
    <w:rsid w:val="00CD0181"/>
    <w:rsid w:val="00CD236B"/>
    <w:rsid w:val="00CD2AD5"/>
    <w:rsid w:val="00CD2E90"/>
    <w:rsid w:val="00CD3B3F"/>
    <w:rsid w:val="00CD41D9"/>
    <w:rsid w:val="00CD5119"/>
    <w:rsid w:val="00CD7122"/>
    <w:rsid w:val="00CD74D5"/>
    <w:rsid w:val="00CD7B79"/>
    <w:rsid w:val="00CE01F9"/>
    <w:rsid w:val="00CE058E"/>
    <w:rsid w:val="00CE08A7"/>
    <w:rsid w:val="00CE0DC2"/>
    <w:rsid w:val="00CE1417"/>
    <w:rsid w:val="00CE1636"/>
    <w:rsid w:val="00CE1CDA"/>
    <w:rsid w:val="00CE2E8A"/>
    <w:rsid w:val="00CE38F9"/>
    <w:rsid w:val="00CE4250"/>
    <w:rsid w:val="00CE4668"/>
    <w:rsid w:val="00CE4CCC"/>
    <w:rsid w:val="00CE5350"/>
    <w:rsid w:val="00CE65D0"/>
    <w:rsid w:val="00CF0CBB"/>
    <w:rsid w:val="00CF1013"/>
    <w:rsid w:val="00CF1089"/>
    <w:rsid w:val="00CF1DD1"/>
    <w:rsid w:val="00CF25E7"/>
    <w:rsid w:val="00CF3D7F"/>
    <w:rsid w:val="00CF4ACC"/>
    <w:rsid w:val="00CF4DBE"/>
    <w:rsid w:val="00CF5C66"/>
    <w:rsid w:val="00CF6D98"/>
    <w:rsid w:val="00CF7790"/>
    <w:rsid w:val="00D00197"/>
    <w:rsid w:val="00D00526"/>
    <w:rsid w:val="00D00BC9"/>
    <w:rsid w:val="00D02772"/>
    <w:rsid w:val="00D03AFC"/>
    <w:rsid w:val="00D03D1A"/>
    <w:rsid w:val="00D041D4"/>
    <w:rsid w:val="00D046CF"/>
    <w:rsid w:val="00D04C22"/>
    <w:rsid w:val="00D04EAC"/>
    <w:rsid w:val="00D05580"/>
    <w:rsid w:val="00D05C2A"/>
    <w:rsid w:val="00D06644"/>
    <w:rsid w:val="00D07225"/>
    <w:rsid w:val="00D07370"/>
    <w:rsid w:val="00D1046A"/>
    <w:rsid w:val="00D11F6B"/>
    <w:rsid w:val="00D12743"/>
    <w:rsid w:val="00D1443D"/>
    <w:rsid w:val="00D1508B"/>
    <w:rsid w:val="00D165D7"/>
    <w:rsid w:val="00D16F84"/>
    <w:rsid w:val="00D1742C"/>
    <w:rsid w:val="00D177B0"/>
    <w:rsid w:val="00D17CC1"/>
    <w:rsid w:val="00D203EF"/>
    <w:rsid w:val="00D20EBB"/>
    <w:rsid w:val="00D217CB"/>
    <w:rsid w:val="00D22557"/>
    <w:rsid w:val="00D23D0E"/>
    <w:rsid w:val="00D2410E"/>
    <w:rsid w:val="00D2449C"/>
    <w:rsid w:val="00D24D39"/>
    <w:rsid w:val="00D2563D"/>
    <w:rsid w:val="00D259E6"/>
    <w:rsid w:val="00D25E53"/>
    <w:rsid w:val="00D25F61"/>
    <w:rsid w:val="00D2741F"/>
    <w:rsid w:val="00D27896"/>
    <w:rsid w:val="00D27B2B"/>
    <w:rsid w:val="00D27E0A"/>
    <w:rsid w:val="00D30721"/>
    <w:rsid w:val="00D30867"/>
    <w:rsid w:val="00D31830"/>
    <w:rsid w:val="00D31844"/>
    <w:rsid w:val="00D31A95"/>
    <w:rsid w:val="00D31C87"/>
    <w:rsid w:val="00D31F0A"/>
    <w:rsid w:val="00D327C0"/>
    <w:rsid w:val="00D3303A"/>
    <w:rsid w:val="00D33062"/>
    <w:rsid w:val="00D33429"/>
    <w:rsid w:val="00D3355F"/>
    <w:rsid w:val="00D340C0"/>
    <w:rsid w:val="00D3517B"/>
    <w:rsid w:val="00D35563"/>
    <w:rsid w:val="00D35716"/>
    <w:rsid w:val="00D36B2C"/>
    <w:rsid w:val="00D406CE"/>
    <w:rsid w:val="00D408DD"/>
    <w:rsid w:val="00D40BAA"/>
    <w:rsid w:val="00D40E38"/>
    <w:rsid w:val="00D41330"/>
    <w:rsid w:val="00D413CD"/>
    <w:rsid w:val="00D41769"/>
    <w:rsid w:val="00D41D5B"/>
    <w:rsid w:val="00D4209C"/>
    <w:rsid w:val="00D421AF"/>
    <w:rsid w:val="00D43B31"/>
    <w:rsid w:val="00D44688"/>
    <w:rsid w:val="00D46EFD"/>
    <w:rsid w:val="00D471BB"/>
    <w:rsid w:val="00D47615"/>
    <w:rsid w:val="00D47901"/>
    <w:rsid w:val="00D47EA6"/>
    <w:rsid w:val="00D47F6F"/>
    <w:rsid w:val="00D5272C"/>
    <w:rsid w:val="00D52863"/>
    <w:rsid w:val="00D52E7E"/>
    <w:rsid w:val="00D5361C"/>
    <w:rsid w:val="00D55859"/>
    <w:rsid w:val="00D55D5A"/>
    <w:rsid w:val="00D563D7"/>
    <w:rsid w:val="00D56ABB"/>
    <w:rsid w:val="00D604A9"/>
    <w:rsid w:val="00D60EC8"/>
    <w:rsid w:val="00D6101A"/>
    <w:rsid w:val="00D6147B"/>
    <w:rsid w:val="00D62897"/>
    <w:rsid w:val="00D62901"/>
    <w:rsid w:val="00D62ACA"/>
    <w:rsid w:val="00D63E73"/>
    <w:rsid w:val="00D63F5F"/>
    <w:rsid w:val="00D63FFD"/>
    <w:rsid w:val="00D66000"/>
    <w:rsid w:val="00D66A6F"/>
    <w:rsid w:val="00D67F19"/>
    <w:rsid w:val="00D706E6"/>
    <w:rsid w:val="00D70808"/>
    <w:rsid w:val="00D71A20"/>
    <w:rsid w:val="00D726A8"/>
    <w:rsid w:val="00D730D5"/>
    <w:rsid w:val="00D73D5C"/>
    <w:rsid w:val="00D75144"/>
    <w:rsid w:val="00D75E74"/>
    <w:rsid w:val="00D764AA"/>
    <w:rsid w:val="00D77157"/>
    <w:rsid w:val="00D77166"/>
    <w:rsid w:val="00D77365"/>
    <w:rsid w:val="00D77D57"/>
    <w:rsid w:val="00D806CC"/>
    <w:rsid w:val="00D80ADF"/>
    <w:rsid w:val="00D817FC"/>
    <w:rsid w:val="00D818BE"/>
    <w:rsid w:val="00D82178"/>
    <w:rsid w:val="00D83384"/>
    <w:rsid w:val="00D847A7"/>
    <w:rsid w:val="00D84DE1"/>
    <w:rsid w:val="00D85BE9"/>
    <w:rsid w:val="00D85C3E"/>
    <w:rsid w:val="00D8677E"/>
    <w:rsid w:val="00D868AB"/>
    <w:rsid w:val="00D86DC0"/>
    <w:rsid w:val="00D876BD"/>
    <w:rsid w:val="00D87CB5"/>
    <w:rsid w:val="00D87F65"/>
    <w:rsid w:val="00D90976"/>
    <w:rsid w:val="00D91E39"/>
    <w:rsid w:val="00D92E9E"/>
    <w:rsid w:val="00D938CA"/>
    <w:rsid w:val="00D93EC6"/>
    <w:rsid w:val="00D93FF6"/>
    <w:rsid w:val="00D945FC"/>
    <w:rsid w:val="00D94A22"/>
    <w:rsid w:val="00D96528"/>
    <w:rsid w:val="00D966B6"/>
    <w:rsid w:val="00DA0788"/>
    <w:rsid w:val="00DA0F85"/>
    <w:rsid w:val="00DA0FEF"/>
    <w:rsid w:val="00DA200C"/>
    <w:rsid w:val="00DA2F26"/>
    <w:rsid w:val="00DA3167"/>
    <w:rsid w:val="00DA3A23"/>
    <w:rsid w:val="00DA3DC3"/>
    <w:rsid w:val="00DA49B5"/>
    <w:rsid w:val="00DB078C"/>
    <w:rsid w:val="00DB0940"/>
    <w:rsid w:val="00DB0A36"/>
    <w:rsid w:val="00DB1DF5"/>
    <w:rsid w:val="00DB22BE"/>
    <w:rsid w:val="00DB3DBA"/>
    <w:rsid w:val="00DB4170"/>
    <w:rsid w:val="00DB422F"/>
    <w:rsid w:val="00DB4658"/>
    <w:rsid w:val="00DB4EC5"/>
    <w:rsid w:val="00DB4EE3"/>
    <w:rsid w:val="00DB4F60"/>
    <w:rsid w:val="00DB640A"/>
    <w:rsid w:val="00DB65CA"/>
    <w:rsid w:val="00DB68A7"/>
    <w:rsid w:val="00DB69CD"/>
    <w:rsid w:val="00DB6FBE"/>
    <w:rsid w:val="00DB749A"/>
    <w:rsid w:val="00DB7714"/>
    <w:rsid w:val="00DB789B"/>
    <w:rsid w:val="00DB7B4A"/>
    <w:rsid w:val="00DC030F"/>
    <w:rsid w:val="00DC0544"/>
    <w:rsid w:val="00DC0E24"/>
    <w:rsid w:val="00DC12C6"/>
    <w:rsid w:val="00DC17B7"/>
    <w:rsid w:val="00DC1F3A"/>
    <w:rsid w:val="00DC1F9D"/>
    <w:rsid w:val="00DC2382"/>
    <w:rsid w:val="00DC391B"/>
    <w:rsid w:val="00DC64A1"/>
    <w:rsid w:val="00DC7336"/>
    <w:rsid w:val="00DC7397"/>
    <w:rsid w:val="00DC7F94"/>
    <w:rsid w:val="00DD002E"/>
    <w:rsid w:val="00DD034B"/>
    <w:rsid w:val="00DD0AF3"/>
    <w:rsid w:val="00DD0B12"/>
    <w:rsid w:val="00DD20B7"/>
    <w:rsid w:val="00DD2915"/>
    <w:rsid w:val="00DD2A4A"/>
    <w:rsid w:val="00DD3020"/>
    <w:rsid w:val="00DD3A74"/>
    <w:rsid w:val="00DD4675"/>
    <w:rsid w:val="00DD51E9"/>
    <w:rsid w:val="00DD539A"/>
    <w:rsid w:val="00DD5891"/>
    <w:rsid w:val="00DD61C8"/>
    <w:rsid w:val="00DD7986"/>
    <w:rsid w:val="00DE1BA7"/>
    <w:rsid w:val="00DE1C77"/>
    <w:rsid w:val="00DE1F25"/>
    <w:rsid w:val="00DE2742"/>
    <w:rsid w:val="00DE382D"/>
    <w:rsid w:val="00DE54E9"/>
    <w:rsid w:val="00DE689F"/>
    <w:rsid w:val="00DE7308"/>
    <w:rsid w:val="00DE78F9"/>
    <w:rsid w:val="00DF0968"/>
    <w:rsid w:val="00DF1077"/>
    <w:rsid w:val="00DF2DA7"/>
    <w:rsid w:val="00DF2E5E"/>
    <w:rsid w:val="00DF3374"/>
    <w:rsid w:val="00DF3473"/>
    <w:rsid w:val="00DF466F"/>
    <w:rsid w:val="00DF4BE7"/>
    <w:rsid w:val="00DF4BF0"/>
    <w:rsid w:val="00DF4E6C"/>
    <w:rsid w:val="00DF4E84"/>
    <w:rsid w:val="00DF5302"/>
    <w:rsid w:val="00DF53F7"/>
    <w:rsid w:val="00DF5AFC"/>
    <w:rsid w:val="00DF5BD5"/>
    <w:rsid w:val="00DF5EE9"/>
    <w:rsid w:val="00DF6239"/>
    <w:rsid w:val="00DF6376"/>
    <w:rsid w:val="00E00206"/>
    <w:rsid w:val="00E00611"/>
    <w:rsid w:val="00E015CB"/>
    <w:rsid w:val="00E01E57"/>
    <w:rsid w:val="00E05200"/>
    <w:rsid w:val="00E06F59"/>
    <w:rsid w:val="00E12695"/>
    <w:rsid w:val="00E15FF4"/>
    <w:rsid w:val="00E1636C"/>
    <w:rsid w:val="00E16C26"/>
    <w:rsid w:val="00E171BE"/>
    <w:rsid w:val="00E17DC7"/>
    <w:rsid w:val="00E17DEF"/>
    <w:rsid w:val="00E17FD1"/>
    <w:rsid w:val="00E2018A"/>
    <w:rsid w:val="00E20294"/>
    <w:rsid w:val="00E20590"/>
    <w:rsid w:val="00E209E7"/>
    <w:rsid w:val="00E20D1D"/>
    <w:rsid w:val="00E2351C"/>
    <w:rsid w:val="00E23DCD"/>
    <w:rsid w:val="00E248DF"/>
    <w:rsid w:val="00E25851"/>
    <w:rsid w:val="00E25CBB"/>
    <w:rsid w:val="00E26599"/>
    <w:rsid w:val="00E2663A"/>
    <w:rsid w:val="00E26FE9"/>
    <w:rsid w:val="00E2701F"/>
    <w:rsid w:val="00E31459"/>
    <w:rsid w:val="00E32515"/>
    <w:rsid w:val="00E32539"/>
    <w:rsid w:val="00E33CE5"/>
    <w:rsid w:val="00E344AE"/>
    <w:rsid w:val="00E34DD3"/>
    <w:rsid w:val="00E35060"/>
    <w:rsid w:val="00E35D53"/>
    <w:rsid w:val="00E3648D"/>
    <w:rsid w:val="00E36896"/>
    <w:rsid w:val="00E37A78"/>
    <w:rsid w:val="00E37A85"/>
    <w:rsid w:val="00E40025"/>
    <w:rsid w:val="00E41349"/>
    <w:rsid w:val="00E41E10"/>
    <w:rsid w:val="00E42E69"/>
    <w:rsid w:val="00E434C4"/>
    <w:rsid w:val="00E43D1F"/>
    <w:rsid w:val="00E44098"/>
    <w:rsid w:val="00E45E2C"/>
    <w:rsid w:val="00E45ECD"/>
    <w:rsid w:val="00E46D7A"/>
    <w:rsid w:val="00E47972"/>
    <w:rsid w:val="00E47DBB"/>
    <w:rsid w:val="00E50A13"/>
    <w:rsid w:val="00E50B27"/>
    <w:rsid w:val="00E50E9E"/>
    <w:rsid w:val="00E513E4"/>
    <w:rsid w:val="00E53E0B"/>
    <w:rsid w:val="00E545BE"/>
    <w:rsid w:val="00E54C72"/>
    <w:rsid w:val="00E55658"/>
    <w:rsid w:val="00E5601D"/>
    <w:rsid w:val="00E560A3"/>
    <w:rsid w:val="00E56F97"/>
    <w:rsid w:val="00E57FA3"/>
    <w:rsid w:val="00E57FDC"/>
    <w:rsid w:val="00E606FF"/>
    <w:rsid w:val="00E619F8"/>
    <w:rsid w:val="00E6218E"/>
    <w:rsid w:val="00E62469"/>
    <w:rsid w:val="00E62759"/>
    <w:rsid w:val="00E62D49"/>
    <w:rsid w:val="00E62F16"/>
    <w:rsid w:val="00E63243"/>
    <w:rsid w:val="00E633D0"/>
    <w:rsid w:val="00E63580"/>
    <w:rsid w:val="00E6471C"/>
    <w:rsid w:val="00E669CB"/>
    <w:rsid w:val="00E6785D"/>
    <w:rsid w:val="00E71236"/>
    <w:rsid w:val="00E716C8"/>
    <w:rsid w:val="00E718C2"/>
    <w:rsid w:val="00E71B27"/>
    <w:rsid w:val="00E729CD"/>
    <w:rsid w:val="00E73C94"/>
    <w:rsid w:val="00E752F0"/>
    <w:rsid w:val="00E75618"/>
    <w:rsid w:val="00E75716"/>
    <w:rsid w:val="00E75E1E"/>
    <w:rsid w:val="00E76A6E"/>
    <w:rsid w:val="00E76DA3"/>
    <w:rsid w:val="00E7774D"/>
    <w:rsid w:val="00E77E92"/>
    <w:rsid w:val="00E8083F"/>
    <w:rsid w:val="00E80CF4"/>
    <w:rsid w:val="00E81180"/>
    <w:rsid w:val="00E8121F"/>
    <w:rsid w:val="00E81773"/>
    <w:rsid w:val="00E82E31"/>
    <w:rsid w:val="00E83B90"/>
    <w:rsid w:val="00E850FB"/>
    <w:rsid w:val="00E85E15"/>
    <w:rsid w:val="00E85EF5"/>
    <w:rsid w:val="00E866E1"/>
    <w:rsid w:val="00E91575"/>
    <w:rsid w:val="00E93995"/>
    <w:rsid w:val="00E9510C"/>
    <w:rsid w:val="00E952F6"/>
    <w:rsid w:val="00E95879"/>
    <w:rsid w:val="00E9593A"/>
    <w:rsid w:val="00E961B3"/>
    <w:rsid w:val="00E9770D"/>
    <w:rsid w:val="00E977F8"/>
    <w:rsid w:val="00E97953"/>
    <w:rsid w:val="00E97C62"/>
    <w:rsid w:val="00E97DB3"/>
    <w:rsid w:val="00EA2E0C"/>
    <w:rsid w:val="00EA34DA"/>
    <w:rsid w:val="00EA3A9A"/>
    <w:rsid w:val="00EA3B2A"/>
    <w:rsid w:val="00EA46F5"/>
    <w:rsid w:val="00EA4DF1"/>
    <w:rsid w:val="00EA4FC2"/>
    <w:rsid w:val="00EA5F96"/>
    <w:rsid w:val="00EA7679"/>
    <w:rsid w:val="00EA7B86"/>
    <w:rsid w:val="00EA7EC8"/>
    <w:rsid w:val="00EB1AC6"/>
    <w:rsid w:val="00EB1C1B"/>
    <w:rsid w:val="00EB1C69"/>
    <w:rsid w:val="00EB1E44"/>
    <w:rsid w:val="00EB2071"/>
    <w:rsid w:val="00EB2207"/>
    <w:rsid w:val="00EB2C51"/>
    <w:rsid w:val="00EB32B0"/>
    <w:rsid w:val="00EB4DD0"/>
    <w:rsid w:val="00EB556C"/>
    <w:rsid w:val="00EB607D"/>
    <w:rsid w:val="00EC0400"/>
    <w:rsid w:val="00EC05DC"/>
    <w:rsid w:val="00EC10E4"/>
    <w:rsid w:val="00EC1BF9"/>
    <w:rsid w:val="00EC1C96"/>
    <w:rsid w:val="00EC2852"/>
    <w:rsid w:val="00EC2CF3"/>
    <w:rsid w:val="00EC2E15"/>
    <w:rsid w:val="00EC311A"/>
    <w:rsid w:val="00EC341D"/>
    <w:rsid w:val="00EC3611"/>
    <w:rsid w:val="00EC3AEA"/>
    <w:rsid w:val="00EC3DCF"/>
    <w:rsid w:val="00EC41AE"/>
    <w:rsid w:val="00EC49AE"/>
    <w:rsid w:val="00EC5D2A"/>
    <w:rsid w:val="00EC64D2"/>
    <w:rsid w:val="00EC6695"/>
    <w:rsid w:val="00EC6908"/>
    <w:rsid w:val="00EC7273"/>
    <w:rsid w:val="00EC76D6"/>
    <w:rsid w:val="00ED099B"/>
    <w:rsid w:val="00ED09E4"/>
    <w:rsid w:val="00ED1A38"/>
    <w:rsid w:val="00ED1EE6"/>
    <w:rsid w:val="00ED1F4F"/>
    <w:rsid w:val="00ED2A21"/>
    <w:rsid w:val="00ED2E5B"/>
    <w:rsid w:val="00ED39F7"/>
    <w:rsid w:val="00ED407F"/>
    <w:rsid w:val="00ED43DF"/>
    <w:rsid w:val="00ED49E7"/>
    <w:rsid w:val="00ED4A5E"/>
    <w:rsid w:val="00ED66B9"/>
    <w:rsid w:val="00ED707B"/>
    <w:rsid w:val="00EE2350"/>
    <w:rsid w:val="00EE2B9B"/>
    <w:rsid w:val="00EE37C8"/>
    <w:rsid w:val="00EE55E5"/>
    <w:rsid w:val="00EE6098"/>
    <w:rsid w:val="00EF06C1"/>
    <w:rsid w:val="00EF0769"/>
    <w:rsid w:val="00EF0F37"/>
    <w:rsid w:val="00EF2DE9"/>
    <w:rsid w:val="00EF2F62"/>
    <w:rsid w:val="00EF32F8"/>
    <w:rsid w:val="00EF448F"/>
    <w:rsid w:val="00EF4FF0"/>
    <w:rsid w:val="00EF52A5"/>
    <w:rsid w:val="00EF5625"/>
    <w:rsid w:val="00EF5DB9"/>
    <w:rsid w:val="00EF606F"/>
    <w:rsid w:val="00F00B2B"/>
    <w:rsid w:val="00F00FB7"/>
    <w:rsid w:val="00F016F3"/>
    <w:rsid w:val="00F02351"/>
    <w:rsid w:val="00F032DA"/>
    <w:rsid w:val="00F03328"/>
    <w:rsid w:val="00F0348B"/>
    <w:rsid w:val="00F035A4"/>
    <w:rsid w:val="00F037F8"/>
    <w:rsid w:val="00F03F77"/>
    <w:rsid w:val="00F04F65"/>
    <w:rsid w:val="00F05AAA"/>
    <w:rsid w:val="00F0677E"/>
    <w:rsid w:val="00F0709A"/>
    <w:rsid w:val="00F071AD"/>
    <w:rsid w:val="00F07AB7"/>
    <w:rsid w:val="00F110D1"/>
    <w:rsid w:val="00F121E4"/>
    <w:rsid w:val="00F12DAD"/>
    <w:rsid w:val="00F131B9"/>
    <w:rsid w:val="00F14683"/>
    <w:rsid w:val="00F15002"/>
    <w:rsid w:val="00F15259"/>
    <w:rsid w:val="00F15517"/>
    <w:rsid w:val="00F1573D"/>
    <w:rsid w:val="00F15D08"/>
    <w:rsid w:val="00F15F18"/>
    <w:rsid w:val="00F17178"/>
    <w:rsid w:val="00F17E96"/>
    <w:rsid w:val="00F209B3"/>
    <w:rsid w:val="00F218E0"/>
    <w:rsid w:val="00F22040"/>
    <w:rsid w:val="00F22C7F"/>
    <w:rsid w:val="00F235A4"/>
    <w:rsid w:val="00F23873"/>
    <w:rsid w:val="00F248A8"/>
    <w:rsid w:val="00F253BB"/>
    <w:rsid w:val="00F258AB"/>
    <w:rsid w:val="00F25EB4"/>
    <w:rsid w:val="00F25F30"/>
    <w:rsid w:val="00F264B9"/>
    <w:rsid w:val="00F26728"/>
    <w:rsid w:val="00F2685B"/>
    <w:rsid w:val="00F272A1"/>
    <w:rsid w:val="00F27A0D"/>
    <w:rsid w:val="00F27A34"/>
    <w:rsid w:val="00F30312"/>
    <w:rsid w:val="00F33998"/>
    <w:rsid w:val="00F33D6B"/>
    <w:rsid w:val="00F34686"/>
    <w:rsid w:val="00F349FC"/>
    <w:rsid w:val="00F34ACE"/>
    <w:rsid w:val="00F355FC"/>
    <w:rsid w:val="00F35724"/>
    <w:rsid w:val="00F373DE"/>
    <w:rsid w:val="00F37A91"/>
    <w:rsid w:val="00F404FD"/>
    <w:rsid w:val="00F406FA"/>
    <w:rsid w:val="00F40C0F"/>
    <w:rsid w:val="00F40D8D"/>
    <w:rsid w:val="00F40FB3"/>
    <w:rsid w:val="00F410A0"/>
    <w:rsid w:val="00F4214C"/>
    <w:rsid w:val="00F455DD"/>
    <w:rsid w:val="00F4744A"/>
    <w:rsid w:val="00F479C5"/>
    <w:rsid w:val="00F47BB9"/>
    <w:rsid w:val="00F47F81"/>
    <w:rsid w:val="00F47FD0"/>
    <w:rsid w:val="00F503FF"/>
    <w:rsid w:val="00F52AD4"/>
    <w:rsid w:val="00F531F5"/>
    <w:rsid w:val="00F5359E"/>
    <w:rsid w:val="00F54118"/>
    <w:rsid w:val="00F54948"/>
    <w:rsid w:val="00F54BD5"/>
    <w:rsid w:val="00F5570B"/>
    <w:rsid w:val="00F563E3"/>
    <w:rsid w:val="00F56E92"/>
    <w:rsid w:val="00F57978"/>
    <w:rsid w:val="00F6015D"/>
    <w:rsid w:val="00F61546"/>
    <w:rsid w:val="00F6217C"/>
    <w:rsid w:val="00F628B2"/>
    <w:rsid w:val="00F63D6E"/>
    <w:rsid w:val="00F640C6"/>
    <w:rsid w:val="00F64141"/>
    <w:rsid w:val="00F64A06"/>
    <w:rsid w:val="00F65EA0"/>
    <w:rsid w:val="00F66762"/>
    <w:rsid w:val="00F67309"/>
    <w:rsid w:val="00F70045"/>
    <w:rsid w:val="00F70342"/>
    <w:rsid w:val="00F70CE8"/>
    <w:rsid w:val="00F71469"/>
    <w:rsid w:val="00F71559"/>
    <w:rsid w:val="00F72834"/>
    <w:rsid w:val="00F72923"/>
    <w:rsid w:val="00F7374B"/>
    <w:rsid w:val="00F73CAF"/>
    <w:rsid w:val="00F73E45"/>
    <w:rsid w:val="00F73FA2"/>
    <w:rsid w:val="00F741B3"/>
    <w:rsid w:val="00F747DB"/>
    <w:rsid w:val="00F755EB"/>
    <w:rsid w:val="00F763B0"/>
    <w:rsid w:val="00F76D9B"/>
    <w:rsid w:val="00F8110A"/>
    <w:rsid w:val="00F83367"/>
    <w:rsid w:val="00F83AFD"/>
    <w:rsid w:val="00F83BC0"/>
    <w:rsid w:val="00F83C0E"/>
    <w:rsid w:val="00F84834"/>
    <w:rsid w:val="00F84CEB"/>
    <w:rsid w:val="00F85203"/>
    <w:rsid w:val="00F86AD1"/>
    <w:rsid w:val="00F8732D"/>
    <w:rsid w:val="00F915E0"/>
    <w:rsid w:val="00F917F0"/>
    <w:rsid w:val="00F928D3"/>
    <w:rsid w:val="00F934BF"/>
    <w:rsid w:val="00F93C38"/>
    <w:rsid w:val="00F95856"/>
    <w:rsid w:val="00F96D98"/>
    <w:rsid w:val="00FA0308"/>
    <w:rsid w:val="00FA0429"/>
    <w:rsid w:val="00FA0826"/>
    <w:rsid w:val="00FA0BE5"/>
    <w:rsid w:val="00FA13F9"/>
    <w:rsid w:val="00FA204E"/>
    <w:rsid w:val="00FA25EF"/>
    <w:rsid w:val="00FA33C1"/>
    <w:rsid w:val="00FA3BF2"/>
    <w:rsid w:val="00FA4FAB"/>
    <w:rsid w:val="00FA5DE3"/>
    <w:rsid w:val="00FA6083"/>
    <w:rsid w:val="00FA700D"/>
    <w:rsid w:val="00FA74CA"/>
    <w:rsid w:val="00FA7986"/>
    <w:rsid w:val="00FB0301"/>
    <w:rsid w:val="00FB1B12"/>
    <w:rsid w:val="00FB2CFE"/>
    <w:rsid w:val="00FB3D74"/>
    <w:rsid w:val="00FB5B3A"/>
    <w:rsid w:val="00FB5FDA"/>
    <w:rsid w:val="00FB794D"/>
    <w:rsid w:val="00FC0537"/>
    <w:rsid w:val="00FC06C0"/>
    <w:rsid w:val="00FC0D3F"/>
    <w:rsid w:val="00FC1484"/>
    <w:rsid w:val="00FC162B"/>
    <w:rsid w:val="00FC1820"/>
    <w:rsid w:val="00FC1A2C"/>
    <w:rsid w:val="00FC28ED"/>
    <w:rsid w:val="00FC315A"/>
    <w:rsid w:val="00FC436E"/>
    <w:rsid w:val="00FC4B3E"/>
    <w:rsid w:val="00FC65AF"/>
    <w:rsid w:val="00FC7AE3"/>
    <w:rsid w:val="00FC7C64"/>
    <w:rsid w:val="00FC7D16"/>
    <w:rsid w:val="00FD00BE"/>
    <w:rsid w:val="00FD01A3"/>
    <w:rsid w:val="00FD0715"/>
    <w:rsid w:val="00FD0E24"/>
    <w:rsid w:val="00FD1038"/>
    <w:rsid w:val="00FD181E"/>
    <w:rsid w:val="00FD1BCA"/>
    <w:rsid w:val="00FD29EE"/>
    <w:rsid w:val="00FD2FA3"/>
    <w:rsid w:val="00FD3BCC"/>
    <w:rsid w:val="00FD44CB"/>
    <w:rsid w:val="00FD570C"/>
    <w:rsid w:val="00FD6617"/>
    <w:rsid w:val="00FD66F4"/>
    <w:rsid w:val="00FD6C8F"/>
    <w:rsid w:val="00FD73DB"/>
    <w:rsid w:val="00FD7B95"/>
    <w:rsid w:val="00FE0466"/>
    <w:rsid w:val="00FE0859"/>
    <w:rsid w:val="00FE0B38"/>
    <w:rsid w:val="00FE1076"/>
    <w:rsid w:val="00FE12DD"/>
    <w:rsid w:val="00FE1540"/>
    <w:rsid w:val="00FE15E4"/>
    <w:rsid w:val="00FE2494"/>
    <w:rsid w:val="00FE2DB7"/>
    <w:rsid w:val="00FE479D"/>
    <w:rsid w:val="00FE498A"/>
    <w:rsid w:val="00FE526A"/>
    <w:rsid w:val="00FE5459"/>
    <w:rsid w:val="00FE6590"/>
    <w:rsid w:val="00FF2228"/>
    <w:rsid w:val="00FF368C"/>
    <w:rsid w:val="00FF3D54"/>
    <w:rsid w:val="00FF5AA8"/>
    <w:rsid w:val="00FF6C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AE13D"/>
  <w15:docId w15:val="{78F33368-5CE4-4CD7-88D8-F1E63F80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06C"/>
    <w:pPr>
      <w:spacing w:after="0" w:line="240" w:lineRule="auto"/>
      <w:jc w:val="both"/>
    </w:pPr>
    <w:rPr>
      <w:rFonts w:ascii="Arial" w:eastAsiaTheme="minorEastAsia" w:hAnsi="Arial"/>
      <w:lang w:val="es-MX" w:eastAsia="es-MX"/>
    </w:rPr>
  </w:style>
  <w:style w:type="paragraph" w:styleId="Ttulo1">
    <w:name w:val="heading 1"/>
    <w:basedOn w:val="Normal"/>
    <w:next w:val="Normal"/>
    <w:link w:val="Ttulo1Car"/>
    <w:uiPriority w:val="9"/>
    <w:qFormat/>
    <w:rsid w:val="00600223"/>
    <w:pPr>
      <w:keepNext/>
      <w:keepLines/>
      <w:spacing w:before="24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45406C"/>
    <w:pPr>
      <w:keepNext/>
      <w:keepLines/>
      <w:spacing w:before="12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45406C"/>
    <w:pPr>
      <w:keepNext/>
      <w:keepLines/>
      <w:outlineLvl w:val="2"/>
    </w:pPr>
    <w:rPr>
      <w:rFonts w:eastAsia="Times New Roman" w:cs="Times New Roman"/>
      <w:b/>
      <w:szCs w:val="24"/>
      <w:lang w:val="es-ES" w:eastAsia="en-US"/>
    </w:rPr>
  </w:style>
  <w:style w:type="paragraph" w:styleId="Ttulo4">
    <w:name w:val="heading 4"/>
    <w:basedOn w:val="Normal"/>
    <w:next w:val="Normal"/>
    <w:link w:val="Ttulo4Car"/>
    <w:uiPriority w:val="9"/>
    <w:unhideWhenUsed/>
    <w:qFormat/>
    <w:rsid w:val="00044ED0"/>
    <w:pPr>
      <w:keepNext/>
      <w:keepLines/>
      <w:jc w:val="center"/>
      <w:outlineLvl w:val="3"/>
    </w:pPr>
    <w:rPr>
      <w:rFonts w:eastAsiaTheme="majorEastAsia" w:cstheme="majorBidi"/>
      <w:b/>
      <w:iCs/>
      <w:sz w:val="20"/>
    </w:rPr>
  </w:style>
  <w:style w:type="paragraph" w:styleId="Ttulo5">
    <w:name w:val="heading 5"/>
    <w:basedOn w:val="Normal"/>
    <w:next w:val="Normal"/>
    <w:link w:val="Ttulo5Car"/>
    <w:uiPriority w:val="9"/>
    <w:semiHidden/>
    <w:unhideWhenUsed/>
    <w:qFormat/>
    <w:rsid w:val="0039083F"/>
    <w:pPr>
      <w:keepNext/>
      <w:keepLines/>
      <w:spacing w:before="220" w:after="40" w:line="259" w:lineRule="auto"/>
      <w:jc w:val="left"/>
      <w:outlineLvl w:val="4"/>
    </w:pPr>
    <w:rPr>
      <w:rFonts w:ascii="Calibri" w:eastAsia="Calibri" w:hAnsi="Calibri" w:cs="Calibri"/>
      <w:b/>
    </w:rPr>
  </w:style>
  <w:style w:type="paragraph" w:styleId="Ttulo6">
    <w:name w:val="heading 6"/>
    <w:basedOn w:val="Normal"/>
    <w:next w:val="Normal"/>
    <w:link w:val="Ttulo6Car"/>
    <w:uiPriority w:val="9"/>
    <w:semiHidden/>
    <w:unhideWhenUsed/>
    <w:qFormat/>
    <w:rsid w:val="0039083F"/>
    <w:pPr>
      <w:keepNext/>
      <w:keepLines/>
      <w:spacing w:before="200" w:after="40" w:line="259" w:lineRule="auto"/>
      <w:jc w:val="left"/>
      <w:outlineLvl w:val="5"/>
    </w:pPr>
    <w:rPr>
      <w:rFonts w:ascii="Calibri" w:eastAsia="Calibri" w:hAnsi="Calibri" w:cs="Calibri"/>
      <w:b/>
      <w:sz w:val="20"/>
      <w:szCs w:val="20"/>
    </w:rPr>
  </w:style>
  <w:style w:type="paragraph" w:styleId="Ttulo7">
    <w:name w:val="heading 7"/>
    <w:basedOn w:val="Normal"/>
    <w:next w:val="Normal"/>
    <w:link w:val="Ttulo7Car"/>
    <w:uiPriority w:val="9"/>
    <w:unhideWhenUsed/>
    <w:qFormat/>
    <w:rsid w:val="0039083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52F0"/>
    <w:pPr>
      <w:tabs>
        <w:tab w:val="center" w:pos="4252"/>
        <w:tab w:val="right" w:pos="8504"/>
      </w:tabs>
    </w:pPr>
  </w:style>
  <w:style w:type="character" w:customStyle="1" w:styleId="EncabezadoCar">
    <w:name w:val="Encabezado Car"/>
    <w:basedOn w:val="Fuentedeprrafopredeter"/>
    <w:link w:val="Encabezado"/>
    <w:uiPriority w:val="99"/>
    <w:rsid w:val="00E752F0"/>
  </w:style>
  <w:style w:type="paragraph" w:styleId="Piedepgina">
    <w:name w:val="footer"/>
    <w:basedOn w:val="Normal"/>
    <w:link w:val="PiedepginaCar"/>
    <w:uiPriority w:val="99"/>
    <w:unhideWhenUsed/>
    <w:rsid w:val="00E752F0"/>
    <w:pPr>
      <w:tabs>
        <w:tab w:val="center" w:pos="4252"/>
        <w:tab w:val="right" w:pos="8504"/>
      </w:tabs>
    </w:pPr>
  </w:style>
  <w:style w:type="character" w:customStyle="1" w:styleId="PiedepginaCar">
    <w:name w:val="Pie de página Car"/>
    <w:basedOn w:val="Fuentedeprrafopredeter"/>
    <w:link w:val="Piedepgina"/>
    <w:uiPriority w:val="99"/>
    <w:rsid w:val="00E752F0"/>
  </w:style>
  <w:style w:type="paragraph" w:styleId="Prrafodelista">
    <w:name w:val="List Paragraph"/>
    <w:aliases w:val="4 Párrafo de lista,Figuras,Dot pt,No Spacing1,List Paragraph Char Char Char,Indicator Text,List Paragraph1,Numbered Para 1,DH1,Listas,lp1,Light Grid - Accent 31,Párrafo Título 3,Titulo 2 tecso"/>
    <w:basedOn w:val="Normal"/>
    <w:link w:val="PrrafodelistaCar"/>
    <w:uiPriority w:val="1"/>
    <w:qFormat/>
    <w:rsid w:val="001C2304"/>
    <w:pPr>
      <w:ind w:left="720"/>
      <w:contextualSpacing/>
    </w:pPr>
  </w:style>
  <w:style w:type="paragraph" w:styleId="Textodeglobo">
    <w:name w:val="Balloon Text"/>
    <w:basedOn w:val="Normal"/>
    <w:link w:val="TextodegloboCar"/>
    <w:uiPriority w:val="99"/>
    <w:semiHidden/>
    <w:unhideWhenUsed/>
    <w:rsid w:val="009118F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18F6"/>
    <w:rPr>
      <w:rFonts w:ascii="Segoe UI" w:eastAsiaTheme="minorEastAsia" w:hAnsi="Segoe UI" w:cs="Segoe UI"/>
      <w:sz w:val="18"/>
      <w:szCs w:val="18"/>
      <w:lang w:val="es-MX" w:eastAsia="es-MX"/>
    </w:rPr>
  </w:style>
  <w:style w:type="table" w:styleId="Tablaconcuadrcula">
    <w:name w:val="Table Grid"/>
    <w:basedOn w:val="Tablanormal"/>
    <w:uiPriority w:val="39"/>
    <w:rsid w:val="00AA7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F7337"/>
    <w:rPr>
      <w:sz w:val="20"/>
      <w:szCs w:val="20"/>
    </w:rPr>
  </w:style>
  <w:style w:type="character" w:customStyle="1" w:styleId="TextonotapieCar">
    <w:name w:val="Texto nota pie Car"/>
    <w:basedOn w:val="Fuentedeprrafopredeter"/>
    <w:link w:val="Textonotapie"/>
    <w:uiPriority w:val="99"/>
    <w:semiHidden/>
    <w:rsid w:val="003F7337"/>
    <w:rPr>
      <w:rFonts w:eastAsiaTheme="minorEastAsia"/>
      <w:sz w:val="20"/>
      <w:szCs w:val="20"/>
      <w:lang w:val="es-MX" w:eastAsia="es-MX"/>
    </w:rPr>
  </w:style>
  <w:style w:type="character" w:styleId="Refdenotaalpie">
    <w:name w:val="footnote reference"/>
    <w:basedOn w:val="Fuentedeprrafopredeter"/>
    <w:uiPriority w:val="99"/>
    <w:semiHidden/>
    <w:unhideWhenUsed/>
    <w:rsid w:val="003F7337"/>
    <w:rPr>
      <w:vertAlign w:val="superscript"/>
    </w:rPr>
  </w:style>
  <w:style w:type="character" w:styleId="Hipervnculo">
    <w:name w:val="Hyperlink"/>
    <w:basedOn w:val="Fuentedeprrafopredeter"/>
    <w:uiPriority w:val="99"/>
    <w:unhideWhenUsed/>
    <w:rsid w:val="006839F3"/>
    <w:rPr>
      <w:color w:val="0000FF"/>
      <w:u w:val="single"/>
    </w:rPr>
  </w:style>
  <w:style w:type="character" w:customStyle="1" w:styleId="Ttulo1Car">
    <w:name w:val="Título 1 Car"/>
    <w:basedOn w:val="Fuentedeprrafopredeter"/>
    <w:link w:val="Ttulo1"/>
    <w:uiPriority w:val="9"/>
    <w:rsid w:val="00600223"/>
    <w:rPr>
      <w:rFonts w:ascii="Arial" w:eastAsiaTheme="majorEastAsia" w:hAnsi="Arial" w:cstheme="majorBidi"/>
      <w:b/>
      <w:szCs w:val="32"/>
      <w:lang w:val="es-MX" w:eastAsia="es-MX"/>
    </w:rPr>
  </w:style>
  <w:style w:type="character" w:customStyle="1" w:styleId="Ttulo2Car">
    <w:name w:val="Título 2 Car"/>
    <w:basedOn w:val="Fuentedeprrafopredeter"/>
    <w:link w:val="Ttulo2"/>
    <w:uiPriority w:val="9"/>
    <w:rsid w:val="0045406C"/>
    <w:rPr>
      <w:rFonts w:ascii="Arial" w:eastAsiaTheme="majorEastAsia" w:hAnsi="Arial" w:cstheme="majorBidi"/>
      <w:b/>
      <w:szCs w:val="26"/>
      <w:lang w:val="es-MX" w:eastAsia="es-MX"/>
    </w:rPr>
  </w:style>
  <w:style w:type="character" w:customStyle="1" w:styleId="Ttulo3Car">
    <w:name w:val="Título 3 Car"/>
    <w:basedOn w:val="Fuentedeprrafopredeter"/>
    <w:link w:val="Ttulo3"/>
    <w:uiPriority w:val="9"/>
    <w:rsid w:val="0045406C"/>
    <w:rPr>
      <w:rFonts w:ascii="Arial" w:eastAsia="Times New Roman" w:hAnsi="Arial" w:cs="Times New Roman"/>
      <w:b/>
      <w:szCs w:val="24"/>
    </w:rPr>
  </w:style>
  <w:style w:type="paragraph" w:styleId="Textoindependiente">
    <w:name w:val="Body Text"/>
    <w:basedOn w:val="Normal"/>
    <w:link w:val="TextoindependienteCar"/>
    <w:uiPriority w:val="1"/>
    <w:rsid w:val="00F40C0F"/>
    <w:pPr>
      <w:widowControl w:val="0"/>
      <w:autoSpaceDE w:val="0"/>
      <w:autoSpaceDN w:val="0"/>
    </w:pPr>
    <w:rPr>
      <w:rFonts w:eastAsia="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F40C0F"/>
    <w:rPr>
      <w:rFonts w:ascii="Arial" w:eastAsia="Arial" w:hAnsi="Arial" w:cs="Arial"/>
      <w:sz w:val="24"/>
      <w:szCs w:val="24"/>
      <w:lang w:eastAsia="es-ES" w:bidi="es-ES"/>
    </w:rPr>
  </w:style>
  <w:style w:type="table" w:customStyle="1" w:styleId="TableNormal">
    <w:name w:val="Table Normal"/>
    <w:uiPriority w:val="2"/>
    <w:unhideWhenUsed/>
    <w:qFormat/>
    <w:rsid w:val="00F40C0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0C0F"/>
    <w:pPr>
      <w:widowControl w:val="0"/>
      <w:autoSpaceDE w:val="0"/>
      <w:autoSpaceDN w:val="0"/>
      <w:spacing w:line="260" w:lineRule="exact"/>
    </w:pPr>
    <w:rPr>
      <w:rFonts w:eastAsia="Arial" w:cs="Arial"/>
      <w:lang w:val="es-ES" w:eastAsia="es-ES" w:bidi="es-ES"/>
    </w:rPr>
  </w:style>
  <w:style w:type="paragraph" w:customStyle="1" w:styleId="Default">
    <w:name w:val="Default"/>
    <w:uiPriority w:val="99"/>
    <w:rsid w:val="00F40C0F"/>
    <w:pPr>
      <w:autoSpaceDE w:val="0"/>
      <w:autoSpaceDN w:val="0"/>
      <w:adjustRightInd w:val="0"/>
      <w:spacing w:after="0" w:line="240" w:lineRule="auto"/>
    </w:pPr>
    <w:rPr>
      <w:rFonts w:ascii="Arial" w:eastAsia="Calibri" w:hAnsi="Arial" w:cs="Arial"/>
      <w:color w:val="000000"/>
      <w:sz w:val="24"/>
      <w:szCs w:val="24"/>
      <w:lang w:val="es-MX"/>
    </w:rPr>
  </w:style>
  <w:style w:type="paragraph" w:styleId="Textoindependiente2">
    <w:name w:val="Body Text 2"/>
    <w:basedOn w:val="Normal"/>
    <w:link w:val="Textoindependiente2Car"/>
    <w:uiPriority w:val="99"/>
    <w:unhideWhenUsed/>
    <w:rsid w:val="00F40C0F"/>
    <w:pPr>
      <w:spacing w:after="120" w:line="480" w:lineRule="auto"/>
    </w:pPr>
    <w:rPr>
      <w:rFonts w:ascii="Calibri" w:eastAsia="Calibri" w:hAnsi="Calibri" w:cs="Times New Roman"/>
      <w:lang w:eastAsia="en-US"/>
    </w:rPr>
  </w:style>
  <w:style w:type="character" w:customStyle="1" w:styleId="Textoindependiente2Car">
    <w:name w:val="Texto independiente 2 Car"/>
    <w:basedOn w:val="Fuentedeprrafopredeter"/>
    <w:link w:val="Textoindependiente2"/>
    <w:uiPriority w:val="99"/>
    <w:rsid w:val="00F40C0F"/>
    <w:rPr>
      <w:rFonts w:ascii="Calibri" w:eastAsia="Calibri" w:hAnsi="Calibri" w:cs="Times New Roman"/>
      <w:lang w:val="es-MX"/>
    </w:rPr>
  </w:style>
  <w:style w:type="paragraph" w:styleId="NormalWeb">
    <w:name w:val="Normal (Web)"/>
    <w:basedOn w:val="Normal"/>
    <w:uiPriority w:val="99"/>
    <w:unhideWhenUsed/>
    <w:rsid w:val="00F40C0F"/>
    <w:pPr>
      <w:spacing w:before="100" w:beforeAutospacing="1" w:after="100" w:afterAutospacing="1"/>
    </w:pPr>
    <w:rPr>
      <w:rFonts w:ascii="Times New Roman" w:eastAsia="Times New Roman" w:hAnsi="Times New Roman" w:cs="Times New Roman"/>
      <w:sz w:val="24"/>
      <w:szCs w:val="24"/>
    </w:rPr>
  </w:style>
  <w:style w:type="paragraph" w:customStyle="1" w:styleId="CuerpoA">
    <w:name w:val="Cuerpo A"/>
    <w:uiPriority w:val="99"/>
    <w:rsid w:val="00F40C0F"/>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eastAsia="es-MX"/>
    </w:rPr>
  </w:style>
  <w:style w:type="paragraph" w:customStyle="1" w:styleId="CuerpoB">
    <w:name w:val="Cuerpo B"/>
    <w:uiPriority w:val="99"/>
    <w:rsid w:val="00F40C0F"/>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s-ES_tradnl" w:eastAsia="es-MX"/>
    </w:rPr>
  </w:style>
  <w:style w:type="paragraph" w:customStyle="1" w:styleId="Cuerpo">
    <w:name w:val="Cuerpo"/>
    <w:uiPriority w:val="99"/>
    <w:rsid w:val="00F40C0F"/>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s-ES_tradnl" w:eastAsia="es-MX"/>
    </w:rPr>
  </w:style>
  <w:style w:type="paragraph" w:customStyle="1" w:styleId="Texto">
    <w:name w:val="Texto"/>
    <w:basedOn w:val="Normal"/>
    <w:link w:val="TextoCar"/>
    <w:rsid w:val="00F40C0F"/>
    <w:pPr>
      <w:spacing w:after="101" w:line="216" w:lineRule="exact"/>
      <w:ind w:firstLine="288"/>
    </w:pPr>
    <w:rPr>
      <w:rFonts w:eastAsia="Times New Roman" w:cs="Arial"/>
      <w:sz w:val="18"/>
      <w:szCs w:val="20"/>
      <w:lang w:val="es-ES" w:eastAsia="es-ES"/>
    </w:rPr>
  </w:style>
  <w:style w:type="character" w:customStyle="1" w:styleId="TextoCar">
    <w:name w:val="Texto Car"/>
    <w:link w:val="Texto"/>
    <w:locked/>
    <w:rsid w:val="00F40C0F"/>
    <w:rPr>
      <w:rFonts w:ascii="Arial" w:eastAsia="Times New Roman" w:hAnsi="Arial" w:cs="Arial"/>
      <w:sz w:val="18"/>
      <w:szCs w:val="20"/>
      <w:lang w:eastAsia="es-ES"/>
    </w:rPr>
  </w:style>
  <w:style w:type="table" w:styleId="Sombreadoclaro-nfasis3">
    <w:name w:val="Light Shading Accent 3"/>
    <w:basedOn w:val="Tablanormal"/>
    <w:uiPriority w:val="60"/>
    <w:rsid w:val="00F40C0F"/>
    <w:pPr>
      <w:spacing w:after="0" w:line="240" w:lineRule="auto"/>
    </w:pPr>
    <w:rPr>
      <w:rFonts w:ascii="Calibri" w:eastAsia="Calibri" w:hAnsi="Calibri" w:cs="Times New Roman"/>
      <w:color w:val="7B7B7B"/>
      <w:sz w:val="20"/>
      <w:szCs w:val="20"/>
      <w:lang w:val="es-MX" w:eastAsia="es-MX"/>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1"/>
    <w:locked/>
    <w:rsid w:val="00F40C0F"/>
    <w:rPr>
      <w:rFonts w:eastAsiaTheme="minorEastAsia"/>
      <w:lang w:val="es-MX" w:eastAsia="es-MX"/>
    </w:rPr>
  </w:style>
  <w:style w:type="character" w:customStyle="1" w:styleId="A4">
    <w:name w:val="A4"/>
    <w:uiPriority w:val="99"/>
    <w:rsid w:val="00F40C0F"/>
    <w:rPr>
      <w:rFonts w:cs="Rotis Sans Serif Std Light"/>
      <w:color w:val="000000"/>
      <w:sz w:val="26"/>
      <w:szCs w:val="26"/>
    </w:rPr>
  </w:style>
  <w:style w:type="character" w:styleId="Refdecomentario">
    <w:name w:val="annotation reference"/>
    <w:uiPriority w:val="99"/>
    <w:semiHidden/>
    <w:unhideWhenUsed/>
    <w:rsid w:val="00F40C0F"/>
    <w:rPr>
      <w:sz w:val="16"/>
      <w:szCs w:val="16"/>
    </w:rPr>
  </w:style>
  <w:style w:type="paragraph" w:styleId="Textocomentario">
    <w:name w:val="annotation text"/>
    <w:basedOn w:val="Normal"/>
    <w:link w:val="TextocomentarioCar"/>
    <w:uiPriority w:val="99"/>
    <w:semiHidden/>
    <w:unhideWhenUsed/>
    <w:rsid w:val="00F40C0F"/>
    <w:rPr>
      <w:rFonts w:eastAsia="Times New Roman" w:cs="Times New Roman"/>
      <w:sz w:val="20"/>
      <w:szCs w:val="20"/>
    </w:rPr>
  </w:style>
  <w:style w:type="character" w:customStyle="1" w:styleId="TextocomentarioCar">
    <w:name w:val="Texto comentario Car"/>
    <w:basedOn w:val="Fuentedeprrafopredeter"/>
    <w:link w:val="Textocomentario"/>
    <w:uiPriority w:val="99"/>
    <w:semiHidden/>
    <w:rsid w:val="00F40C0F"/>
    <w:rPr>
      <w:rFonts w:ascii="Arial" w:eastAsia="Times New Roman" w:hAnsi="Arial"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F40C0F"/>
    <w:rPr>
      <w:b/>
      <w:bCs/>
    </w:rPr>
  </w:style>
  <w:style w:type="character" w:customStyle="1" w:styleId="AsuntodelcomentarioCar">
    <w:name w:val="Asunto del comentario Car"/>
    <w:basedOn w:val="TextocomentarioCar"/>
    <w:link w:val="Asuntodelcomentario"/>
    <w:uiPriority w:val="99"/>
    <w:semiHidden/>
    <w:rsid w:val="00F40C0F"/>
    <w:rPr>
      <w:rFonts w:ascii="Arial" w:eastAsia="Times New Roman" w:hAnsi="Arial" w:cs="Times New Roman"/>
      <w:b/>
      <w:bCs/>
      <w:sz w:val="20"/>
      <w:szCs w:val="20"/>
      <w:lang w:val="es-MX" w:eastAsia="es-MX"/>
    </w:rPr>
  </w:style>
  <w:style w:type="paragraph" w:styleId="Revisin">
    <w:name w:val="Revision"/>
    <w:hidden/>
    <w:uiPriority w:val="99"/>
    <w:semiHidden/>
    <w:rsid w:val="00F40C0F"/>
    <w:pPr>
      <w:spacing w:after="0" w:line="240" w:lineRule="auto"/>
    </w:pPr>
    <w:rPr>
      <w:rFonts w:ascii="Calibri" w:eastAsia="Times New Roman" w:hAnsi="Calibri" w:cs="Times New Roman"/>
      <w:lang w:val="es-MX" w:eastAsia="es-MX"/>
    </w:rPr>
  </w:style>
  <w:style w:type="paragraph" w:customStyle="1" w:styleId="titulo-nota">
    <w:name w:val="titulo-nota"/>
    <w:basedOn w:val="Normal"/>
    <w:uiPriority w:val="99"/>
    <w:rsid w:val="00F40C0F"/>
    <w:pPr>
      <w:spacing w:before="100" w:beforeAutospacing="1" w:after="100" w:afterAutospacing="1"/>
    </w:pPr>
    <w:rPr>
      <w:rFonts w:ascii="Times New Roman" w:eastAsia="Times New Roman" w:hAnsi="Times New Roman" w:cs="Times New Roman"/>
      <w:sz w:val="24"/>
      <w:szCs w:val="24"/>
    </w:rPr>
  </w:style>
  <w:style w:type="paragraph" w:customStyle="1" w:styleId="resumen-nota">
    <w:name w:val="resumen-nota"/>
    <w:basedOn w:val="Normal"/>
    <w:uiPriority w:val="99"/>
    <w:rsid w:val="00F40C0F"/>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F40C0F"/>
  </w:style>
  <w:style w:type="character" w:styleId="Textoennegrita">
    <w:name w:val="Strong"/>
    <w:uiPriority w:val="22"/>
    <w:qFormat/>
    <w:rsid w:val="00F40C0F"/>
    <w:rPr>
      <w:b/>
      <w:bCs/>
    </w:rPr>
  </w:style>
  <w:style w:type="character" w:styleId="nfasis">
    <w:name w:val="Emphasis"/>
    <w:uiPriority w:val="20"/>
    <w:qFormat/>
    <w:rsid w:val="00F40C0F"/>
    <w:rPr>
      <w:i/>
      <w:iCs/>
    </w:rPr>
  </w:style>
  <w:style w:type="paragraph" w:customStyle="1" w:styleId="Pa7">
    <w:name w:val="Pa7"/>
    <w:basedOn w:val="Default"/>
    <w:next w:val="Default"/>
    <w:uiPriority w:val="99"/>
    <w:rsid w:val="00F40C0F"/>
    <w:pPr>
      <w:spacing w:line="261" w:lineRule="atLeast"/>
    </w:pPr>
    <w:rPr>
      <w:rFonts w:ascii="Rotis Sans Serif Std Light" w:eastAsia="Times New Roman" w:hAnsi="Rotis Sans Serif Std Light" w:cs="Times New Roman"/>
      <w:color w:val="auto"/>
      <w:lang w:eastAsia="es-MX"/>
    </w:rPr>
  </w:style>
  <w:style w:type="paragraph" w:customStyle="1" w:styleId="Pa25">
    <w:name w:val="Pa25"/>
    <w:basedOn w:val="Default"/>
    <w:next w:val="Default"/>
    <w:uiPriority w:val="99"/>
    <w:rsid w:val="00F40C0F"/>
    <w:pPr>
      <w:spacing w:line="321" w:lineRule="atLeast"/>
    </w:pPr>
    <w:rPr>
      <w:rFonts w:ascii="Rotis Sans Serif Std Light" w:eastAsia="Times New Roman" w:hAnsi="Rotis Sans Serif Std Light" w:cs="Times New Roman"/>
      <w:color w:val="auto"/>
      <w:lang w:eastAsia="es-MX"/>
    </w:rPr>
  </w:style>
  <w:style w:type="character" w:customStyle="1" w:styleId="cb-author">
    <w:name w:val="cb-author"/>
    <w:basedOn w:val="Fuentedeprrafopredeter"/>
    <w:rsid w:val="00F40C0F"/>
  </w:style>
  <w:style w:type="character" w:customStyle="1" w:styleId="cb-date">
    <w:name w:val="cb-date"/>
    <w:basedOn w:val="Fuentedeprrafopredeter"/>
    <w:rsid w:val="00F40C0F"/>
  </w:style>
  <w:style w:type="table" w:customStyle="1" w:styleId="Tablaconcuadrcula1">
    <w:name w:val="Tabla con cuadrícula1"/>
    <w:basedOn w:val="Tablanormal"/>
    <w:next w:val="Tablaconcuadrcula"/>
    <w:uiPriority w:val="59"/>
    <w:rsid w:val="00F40C0F"/>
    <w:pPr>
      <w:spacing w:after="0" w:line="240" w:lineRule="auto"/>
    </w:pPr>
    <w:rPr>
      <w:rFonts w:ascii="Calibri" w:eastAsia="Calibri"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31">
    <w:name w:val="Sombreado claro - Énfasis 31"/>
    <w:basedOn w:val="Tablanormal"/>
    <w:next w:val="Sombreadoclaro-nfasis3"/>
    <w:uiPriority w:val="60"/>
    <w:rsid w:val="00F40C0F"/>
    <w:pPr>
      <w:spacing w:after="0" w:line="240" w:lineRule="auto"/>
    </w:pPr>
    <w:rPr>
      <w:rFonts w:ascii="Calibri" w:eastAsia="Calibri" w:hAnsi="Calibri" w:cs="Times New Roman"/>
      <w:color w:val="7B7B7B"/>
      <w:sz w:val="20"/>
      <w:szCs w:val="20"/>
      <w:lang w:val="es-MX" w:eastAsia="es-MX"/>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character" w:customStyle="1" w:styleId="btn-pdf">
    <w:name w:val="btn-pdf"/>
    <w:basedOn w:val="Fuentedeprrafopredeter"/>
    <w:rsid w:val="00F40C0F"/>
  </w:style>
  <w:style w:type="table" w:customStyle="1" w:styleId="Tabladecuadrcula1clara-nfasis31">
    <w:name w:val="Tabla de cuadrícula 1 clara - Énfasis 31"/>
    <w:basedOn w:val="Tablanormal"/>
    <w:uiPriority w:val="46"/>
    <w:rsid w:val="00F40C0F"/>
    <w:pPr>
      <w:spacing w:after="0" w:line="240" w:lineRule="auto"/>
    </w:pPr>
    <w:rPr>
      <w:rFonts w:ascii="Calibri" w:eastAsia="Times New Roman" w:hAnsi="Calibri" w:cs="Times New Roman"/>
      <w:sz w:val="20"/>
      <w:szCs w:val="20"/>
      <w:lang w:val="es-MX" w:eastAsia="es-MX"/>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normal51">
    <w:name w:val="Tabla normal 51"/>
    <w:basedOn w:val="Tablanormal"/>
    <w:uiPriority w:val="45"/>
    <w:rsid w:val="00F40C0F"/>
    <w:pPr>
      <w:spacing w:after="0" w:line="240" w:lineRule="auto"/>
    </w:pPr>
    <w:rPr>
      <w:rFonts w:ascii="Calibri" w:eastAsia="Times New Roman" w:hAnsi="Calibri" w:cs="Times New Roman"/>
      <w:sz w:val="20"/>
      <w:szCs w:val="20"/>
      <w:lang w:val="es-MX" w:eastAsia="es-MX"/>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NOTACION">
    <w:name w:val="ANOTACION"/>
    <w:basedOn w:val="Normal"/>
    <w:link w:val="ANOTACIONCar"/>
    <w:rsid w:val="00F40C0F"/>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F40C0F"/>
    <w:rPr>
      <w:rFonts w:ascii="Times New Roman" w:eastAsia="Times New Roman" w:hAnsi="Times New Roman" w:cs="Times New Roman"/>
      <w:b/>
      <w:sz w:val="18"/>
      <w:szCs w:val="20"/>
      <w:lang w:val="es-ES_tradnl" w:eastAsia="es-ES"/>
    </w:rPr>
  </w:style>
  <w:style w:type="paragraph" w:styleId="Sinespaciado">
    <w:name w:val="No Spacing"/>
    <w:uiPriority w:val="1"/>
    <w:qFormat/>
    <w:rsid w:val="00F40C0F"/>
    <w:pPr>
      <w:spacing w:after="0" w:line="240" w:lineRule="auto"/>
    </w:pPr>
    <w:rPr>
      <w:rFonts w:ascii="Calibri" w:eastAsia="Times New Roman" w:hAnsi="Calibri" w:cs="Times New Roman"/>
      <w:lang w:val="es-MX" w:eastAsia="es-MX"/>
    </w:rPr>
  </w:style>
  <w:style w:type="paragraph" w:customStyle="1" w:styleId="Ttulo31">
    <w:name w:val="Título 31"/>
    <w:basedOn w:val="Normal"/>
    <w:next w:val="Normal"/>
    <w:uiPriority w:val="9"/>
    <w:semiHidden/>
    <w:unhideWhenUsed/>
    <w:qFormat/>
    <w:rsid w:val="00F40C0F"/>
    <w:pPr>
      <w:keepNext/>
      <w:keepLines/>
      <w:spacing w:before="40" w:line="360" w:lineRule="auto"/>
      <w:outlineLvl w:val="2"/>
    </w:pPr>
    <w:rPr>
      <w:rFonts w:ascii="Calibri Light" w:eastAsia="Times New Roman" w:hAnsi="Calibri Light" w:cs="Times New Roman"/>
      <w:color w:val="1F4D78"/>
      <w:sz w:val="24"/>
      <w:szCs w:val="24"/>
      <w:lang w:val="es-ES" w:eastAsia="en-US"/>
    </w:rPr>
  </w:style>
  <w:style w:type="numbering" w:customStyle="1" w:styleId="Sinlista1">
    <w:name w:val="Sin lista1"/>
    <w:next w:val="Sinlista"/>
    <w:uiPriority w:val="99"/>
    <w:semiHidden/>
    <w:unhideWhenUsed/>
    <w:rsid w:val="00F40C0F"/>
  </w:style>
  <w:style w:type="character" w:customStyle="1" w:styleId="Hipervnculovisitado1">
    <w:name w:val="Hipervínculo visitado1"/>
    <w:uiPriority w:val="99"/>
    <w:semiHidden/>
    <w:unhideWhenUsed/>
    <w:rsid w:val="00F40C0F"/>
    <w:rPr>
      <w:color w:val="954F72"/>
      <w:u w:val="single"/>
    </w:rPr>
  </w:style>
  <w:style w:type="paragraph" w:customStyle="1" w:styleId="msonormal0">
    <w:name w:val="msonormal"/>
    <w:basedOn w:val="Normal"/>
    <w:uiPriority w:val="99"/>
    <w:rsid w:val="00F40C0F"/>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paragraph" w:styleId="TDC1">
    <w:name w:val="toc 1"/>
    <w:basedOn w:val="Normal"/>
    <w:next w:val="Normal"/>
    <w:autoRedefine/>
    <w:uiPriority w:val="39"/>
    <w:unhideWhenUsed/>
    <w:rsid w:val="00F40C0F"/>
    <w:pPr>
      <w:spacing w:before="120" w:after="100" w:line="360" w:lineRule="auto"/>
    </w:pPr>
    <w:rPr>
      <w:rFonts w:eastAsia="Calibri" w:cs="Times New Roman"/>
      <w:sz w:val="24"/>
      <w:lang w:val="es-ES" w:eastAsia="en-US"/>
    </w:rPr>
  </w:style>
  <w:style w:type="paragraph" w:styleId="TDC2">
    <w:name w:val="toc 2"/>
    <w:basedOn w:val="Normal"/>
    <w:next w:val="Normal"/>
    <w:autoRedefine/>
    <w:uiPriority w:val="39"/>
    <w:unhideWhenUsed/>
    <w:rsid w:val="00F40C0F"/>
    <w:pPr>
      <w:spacing w:after="100" w:line="256" w:lineRule="auto"/>
      <w:ind w:left="220"/>
    </w:pPr>
    <w:rPr>
      <w:rFonts w:ascii="Calibri" w:eastAsia="Times New Roman" w:hAnsi="Calibri" w:cs="Times New Roman"/>
      <w:sz w:val="24"/>
    </w:rPr>
  </w:style>
  <w:style w:type="paragraph" w:styleId="TDC3">
    <w:name w:val="toc 3"/>
    <w:basedOn w:val="Normal"/>
    <w:next w:val="Normal"/>
    <w:autoRedefine/>
    <w:uiPriority w:val="39"/>
    <w:unhideWhenUsed/>
    <w:rsid w:val="00F40C0F"/>
    <w:pPr>
      <w:spacing w:after="100" w:line="256" w:lineRule="auto"/>
      <w:ind w:left="440"/>
    </w:pPr>
    <w:rPr>
      <w:rFonts w:ascii="Calibri" w:eastAsia="Times New Roman" w:hAnsi="Calibri" w:cs="Times New Roman"/>
      <w:sz w:val="24"/>
    </w:rPr>
  </w:style>
  <w:style w:type="paragraph" w:styleId="Subttulo">
    <w:name w:val="Subtitle"/>
    <w:basedOn w:val="Normal"/>
    <w:next w:val="Normal"/>
    <w:link w:val="SubttuloCar"/>
    <w:uiPriority w:val="11"/>
    <w:qFormat/>
    <w:rsid w:val="00F40C0F"/>
    <w:pPr>
      <w:jc w:val="center"/>
    </w:pPr>
    <w:rPr>
      <w:rFonts w:eastAsia="Times New Roman" w:cs="Times New Roman"/>
      <w:b/>
      <w:sz w:val="20"/>
      <w:lang w:val="es-ES" w:eastAsia="en-US"/>
    </w:rPr>
  </w:style>
  <w:style w:type="character" w:customStyle="1" w:styleId="SubttuloCar">
    <w:name w:val="Subtítulo Car"/>
    <w:basedOn w:val="Fuentedeprrafopredeter"/>
    <w:link w:val="Subttulo"/>
    <w:uiPriority w:val="11"/>
    <w:rsid w:val="00F40C0F"/>
    <w:rPr>
      <w:rFonts w:ascii="Arial" w:eastAsia="Times New Roman" w:hAnsi="Arial" w:cs="Times New Roman"/>
      <w:b/>
      <w:sz w:val="20"/>
    </w:rPr>
  </w:style>
  <w:style w:type="paragraph" w:customStyle="1" w:styleId="TtuloTDC1">
    <w:name w:val="Título TDC1"/>
    <w:basedOn w:val="Ttulo1"/>
    <w:next w:val="Normal"/>
    <w:uiPriority w:val="39"/>
    <w:semiHidden/>
    <w:unhideWhenUsed/>
    <w:qFormat/>
    <w:rsid w:val="00F40C0F"/>
    <w:pPr>
      <w:spacing w:line="256" w:lineRule="auto"/>
      <w:outlineLvl w:val="9"/>
    </w:pPr>
    <w:rPr>
      <w:rFonts w:ascii="Calibri Light" w:eastAsia="Times New Roman" w:hAnsi="Calibri Light" w:cs="Times New Roman"/>
      <w:color w:val="2E74B5"/>
    </w:rPr>
  </w:style>
  <w:style w:type="table" w:customStyle="1" w:styleId="Tablaconcuadrcula2">
    <w:name w:val="Tabla con cuadrícula2"/>
    <w:basedOn w:val="Tablanormal"/>
    <w:next w:val="Tablaconcuadrcula"/>
    <w:uiPriority w:val="39"/>
    <w:rsid w:val="00F40C0F"/>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1">
    <w:name w:val="Título 3 Car1"/>
    <w:uiPriority w:val="9"/>
    <w:semiHidden/>
    <w:rsid w:val="00F40C0F"/>
    <w:rPr>
      <w:rFonts w:ascii="Calibri Light" w:eastAsia="Times New Roman" w:hAnsi="Calibri Light" w:cs="Times New Roman"/>
      <w:color w:val="1F4D78"/>
      <w:sz w:val="24"/>
      <w:szCs w:val="24"/>
    </w:rPr>
  </w:style>
  <w:style w:type="character" w:styleId="Hipervnculovisitado">
    <w:name w:val="FollowedHyperlink"/>
    <w:uiPriority w:val="99"/>
    <w:semiHidden/>
    <w:unhideWhenUsed/>
    <w:rsid w:val="00F40C0F"/>
    <w:rPr>
      <w:color w:val="954F72"/>
      <w:u w:val="single"/>
    </w:rPr>
  </w:style>
  <w:style w:type="paragraph" w:styleId="TtuloTDC">
    <w:name w:val="TOC Heading"/>
    <w:basedOn w:val="Ttulo1"/>
    <w:next w:val="Normal"/>
    <w:uiPriority w:val="39"/>
    <w:unhideWhenUsed/>
    <w:qFormat/>
    <w:rsid w:val="00F40C0F"/>
    <w:pPr>
      <w:spacing w:line="259" w:lineRule="auto"/>
      <w:outlineLvl w:val="9"/>
    </w:pPr>
    <w:rPr>
      <w:rFonts w:ascii="Calibri Light" w:eastAsia="Times New Roman" w:hAnsi="Calibri Light" w:cs="Times New Roman"/>
      <w:color w:val="2E74B5"/>
    </w:rPr>
  </w:style>
  <w:style w:type="paragraph" w:styleId="TDC4">
    <w:name w:val="toc 4"/>
    <w:basedOn w:val="Normal"/>
    <w:next w:val="Normal"/>
    <w:autoRedefine/>
    <w:uiPriority w:val="39"/>
    <w:unhideWhenUsed/>
    <w:rsid w:val="00F40C0F"/>
    <w:pPr>
      <w:spacing w:after="100" w:line="259" w:lineRule="auto"/>
      <w:ind w:left="660"/>
    </w:pPr>
    <w:rPr>
      <w:rFonts w:ascii="Calibri" w:eastAsia="Times New Roman" w:hAnsi="Calibri" w:cs="Times New Roman"/>
    </w:rPr>
  </w:style>
  <w:style w:type="paragraph" w:styleId="TDC5">
    <w:name w:val="toc 5"/>
    <w:basedOn w:val="Normal"/>
    <w:next w:val="Normal"/>
    <w:autoRedefine/>
    <w:uiPriority w:val="39"/>
    <w:unhideWhenUsed/>
    <w:rsid w:val="00F40C0F"/>
    <w:pPr>
      <w:spacing w:after="100" w:line="259" w:lineRule="auto"/>
      <w:ind w:left="880"/>
    </w:pPr>
    <w:rPr>
      <w:rFonts w:ascii="Calibri" w:eastAsia="Times New Roman" w:hAnsi="Calibri" w:cs="Times New Roman"/>
    </w:rPr>
  </w:style>
  <w:style w:type="paragraph" w:styleId="TDC6">
    <w:name w:val="toc 6"/>
    <w:basedOn w:val="Normal"/>
    <w:next w:val="Normal"/>
    <w:autoRedefine/>
    <w:uiPriority w:val="39"/>
    <w:unhideWhenUsed/>
    <w:rsid w:val="00F40C0F"/>
    <w:pPr>
      <w:spacing w:after="100" w:line="259" w:lineRule="auto"/>
      <w:ind w:left="1100"/>
    </w:pPr>
    <w:rPr>
      <w:rFonts w:ascii="Calibri" w:eastAsia="Times New Roman" w:hAnsi="Calibri" w:cs="Times New Roman"/>
    </w:rPr>
  </w:style>
  <w:style w:type="paragraph" w:styleId="TDC7">
    <w:name w:val="toc 7"/>
    <w:basedOn w:val="Normal"/>
    <w:next w:val="Normal"/>
    <w:autoRedefine/>
    <w:uiPriority w:val="39"/>
    <w:unhideWhenUsed/>
    <w:rsid w:val="00F40C0F"/>
    <w:pPr>
      <w:spacing w:after="100" w:line="259" w:lineRule="auto"/>
      <w:ind w:left="1320"/>
    </w:pPr>
    <w:rPr>
      <w:rFonts w:ascii="Calibri" w:eastAsia="Times New Roman" w:hAnsi="Calibri" w:cs="Times New Roman"/>
    </w:rPr>
  </w:style>
  <w:style w:type="paragraph" w:styleId="TDC8">
    <w:name w:val="toc 8"/>
    <w:basedOn w:val="Normal"/>
    <w:next w:val="Normal"/>
    <w:autoRedefine/>
    <w:uiPriority w:val="39"/>
    <w:unhideWhenUsed/>
    <w:rsid w:val="00F40C0F"/>
    <w:pPr>
      <w:spacing w:after="100" w:line="259" w:lineRule="auto"/>
      <w:ind w:left="1540"/>
    </w:pPr>
    <w:rPr>
      <w:rFonts w:ascii="Calibri" w:eastAsia="Times New Roman" w:hAnsi="Calibri" w:cs="Times New Roman"/>
    </w:rPr>
  </w:style>
  <w:style w:type="paragraph" w:styleId="TDC9">
    <w:name w:val="toc 9"/>
    <w:basedOn w:val="Normal"/>
    <w:next w:val="Normal"/>
    <w:autoRedefine/>
    <w:uiPriority w:val="39"/>
    <w:unhideWhenUsed/>
    <w:rsid w:val="00F40C0F"/>
    <w:pPr>
      <w:spacing w:after="100" w:line="259" w:lineRule="auto"/>
      <w:ind w:left="1760"/>
    </w:pPr>
    <w:rPr>
      <w:rFonts w:ascii="Calibri" w:eastAsia="Times New Roman" w:hAnsi="Calibri" w:cs="Times New Roman"/>
    </w:rPr>
  </w:style>
  <w:style w:type="paragraph" w:customStyle="1" w:styleId="xl63">
    <w:name w:val="xl63"/>
    <w:basedOn w:val="Normal"/>
    <w:uiPriority w:val="99"/>
    <w:rsid w:val="00F40C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4">
    <w:name w:val="xl64"/>
    <w:basedOn w:val="Normal"/>
    <w:uiPriority w:val="99"/>
    <w:rsid w:val="00F40C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sz w:val="18"/>
      <w:szCs w:val="18"/>
    </w:rPr>
  </w:style>
  <w:style w:type="paragraph" w:customStyle="1" w:styleId="xl65">
    <w:name w:val="xl65"/>
    <w:basedOn w:val="Normal"/>
    <w:uiPriority w:val="99"/>
    <w:rsid w:val="00F40C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b/>
      <w:bCs/>
      <w:sz w:val="18"/>
      <w:szCs w:val="18"/>
    </w:rPr>
  </w:style>
  <w:style w:type="paragraph" w:customStyle="1" w:styleId="xl66">
    <w:name w:val="xl66"/>
    <w:basedOn w:val="Normal"/>
    <w:uiPriority w:val="99"/>
    <w:rsid w:val="00F40C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sz w:val="18"/>
      <w:szCs w:val="18"/>
    </w:rPr>
  </w:style>
  <w:style w:type="paragraph" w:customStyle="1" w:styleId="xl67">
    <w:name w:val="xl67"/>
    <w:basedOn w:val="Normal"/>
    <w:uiPriority w:val="99"/>
    <w:rsid w:val="00F40C0F"/>
    <w:pPr>
      <w:spacing w:before="100" w:beforeAutospacing="1" w:after="100" w:afterAutospacing="1"/>
    </w:pPr>
    <w:rPr>
      <w:rFonts w:ascii="Times New Roman" w:eastAsia="Times New Roman" w:hAnsi="Times New Roman" w:cs="Times New Roman"/>
      <w:sz w:val="24"/>
      <w:szCs w:val="24"/>
    </w:rPr>
  </w:style>
  <w:style w:type="paragraph" w:customStyle="1" w:styleId="xl68">
    <w:name w:val="xl68"/>
    <w:basedOn w:val="Normal"/>
    <w:uiPriority w:val="99"/>
    <w:rsid w:val="00F40C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69">
    <w:name w:val="xl69"/>
    <w:basedOn w:val="Normal"/>
    <w:uiPriority w:val="99"/>
    <w:rsid w:val="00F40C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0">
    <w:name w:val="xl70"/>
    <w:basedOn w:val="Normal"/>
    <w:uiPriority w:val="99"/>
    <w:rsid w:val="00F40C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b/>
      <w:bCs/>
      <w:sz w:val="18"/>
      <w:szCs w:val="18"/>
    </w:rPr>
  </w:style>
  <w:style w:type="paragraph" w:customStyle="1" w:styleId="xl71">
    <w:name w:val="xl71"/>
    <w:basedOn w:val="Normal"/>
    <w:uiPriority w:val="99"/>
    <w:rsid w:val="00F40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72">
    <w:name w:val="xl72"/>
    <w:basedOn w:val="Normal"/>
    <w:uiPriority w:val="99"/>
    <w:rsid w:val="00F40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sz w:val="18"/>
      <w:szCs w:val="18"/>
    </w:rPr>
  </w:style>
  <w:style w:type="paragraph" w:customStyle="1" w:styleId="xl73">
    <w:name w:val="xl73"/>
    <w:basedOn w:val="Normal"/>
    <w:uiPriority w:val="99"/>
    <w:rsid w:val="00F40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4">
    <w:name w:val="xl74"/>
    <w:basedOn w:val="Normal"/>
    <w:uiPriority w:val="99"/>
    <w:rsid w:val="00F40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5">
    <w:name w:val="xl75"/>
    <w:basedOn w:val="Normal"/>
    <w:uiPriority w:val="99"/>
    <w:rsid w:val="00F40C0F"/>
    <w:pPr>
      <w:pBdr>
        <w:bottom w:val="single" w:sz="8" w:space="0" w:color="auto"/>
        <w:right w:val="single" w:sz="8" w:space="0" w:color="auto"/>
      </w:pBdr>
      <w:spacing w:before="100" w:beforeAutospacing="1" w:after="100" w:afterAutospacing="1"/>
      <w:textAlignment w:val="center"/>
    </w:pPr>
    <w:rPr>
      <w:rFonts w:eastAsia="Times New Roman" w:cs="Arial"/>
      <w:color w:val="000000"/>
      <w:sz w:val="18"/>
      <w:szCs w:val="18"/>
    </w:rPr>
  </w:style>
  <w:style w:type="paragraph" w:customStyle="1" w:styleId="xl76">
    <w:name w:val="xl76"/>
    <w:basedOn w:val="Normal"/>
    <w:uiPriority w:val="99"/>
    <w:rsid w:val="00F40C0F"/>
    <w:pPr>
      <w:pBdr>
        <w:bottom w:val="single" w:sz="8" w:space="0" w:color="auto"/>
        <w:right w:val="single" w:sz="8" w:space="0" w:color="auto"/>
      </w:pBdr>
      <w:spacing w:before="100" w:beforeAutospacing="1" w:after="100" w:afterAutospacing="1"/>
      <w:textAlignment w:val="center"/>
    </w:pPr>
    <w:rPr>
      <w:rFonts w:eastAsia="Times New Roman" w:cs="Arial"/>
      <w:b/>
      <w:bCs/>
      <w:color w:val="000000"/>
      <w:sz w:val="18"/>
      <w:szCs w:val="18"/>
    </w:rPr>
  </w:style>
  <w:style w:type="table" w:styleId="Cuadrculamedia3-nfasis3">
    <w:name w:val="Medium Grid 3 Accent 3"/>
    <w:basedOn w:val="Tablanormal"/>
    <w:uiPriority w:val="69"/>
    <w:rsid w:val="00F40C0F"/>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customStyle="1" w:styleId="xl77">
    <w:name w:val="xl77"/>
    <w:basedOn w:val="Normal"/>
    <w:uiPriority w:val="99"/>
    <w:rsid w:val="00F40C0F"/>
    <w:pPr>
      <w:pBdr>
        <w:left w:val="single" w:sz="4" w:space="0" w:color="auto"/>
        <w:bottom w:val="single" w:sz="4" w:space="0" w:color="auto"/>
        <w:right w:val="single" w:sz="4" w:space="0" w:color="auto"/>
      </w:pBdr>
      <w:spacing w:before="100" w:beforeAutospacing="1" w:after="100" w:afterAutospacing="1"/>
      <w:jc w:val="right"/>
    </w:pPr>
    <w:rPr>
      <w:rFonts w:eastAsia="Times New Roman" w:cs="Arial"/>
      <w:sz w:val="20"/>
      <w:szCs w:val="20"/>
    </w:rPr>
  </w:style>
  <w:style w:type="paragraph" w:customStyle="1" w:styleId="xl78">
    <w:name w:val="xl78"/>
    <w:basedOn w:val="Normal"/>
    <w:uiPriority w:val="99"/>
    <w:rsid w:val="00F40C0F"/>
    <w:pPr>
      <w:pBdr>
        <w:left w:val="single" w:sz="4" w:space="0" w:color="auto"/>
        <w:bottom w:val="single" w:sz="4" w:space="0" w:color="auto"/>
        <w:right w:val="single" w:sz="8" w:space="0" w:color="auto"/>
      </w:pBdr>
      <w:spacing w:before="100" w:beforeAutospacing="1" w:after="100" w:afterAutospacing="1"/>
      <w:jc w:val="right"/>
    </w:pPr>
    <w:rPr>
      <w:rFonts w:eastAsia="Times New Roman" w:cs="Arial"/>
      <w:sz w:val="20"/>
      <w:szCs w:val="20"/>
    </w:rPr>
  </w:style>
  <w:style w:type="paragraph" w:customStyle="1" w:styleId="xl79">
    <w:name w:val="xl79"/>
    <w:basedOn w:val="Normal"/>
    <w:uiPriority w:val="99"/>
    <w:rsid w:val="00F40C0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Arial"/>
      <w:b/>
      <w:bCs/>
      <w:sz w:val="20"/>
      <w:szCs w:val="20"/>
    </w:rPr>
  </w:style>
  <w:style w:type="paragraph" w:customStyle="1" w:styleId="xl80">
    <w:name w:val="xl80"/>
    <w:basedOn w:val="Normal"/>
    <w:uiPriority w:val="99"/>
    <w:rsid w:val="00F40C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b/>
      <w:bCs/>
      <w:sz w:val="20"/>
      <w:szCs w:val="20"/>
    </w:rPr>
  </w:style>
  <w:style w:type="paragraph" w:customStyle="1" w:styleId="xl81">
    <w:name w:val="xl81"/>
    <w:basedOn w:val="Normal"/>
    <w:uiPriority w:val="99"/>
    <w:rsid w:val="00F40C0F"/>
    <w:pPr>
      <w:pBdr>
        <w:top w:val="single" w:sz="8" w:space="0" w:color="auto"/>
        <w:left w:val="single" w:sz="8" w:space="0" w:color="auto"/>
        <w:bottom w:val="single" w:sz="8" w:space="0" w:color="auto"/>
      </w:pBdr>
      <w:spacing w:before="100" w:beforeAutospacing="1" w:after="100" w:afterAutospacing="1"/>
      <w:jc w:val="center"/>
    </w:pPr>
    <w:rPr>
      <w:rFonts w:eastAsia="Times New Roman" w:cs="Arial"/>
      <w:sz w:val="20"/>
      <w:szCs w:val="20"/>
    </w:rPr>
  </w:style>
  <w:style w:type="paragraph" w:customStyle="1" w:styleId="xl82">
    <w:name w:val="xl82"/>
    <w:basedOn w:val="Normal"/>
    <w:uiPriority w:val="99"/>
    <w:rsid w:val="00F40C0F"/>
    <w:pPr>
      <w:pBdr>
        <w:top w:val="single" w:sz="8" w:space="0" w:color="auto"/>
        <w:bottom w:val="single" w:sz="8" w:space="0" w:color="auto"/>
        <w:right w:val="single" w:sz="4" w:space="0" w:color="auto"/>
      </w:pBdr>
      <w:spacing w:before="100" w:beforeAutospacing="1" w:after="100" w:afterAutospacing="1"/>
      <w:jc w:val="center"/>
    </w:pPr>
    <w:rPr>
      <w:rFonts w:eastAsia="Times New Roman" w:cs="Arial"/>
      <w:sz w:val="20"/>
      <w:szCs w:val="20"/>
    </w:rPr>
  </w:style>
  <w:style w:type="paragraph" w:customStyle="1" w:styleId="n0">
    <w:name w:val="n0"/>
    <w:basedOn w:val="Normal"/>
    <w:uiPriority w:val="99"/>
    <w:rsid w:val="003E7BDB"/>
    <w:pPr>
      <w:keepLines/>
      <w:spacing w:before="240"/>
      <w:ind w:left="709" w:right="-351" w:hanging="709"/>
    </w:pPr>
    <w:rPr>
      <w:rFonts w:eastAsia="Times New Roman" w:cs="Arial"/>
      <w:color w:val="800080"/>
      <w:sz w:val="24"/>
      <w:szCs w:val="24"/>
      <w:lang w:val="es-ES_tradnl" w:eastAsia="es-ES"/>
    </w:rPr>
  </w:style>
  <w:style w:type="table" w:customStyle="1" w:styleId="Tabladelista6concolores-nfasis31">
    <w:name w:val="Tabla de lista 6 con colores - Énfasis 31"/>
    <w:basedOn w:val="Tablanormal"/>
    <w:uiPriority w:val="51"/>
    <w:rsid w:val="00902A42"/>
    <w:pPr>
      <w:spacing w:after="0" w:line="240" w:lineRule="auto"/>
    </w:pPr>
    <w:rPr>
      <w:rFonts w:ascii="Calibri" w:eastAsia="Calibri" w:hAnsi="Calibri" w:cs="Calibri"/>
      <w:color w:val="7B7B7B" w:themeColor="accent3" w:themeShade="BF"/>
      <w:lang w:val="es-MX" w:eastAsia="es-MX"/>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ulo4Car">
    <w:name w:val="Título 4 Car"/>
    <w:basedOn w:val="Fuentedeprrafopredeter"/>
    <w:link w:val="Ttulo4"/>
    <w:uiPriority w:val="9"/>
    <w:rsid w:val="00044ED0"/>
    <w:rPr>
      <w:rFonts w:ascii="Arial" w:eastAsiaTheme="majorEastAsia" w:hAnsi="Arial" w:cstheme="majorBidi"/>
      <w:b/>
      <w:iCs/>
      <w:sz w:val="20"/>
      <w:lang w:val="es-MX" w:eastAsia="es-MX"/>
    </w:rPr>
  </w:style>
  <w:style w:type="character" w:customStyle="1" w:styleId="Mencinsinresolver1">
    <w:name w:val="Mención sin resolver1"/>
    <w:basedOn w:val="Fuentedeprrafopredeter"/>
    <w:uiPriority w:val="99"/>
    <w:semiHidden/>
    <w:unhideWhenUsed/>
    <w:rsid w:val="0086661C"/>
    <w:rPr>
      <w:color w:val="605E5C"/>
      <w:shd w:val="clear" w:color="auto" w:fill="E1DFDD"/>
    </w:rPr>
  </w:style>
  <w:style w:type="character" w:customStyle="1" w:styleId="Ttulo7Car">
    <w:name w:val="Título 7 Car"/>
    <w:basedOn w:val="Fuentedeprrafopredeter"/>
    <w:link w:val="Ttulo7"/>
    <w:uiPriority w:val="9"/>
    <w:rsid w:val="0039083F"/>
    <w:rPr>
      <w:rFonts w:asciiTheme="majorHAnsi" w:eastAsiaTheme="majorEastAsia" w:hAnsiTheme="majorHAnsi" w:cstheme="majorBidi"/>
      <w:i/>
      <w:iCs/>
      <w:color w:val="1F4D78" w:themeColor="accent1" w:themeShade="7F"/>
      <w:lang w:val="es-MX" w:eastAsia="es-MX"/>
    </w:rPr>
  </w:style>
  <w:style w:type="character" w:customStyle="1" w:styleId="Ttulo5Car">
    <w:name w:val="Título 5 Car"/>
    <w:basedOn w:val="Fuentedeprrafopredeter"/>
    <w:link w:val="Ttulo5"/>
    <w:uiPriority w:val="9"/>
    <w:semiHidden/>
    <w:rsid w:val="0039083F"/>
    <w:rPr>
      <w:rFonts w:ascii="Calibri" w:eastAsia="Calibri" w:hAnsi="Calibri" w:cs="Calibri"/>
      <w:b/>
      <w:lang w:val="es-MX" w:eastAsia="es-MX"/>
    </w:rPr>
  </w:style>
  <w:style w:type="character" w:customStyle="1" w:styleId="Ttulo6Car">
    <w:name w:val="Título 6 Car"/>
    <w:basedOn w:val="Fuentedeprrafopredeter"/>
    <w:link w:val="Ttulo6"/>
    <w:uiPriority w:val="9"/>
    <w:semiHidden/>
    <w:rsid w:val="0039083F"/>
    <w:rPr>
      <w:rFonts w:ascii="Calibri" w:eastAsia="Calibri" w:hAnsi="Calibri" w:cs="Calibri"/>
      <w:b/>
      <w:sz w:val="20"/>
      <w:szCs w:val="20"/>
      <w:lang w:val="es-MX" w:eastAsia="es-MX"/>
    </w:rPr>
  </w:style>
  <w:style w:type="paragraph" w:styleId="Ttulo">
    <w:name w:val="Title"/>
    <w:basedOn w:val="Normal"/>
    <w:next w:val="Normal"/>
    <w:link w:val="TtuloCar"/>
    <w:uiPriority w:val="10"/>
    <w:qFormat/>
    <w:rsid w:val="0039083F"/>
    <w:pPr>
      <w:keepNext/>
      <w:keepLines/>
      <w:spacing w:before="480" w:after="120" w:line="259" w:lineRule="auto"/>
      <w:jc w:val="left"/>
    </w:pPr>
    <w:rPr>
      <w:rFonts w:ascii="Calibri" w:eastAsia="Calibri" w:hAnsi="Calibri" w:cs="Calibri"/>
      <w:b/>
      <w:sz w:val="72"/>
      <w:szCs w:val="72"/>
    </w:rPr>
  </w:style>
  <w:style w:type="character" w:customStyle="1" w:styleId="TtuloCar">
    <w:name w:val="Título Car"/>
    <w:basedOn w:val="Fuentedeprrafopredeter"/>
    <w:link w:val="Ttulo"/>
    <w:uiPriority w:val="10"/>
    <w:rsid w:val="0039083F"/>
    <w:rPr>
      <w:rFonts w:ascii="Calibri" w:eastAsia="Calibri" w:hAnsi="Calibri" w:cs="Calibri"/>
      <w:b/>
      <w:sz w:val="72"/>
      <w:szCs w:val="72"/>
      <w:lang w:val="es-MX" w:eastAsia="es-MX"/>
    </w:rPr>
  </w:style>
  <w:style w:type="character" w:customStyle="1" w:styleId="Mencinsinresolver2">
    <w:name w:val="Mención sin resolver2"/>
    <w:basedOn w:val="Fuentedeprrafopredeter"/>
    <w:uiPriority w:val="99"/>
    <w:semiHidden/>
    <w:unhideWhenUsed/>
    <w:rsid w:val="003D40E2"/>
    <w:rPr>
      <w:color w:val="605E5C"/>
      <w:shd w:val="clear" w:color="auto" w:fill="E1DFDD"/>
    </w:rPr>
  </w:style>
  <w:style w:type="paragraph" w:customStyle="1" w:styleId="xl195">
    <w:name w:val="xl195"/>
    <w:basedOn w:val="Normal"/>
    <w:uiPriority w:val="99"/>
    <w:rsid w:val="00C71130"/>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Arial"/>
      <w:b/>
      <w:bCs/>
      <w:color w:val="000000"/>
      <w:sz w:val="10"/>
      <w:szCs w:val="10"/>
    </w:rPr>
  </w:style>
  <w:style w:type="paragraph" w:customStyle="1" w:styleId="xl196">
    <w:name w:val="xl196"/>
    <w:basedOn w:val="Normal"/>
    <w:uiPriority w:val="99"/>
    <w:rsid w:val="00C71130"/>
    <w:pPr>
      <w:pBdr>
        <w:bottom w:val="single" w:sz="8" w:space="0" w:color="auto"/>
        <w:right w:val="single" w:sz="8" w:space="0" w:color="auto"/>
      </w:pBdr>
      <w:spacing w:before="100" w:beforeAutospacing="1" w:after="100" w:afterAutospacing="1"/>
      <w:jc w:val="center"/>
      <w:textAlignment w:val="center"/>
    </w:pPr>
    <w:rPr>
      <w:rFonts w:eastAsia="Times New Roman" w:cs="Arial"/>
      <w:b/>
      <w:bCs/>
      <w:color w:val="000000"/>
      <w:sz w:val="12"/>
      <w:szCs w:val="12"/>
    </w:rPr>
  </w:style>
  <w:style w:type="paragraph" w:customStyle="1" w:styleId="xl197">
    <w:name w:val="xl197"/>
    <w:basedOn w:val="Normal"/>
    <w:uiPriority w:val="99"/>
    <w:rsid w:val="00C71130"/>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Arial"/>
      <w:b/>
      <w:bCs/>
      <w:color w:val="000000"/>
      <w:sz w:val="12"/>
      <w:szCs w:val="12"/>
    </w:rPr>
  </w:style>
  <w:style w:type="paragraph" w:customStyle="1" w:styleId="xl198">
    <w:name w:val="xl198"/>
    <w:basedOn w:val="Normal"/>
    <w:uiPriority w:val="99"/>
    <w:rsid w:val="00C71130"/>
    <w:pPr>
      <w:pBdr>
        <w:bottom w:val="single" w:sz="8" w:space="0" w:color="auto"/>
        <w:right w:val="single" w:sz="8" w:space="0" w:color="auto"/>
      </w:pBdr>
      <w:spacing w:before="100" w:beforeAutospacing="1" w:after="100" w:afterAutospacing="1"/>
      <w:jc w:val="left"/>
      <w:textAlignment w:val="center"/>
    </w:pPr>
    <w:rPr>
      <w:rFonts w:eastAsia="Times New Roman" w:cs="Arial"/>
      <w:b/>
      <w:bCs/>
      <w:color w:val="000000"/>
      <w:sz w:val="12"/>
      <w:szCs w:val="12"/>
    </w:rPr>
  </w:style>
  <w:style w:type="paragraph" w:customStyle="1" w:styleId="xl199">
    <w:name w:val="xl199"/>
    <w:basedOn w:val="Normal"/>
    <w:uiPriority w:val="99"/>
    <w:rsid w:val="00C71130"/>
    <w:pPr>
      <w:pBdr>
        <w:bottom w:val="single" w:sz="8" w:space="0" w:color="auto"/>
        <w:right w:val="single" w:sz="8" w:space="0" w:color="auto"/>
      </w:pBdr>
      <w:spacing w:before="100" w:beforeAutospacing="1" w:after="100" w:afterAutospacing="1"/>
      <w:jc w:val="right"/>
      <w:textAlignment w:val="center"/>
    </w:pPr>
    <w:rPr>
      <w:rFonts w:eastAsia="Times New Roman" w:cs="Arial"/>
      <w:b/>
      <w:bCs/>
      <w:color w:val="000000"/>
      <w:sz w:val="12"/>
      <w:szCs w:val="12"/>
    </w:rPr>
  </w:style>
  <w:style w:type="paragraph" w:customStyle="1" w:styleId="xl200">
    <w:name w:val="xl200"/>
    <w:basedOn w:val="Normal"/>
    <w:uiPriority w:val="99"/>
    <w:rsid w:val="00C71130"/>
    <w:pPr>
      <w:pBdr>
        <w:bottom w:val="single" w:sz="8" w:space="0" w:color="auto"/>
        <w:right w:val="single" w:sz="8" w:space="0" w:color="auto"/>
      </w:pBdr>
      <w:spacing w:before="100" w:beforeAutospacing="1" w:after="100" w:afterAutospacing="1"/>
      <w:jc w:val="right"/>
      <w:textAlignment w:val="center"/>
    </w:pPr>
    <w:rPr>
      <w:rFonts w:eastAsia="Times New Roman" w:cs="Arial"/>
      <w:color w:val="000000"/>
      <w:sz w:val="12"/>
      <w:szCs w:val="12"/>
    </w:rPr>
  </w:style>
  <w:style w:type="paragraph" w:customStyle="1" w:styleId="xl201">
    <w:name w:val="xl201"/>
    <w:basedOn w:val="Normal"/>
    <w:uiPriority w:val="99"/>
    <w:rsid w:val="00C71130"/>
    <w:pPr>
      <w:pBdr>
        <w:bottom w:val="single" w:sz="8" w:space="0" w:color="auto"/>
        <w:right w:val="single" w:sz="8" w:space="0" w:color="auto"/>
      </w:pBdr>
      <w:spacing w:before="100" w:beforeAutospacing="1" w:after="100" w:afterAutospacing="1"/>
      <w:jc w:val="right"/>
      <w:textAlignment w:val="center"/>
    </w:pPr>
    <w:rPr>
      <w:rFonts w:eastAsia="Times New Roman" w:cs="Arial"/>
      <w:b/>
      <w:bCs/>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7682">
      <w:bodyDiv w:val="1"/>
      <w:marLeft w:val="0"/>
      <w:marRight w:val="0"/>
      <w:marTop w:val="0"/>
      <w:marBottom w:val="0"/>
      <w:divBdr>
        <w:top w:val="none" w:sz="0" w:space="0" w:color="auto"/>
        <w:left w:val="none" w:sz="0" w:space="0" w:color="auto"/>
        <w:bottom w:val="none" w:sz="0" w:space="0" w:color="auto"/>
        <w:right w:val="none" w:sz="0" w:space="0" w:color="auto"/>
      </w:divBdr>
    </w:div>
    <w:div w:id="13504423">
      <w:bodyDiv w:val="1"/>
      <w:marLeft w:val="0"/>
      <w:marRight w:val="0"/>
      <w:marTop w:val="0"/>
      <w:marBottom w:val="0"/>
      <w:divBdr>
        <w:top w:val="none" w:sz="0" w:space="0" w:color="auto"/>
        <w:left w:val="none" w:sz="0" w:space="0" w:color="auto"/>
        <w:bottom w:val="none" w:sz="0" w:space="0" w:color="auto"/>
        <w:right w:val="none" w:sz="0" w:space="0" w:color="auto"/>
      </w:divBdr>
    </w:div>
    <w:div w:id="24260949">
      <w:bodyDiv w:val="1"/>
      <w:marLeft w:val="0"/>
      <w:marRight w:val="0"/>
      <w:marTop w:val="0"/>
      <w:marBottom w:val="0"/>
      <w:divBdr>
        <w:top w:val="none" w:sz="0" w:space="0" w:color="auto"/>
        <w:left w:val="none" w:sz="0" w:space="0" w:color="auto"/>
        <w:bottom w:val="none" w:sz="0" w:space="0" w:color="auto"/>
        <w:right w:val="none" w:sz="0" w:space="0" w:color="auto"/>
      </w:divBdr>
    </w:div>
    <w:div w:id="38551712">
      <w:bodyDiv w:val="1"/>
      <w:marLeft w:val="0"/>
      <w:marRight w:val="0"/>
      <w:marTop w:val="0"/>
      <w:marBottom w:val="0"/>
      <w:divBdr>
        <w:top w:val="none" w:sz="0" w:space="0" w:color="auto"/>
        <w:left w:val="none" w:sz="0" w:space="0" w:color="auto"/>
        <w:bottom w:val="none" w:sz="0" w:space="0" w:color="auto"/>
        <w:right w:val="none" w:sz="0" w:space="0" w:color="auto"/>
      </w:divBdr>
    </w:div>
    <w:div w:id="90439694">
      <w:bodyDiv w:val="1"/>
      <w:marLeft w:val="0"/>
      <w:marRight w:val="0"/>
      <w:marTop w:val="0"/>
      <w:marBottom w:val="0"/>
      <w:divBdr>
        <w:top w:val="none" w:sz="0" w:space="0" w:color="auto"/>
        <w:left w:val="none" w:sz="0" w:space="0" w:color="auto"/>
        <w:bottom w:val="none" w:sz="0" w:space="0" w:color="auto"/>
        <w:right w:val="none" w:sz="0" w:space="0" w:color="auto"/>
      </w:divBdr>
    </w:div>
    <w:div w:id="96414776">
      <w:bodyDiv w:val="1"/>
      <w:marLeft w:val="0"/>
      <w:marRight w:val="0"/>
      <w:marTop w:val="0"/>
      <w:marBottom w:val="0"/>
      <w:divBdr>
        <w:top w:val="none" w:sz="0" w:space="0" w:color="auto"/>
        <w:left w:val="none" w:sz="0" w:space="0" w:color="auto"/>
        <w:bottom w:val="none" w:sz="0" w:space="0" w:color="auto"/>
        <w:right w:val="none" w:sz="0" w:space="0" w:color="auto"/>
      </w:divBdr>
    </w:div>
    <w:div w:id="100493734">
      <w:bodyDiv w:val="1"/>
      <w:marLeft w:val="0"/>
      <w:marRight w:val="0"/>
      <w:marTop w:val="0"/>
      <w:marBottom w:val="0"/>
      <w:divBdr>
        <w:top w:val="none" w:sz="0" w:space="0" w:color="auto"/>
        <w:left w:val="none" w:sz="0" w:space="0" w:color="auto"/>
        <w:bottom w:val="none" w:sz="0" w:space="0" w:color="auto"/>
        <w:right w:val="none" w:sz="0" w:space="0" w:color="auto"/>
      </w:divBdr>
    </w:div>
    <w:div w:id="102237785">
      <w:bodyDiv w:val="1"/>
      <w:marLeft w:val="0"/>
      <w:marRight w:val="0"/>
      <w:marTop w:val="0"/>
      <w:marBottom w:val="0"/>
      <w:divBdr>
        <w:top w:val="none" w:sz="0" w:space="0" w:color="auto"/>
        <w:left w:val="none" w:sz="0" w:space="0" w:color="auto"/>
        <w:bottom w:val="none" w:sz="0" w:space="0" w:color="auto"/>
        <w:right w:val="none" w:sz="0" w:space="0" w:color="auto"/>
      </w:divBdr>
    </w:div>
    <w:div w:id="108932517">
      <w:bodyDiv w:val="1"/>
      <w:marLeft w:val="0"/>
      <w:marRight w:val="0"/>
      <w:marTop w:val="0"/>
      <w:marBottom w:val="0"/>
      <w:divBdr>
        <w:top w:val="none" w:sz="0" w:space="0" w:color="auto"/>
        <w:left w:val="none" w:sz="0" w:space="0" w:color="auto"/>
        <w:bottom w:val="none" w:sz="0" w:space="0" w:color="auto"/>
        <w:right w:val="none" w:sz="0" w:space="0" w:color="auto"/>
      </w:divBdr>
    </w:div>
    <w:div w:id="115412638">
      <w:bodyDiv w:val="1"/>
      <w:marLeft w:val="0"/>
      <w:marRight w:val="0"/>
      <w:marTop w:val="0"/>
      <w:marBottom w:val="0"/>
      <w:divBdr>
        <w:top w:val="none" w:sz="0" w:space="0" w:color="auto"/>
        <w:left w:val="none" w:sz="0" w:space="0" w:color="auto"/>
        <w:bottom w:val="none" w:sz="0" w:space="0" w:color="auto"/>
        <w:right w:val="none" w:sz="0" w:space="0" w:color="auto"/>
      </w:divBdr>
    </w:div>
    <w:div w:id="133328145">
      <w:bodyDiv w:val="1"/>
      <w:marLeft w:val="0"/>
      <w:marRight w:val="0"/>
      <w:marTop w:val="0"/>
      <w:marBottom w:val="0"/>
      <w:divBdr>
        <w:top w:val="none" w:sz="0" w:space="0" w:color="auto"/>
        <w:left w:val="none" w:sz="0" w:space="0" w:color="auto"/>
        <w:bottom w:val="none" w:sz="0" w:space="0" w:color="auto"/>
        <w:right w:val="none" w:sz="0" w:space="0" w:color="auto"/>
      </w:divBdr>
    </w:div>
    <w:div w:id="136648349">
      <w:bodyDiv w:val="1"/>
      <w:marLeft w:val="0"/>
      <w:marRight w:val="0"/>
      <w:marTop w:val="0"/>
      <w:marBottom w:val="0"/>
      <w:divBdr>
        <w:top w:val="none" w:sz="0" w:space="0" w:color="auto"/>
        <w:left w:val="none" w:sz="0" w:space="0" w:color="auto"/>
        <w:bottom w:val="none" w:sz="0" w:space="0" w:color="auto"/>
        <w:right w:val="none" w:sz="0" w:space="0" w:color="auto"/>
      </w:divBdr>
    </w:div>
    <w:div w:id="139737909">
      <w:bodyDiv w:val="1"/>
      <w:marLeft w:val="0"/>
      <w:marRight w:val="0"/>
      <w:marTop w:val="0"/>
      <w:marBottom w:val="0"/>
      <w:divBdr>
        <w:top w:val="none" w:sz="0" w:space="0" w:color="auto"/>
        <w:left w:val="none" w:sz="0" w:space="0" w:color="auto"/>
        <w:bottom w:val="none" w:sz="0" w:space="0" w:color="auto"/>
        <w:right w:val="none" w:sz="0" w:space="0" w:color="auto"/>
      </w:divBdr>
    </w:div>
    <w:div w:id="152528556">
      <w:bodyDiv w:val="1"/>
      <w:marLeft w:val="0"/>
      <w:marRight w:val="0"/>
      <w:marTop w:val="0"/>
      <w:marBottom w:val="0"/>
      <w:divBdr>
        <w:top w:val="none" w:sz="0" w:space="0" w:color="auto"/>
        <w:left w:val="none" w:sz="0" w:space="0" w:color="auto"/>
        <w:bottom w:val="none" w:sz="0" w:space="0" w:color="auto"/>
        <w:right w:val="none" w:sz="0" w:space="0" w:color="auto"/>
      </w:divBdr>
    </w:div>
    <w:div w:id="153571178">
      <w:bodyDiv w:val="1"/>
      <w:marLeft w:val="0"/>
      <w:marRight w:val="0"/>
      <w:marTop w:val="0"/>
      <w:marBottom w:val="0"/>
      <w:divBdr>
        <w:top w:val="none" w:sz="0" w:space="0" w:color="auto"/>
        <w:left w:val="none" w:sz="0" w:space="0" w:color="auto"/>
        <w:bottom w:val="none" w:sz="0" w:space="0" w:color="auto"/>
        <w:right w:val="none" w:sz="0" w:space="0" w:color="auto"/>
      </w:divBdr>
    </w:div>
    <w:div w:id="171919532">
      <w:bodyDiv w:val="1"/>
      <w:marLeft w:val="0"/>
      <w:marRight w:val="0"/>
      <w:marTop w:val="0"/>
      <w:marBottom w:val="0"/>
      <w:divBdr>
        <w:top w:val="none" w:sz="0" w:space="0" w:color="auto"/>
        <w:left w:val="none" w:sz="0" w:space="0" w:color="auto"/>
        <w:bottom w:val="none" w:sz="0" w:space="0" w:color="auto"/>
        <w:right w:val="none" w:sz="0" w:space="0" w:color="auto"/>
      </w:divBdr>
    </w:div>
    <w:div w:id="176308893">
      <w:bodyDiv w:val="1"/>
      <w:marLeft w:val="0"/>
      <w:marRight w:val="0"/>
      <w:marTop w:val="0"/>
      <w:marBottom w:val="0"/>
      <w:divBdr>
        <w:top w:val="none" w:sz="0" w:space="0" w:color="auto"/>
        <w:left w:val="none" w:sz="0" w:space="0" w:color="auto"/>
        <w:bottom w:val="none" w:sz="0" w:space="0" w:color="auto"/>
        <w:right w:val="none" w:sz="0" w:space="0" w:color="auto"/>
      </w:divBdr>
    </w:div>
    <w:div w:id="177545109">
      <w:bodyDiv w:val="1"/>
      <w:marLeft w:val="0"/>
      <w:marRight w:val="0"/>
      <w:marTop w:val="0"/>
      <w:marBottom w:val="0"/>
      <w:divBdr>
        <w:top w:val="none" w:sz="0" w:space="0" w:color="auto"/>
        <w:left w:val="none" w:sz="0" w:space="0" w:color="auto"/>
        <w:bottom w:val="none" w:sz="0" w:space="0" w:color="auto"/>
        <w:right w:val="none" w:sz="0" w:space="0" w:color="auto"/>
      </w:divBdr>
    </w:div>
    <w:div w:id="183829930">
      <w:bodyDiv w:val="1"/>
      <w:marLeft w:val="0"/>
      <w:marRight w:val="0"/>
      <w:marTop w:val="0"/>
      <w:marBottom w:val="0"/>
      <w:divBdr>
        <w:top w:val="none" w:sz="0" w:space="0" w:color="auto"/>
        <w:left w:val="none" w:sz="0" w:space="0" w:color="auto"/>
        <w:bottom w:val="none" w:sz="0" w:space="0" w:color="auto"/>
        <w:right w:val="none" w:sz="0" w:space="0" w:color="auto"/>
      </w:divBdr>
    </w:div>
    <w:div w:id="225992381">
      <w:bodyDiv w:val="1"/>
      <w:marLeft w:val="0"/>
      <w:marRight w:val="0"/>
      <w:marTop w:val="0"/>
      <w:marBottom w:val="0"/>
      <w:divBdr>
        <w:top w:val="none" w:sz="0" w:space="0" w:color="auto"/>
        <w:left w:val="none" w:sz="0" w:space="0" w:color="auto"/>
        <w:bottom w:val="none" w:sz="0" w:space="0" w:color="auto"/>
        <w:right w:val="none" w:sz="0" w:space="0" w:color="auto"/>
      </w:divBdr>
    </w:div>
    <w:div w:id="232929901">
      <w:bodyDiv w:val="1"/>
      <w:marLeft w:val="0"/>
      <w:marRight w:val="0"/>
      <w:marTop w:val="0"/>
      <w:marBottom w:val="0"/>
      <w:divBdr>
        <w:top w:val="none" w:sz="0" w:space="0" w:color="auto"/>
        <w:left w:val="none" w:sz="0" w:space="0" w:color="auto"/>
        <w:bottom w:val="none" w:sz="0" w:space="0" w:color="auto"/>
        <w:right w:val="none" w:sz="0" w:space="0" w:color="auto"/>
      </w:divBdr>
    </w:div>
    <w:div w:id="240607533">
      <w:bodyDiv w:val="1"/>
      <w:marLeft w:val="0"/>
      <w:marRight w:val="0"/>
      <w:marTop w:val="0"/>
      <w:marBottom w:val="0"/>
      <w:divBdr>
        <w:top w:val="none" w:sz="0" w:space="0" w:color="auto"/>
        <w:left w:val="none" w:sz="0" w:space="0" w:color="auto"/>
        <w:bottom w:val="none" w:sz="0" w:space="0" w:color="auto"/>
        <w:right w:val="none" w:sz="0" w:space="0" w:color="auto"/>
      </w:divBdr>
    </w:div>
    <w:div w:id="241763416">
      <w:bodyDiv w:val="1"/>
      <w:marLeft w:val="0"/>
      <w:marRight w:val="0"/>
      <w:marTop w:val="0"/>
      <w:marBottom w:val="0"/>
      <w:divBdr>
        <w:top w:val="none" w:sz="0" w:space="0" w:color="auto"/>
        <w:left w:val="none" w:sz="0" w:space="0" w:color="auto"/>
        <w:bottom w:val="none" w:sz="0" w:space="0" w:color="auto"/>
        <w:right w:val="none" w:sz="0" w:space="0" w:color="auto"/>
      </w:divBdr>
    </w:div>
    <w:div w:id="245382015">
      <w:bodyDiv w:val="1"/>
      <w:marLeft w:val="0"/>
      <w:marRight w:val="0"/>
      <w:marTop w:val="0"/>
      <w:marBottom w:val="0"/>
      <w:divBdr>
        <w:top w:val="none" w:sz="0" w:space="0" w:color="auto"/>
        <w:left w:val="none" w:sz="0" w:space="0" w:color="auto"/>
        <w:bottom w:val="none" w:sz="0" w:space="0" w:color="auto"/>
        <w:right w:val="none" w:sz="0" w:space="0" w:color="auto"/>
      </w:divBdr>
    </w:div>
    <w:div w:id="248738262">
      <w:bodyDiv w:val="1"/>
      <w:marLeft w:val="0"/>
      <w:marRight w:val="0"/>
      <w:marTop w:val="0"/>
      <w:marBottom w:val="0"/>
      <w:divBdr>
        <w:top w:val="none" w:sz="0" w:space="0" w:color="auto"/>
        <w:left w:val="none" w:sz="0" w:space="0" w:color="auto"/>
        <w:bottom w:val="none" w:sz="0" w:space="0" w:color="auto"/>
        <w:right w:val="none" w:sz="0" w:space="0" w:color="auto"/>
      </w:divBdr>
    </w:div>
    <w:div w:id="260259305">
      <w:bodyDiv w:val="1"/>
      <w:marLeft w:val="0"/>
      <w:marRight w:val="0"/>
      <w:marTop w:val="0"/>
      <w:marBottom w:val="0"/>
      <w:divBdr>
        <w:top w:val="none" w:sz="0" w:space="0" w:color="auto"/>
        <w:left w:val="none" w:sz="0" w:space="0" w:color="auto"/>
        <w:bottom w:val="none" w:sz="0" w:space="0" w:color="auto"/>
        <w:right w:val="none" w:sz="0" w:space="0" w:color="auto"/>
      </w:divBdr>
    </w:div>
    <w:div w:id="317348621">
      <w:bodyDiv w:val="1"/>
      <w:marLeft w:val="0"/>
      <w:marRight w:val="0"/>
      <w:marTop w:val="0"/>
      <w:marBottom w:val="0"/>
      <w:divBdr>
        <w:top w:val="none" w:sz="0" w:space="0" w:color="auto"/>
        <w:left w:val="none" w:sz="0" w:space="0" w:color="auto"/>
        <w:bottom w:val="none" w:sz="0" w:space="0" w:color="auto"/>
        <w:right w:val="none" w:sz="0" w:space="0" w:color="auto"/>
      </w:divBdr>
    </w:div>
    <w:div w:id="321155388">
      <w:bodyDiv w:val="1"/>
      <w:marLeft w:val="0"/>
      <w:marRight w:val="0"/>
      <w:marTop w:val="0"/>
      <w:marBottom w:val="0"/>
      <w:divBdr>
        <w:top w:val="none" w:sz="0" w:space="0" w:color="auto"/>
        <w:left w:val="none" w:sz="0" w:space="0" w:color="auto"/>
        <w:bottom w:val="none" w:sz="0" w:space="0" w:color="auto"/>
        <w:right w:val="none" w:sz="0" w:space="0" w:color="auto"/>
      </w:divBdr>
    </w:div>
    <w:div w:id="323974094">
      <w:bodyDiv w:val="1"/>
      <w:marLeft w:val="0"/>
      <w:marRight w:val="0"/>
      <w:marTop w:val="0"/>
      <w:marBottom w:val="0"/>
      <w:divBdr>
        <w:top w:val="none" w:sz="0" w:space="0" w:color="auto"/>
        <w:left w:val="none" w:sz="0" w:space="0" w:color="auto"/>
        <w:bottom w:val="none" w:sz="0" w:space="0" w:color="auto"/>
        <w:right w:val="none" w:sz="0" w:space="0" w:color="auto"/>
      </w:divBdr>
    </w:div>
    <w:div w:id="331834969">
      <w:bodyDiv w:val="1"/>
      <w:marLeft w:val="0"/>
      <w:marRight w:val="0"/>
      <w:marTop w:val="0"/>
      <w:marBottom w:val="0"/>
      <w:divBdr>
        <w:top w:val="none" w:sz="0" w:space="0" w:color="auto"/>
        <w:left w:val="none" w:sz="0" w:space="0" w:color="auto"/>
        <w:bottom w:val="none" w:sz="0" w:space="0" w:color="auto"/>
        <w:right w:val="none" w:sz="0" w:space="0" w:color="auto"/>
      </w:divBdr>
    </w:div>
    <w:div w:id="334960160">
      <w:bodyDiv w:val="1"/>
      <w:marLeft w:val="0"/>
      <w:marRight w:val="0"/>
      <w:marTop w:val="0"/>
      <w:marBottom w:val="0"/>
      <w:divBdr>
        <w:top w:val="none" w:sz="0" w:space="0" w:color="auto"/>
        <w:left w:val="none" w:sz="0" w:space="0" w:color="auto"/>
        <w:bottom w:val="none" w:sz="0" w:space="0" w:color="auto"/>
        <w:right w:val="none" w:sz="0" w:space="0" w:color="auto"/>
      </w:divBdr>
    </w:div>
    <w:div w:id="340007504">
      <w:bodyDiv w:val="1"/>
      <w:marLeft w:val="0"/>
      <w:marRight w:val="0"/>
      <w:marTop w:val="0"/>
      <w:marBottom w:val="0"/>
      <w:divBdr>
        <w:top w:val="none" w:sz="0" w:space="0" w:color="auto"/>
        <w:left w:val="none" w:sz="0" w:space="0" w:color="auto"/>
        <w:bottom w:val="none" w:sz="0" w:space="0" w:color="auto"/>
        <w:right w:val="none" w:sz="0" w:space="0" w:color="auto"/>
      </w:divBdr>
    </w:div>
    <w:div w:id="343017642">
      <w:bodyDiv w:val="1"/>
      <w:marLeft w:val="0"/>
      <w:marRight w:val="0"/>
      <w:marTop w:val="0"/>
      <w:marBottom w:val="0"/>
      <w:divBdr>
        <w:top w:val="none" w:sz="0" w:space="0" w:color="auto"/>
        <w:left w:val="none" w:sz="0" w:space="0" w:color="auto"/>
        <w:bottom w:val="none" w:sz="0" w:space="0" w:color="auto"/>
        <w:right w:val="none" w:sz="0" w:space="0" w:color="auto"/>
      </w:divBdr>
    </w:div>
    <w:div w:id="377627565">
      <w:bodyDiv w:val="1"/>
      <w:marLeft w:val="0"/>
      <w:marRight w:val="0"/>
      <w:marTop w:val="0"/>
      <w:marBottom w:val="0"/>
      <w:divBdr>
        <w:top w:val="none" w:sz="0" w:space="0" w:color="auto"/>
        <w:left w:val="none" w:sz="0" w:space="0" w:color="auto"/>
        <w:bottom w:val="none" w:sz="0" w:space="0" w:color="auto"/>
        <w:right w:val="none" w:sz="0" w:space="0" w:color="auto"/>
      </w:divBdr>
      <w:divsChild>
        <w:div w:id="180629378">
          <w:marLeft w:val="547"/>
          <w:marRight w:val="0"/>
          <w:marTop w:val="0"/>
          <w:marBottom w:val="0"/>
          <w:divBdr>
            <w:top w:val="none" w:sz="0" w:space="0" w:color="auto"/>
            <w:left w:val="none" w:sz="0" w:space="0" w:color="auto"/>
            <w:bottom w:val="none" w:sz="0" w:space="0" w:color="auto"/>
            <w:right w:val="none" w:sz="0" w:space="0" w:color="auto"/>
          </w:divBdr>
        </w:div>
      </w:divsChild>
    </w:div>
    <w:div w:id="381489578">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95513779">
      <w:bodyDiv w:val="1"/>
      <w:marLeft w:val="0"/>
      <w:marRight w:val="0"/>
      <w:marTop w:val="0"/>
      <w:marBottom w:val="0"/>
      <w:divBdr>
        <w:top w:val="none" w:sz="0" w:space="0" w:color="auto"/>
        <w:left w:val="none" w:sz="0" w:space="0" w:color="auto"/>
        <w:bottom w:val="none" w:sz="0" w:space="0" w:color="auto"/>
        <w:right w:val="none" w:sz="0" w:space="0" w:color="auto"/>
      </w:divBdr>
    </w:div>
    <w:div w:id="406223655">
      <w:bodyDiv w:val="1"/>
      <w:marLeft w:val="0"/>
      <w:marRight w:val="0"/>
      <w:marTop w:val="0"/>
      <w:marBottom w:val="0"/>
      <w:divBdr>
        <w:top w:val="none" w:sz="0" w:space="0" w:color="auto"/>
        <w:left w:val="none" w:sz="0" w:space="0" w:color="auto"/>
        <w:bottom w:val="none" w:sz="0" w:space="0" w:color="auto"/>
        <w:right w:val="none" w:sz="0" w:space="0" w:color="auto"/>
      </w:divBdr>
    </w:div>
    <w:div w:id="427191579">
      <w:bodyDiv w:val="1"/>
      <w:marLeft w:val="0"/>
      <w:marRight w:val="0"/>
      <w:marTop w:val="0"/>
      <w:marBottom w:val="0"/>
      <w:divBdr>
        <w:top w:val="none" w:sz="0" w:space="0" w:color="auto"/>
        <w:left w:val="none" w:sz="0" w:space="0" w:color="auto"/>
        <w:bottom w:val="none" w:sz="0" w:space="0" w:color="auto"/>
        <w:right w:val="none" w:sz="0" w:space="0" w:color="auto"/>
      </w:divBdr>
    </w:div>
    <w:div w:id="440227514">
      <w:bodyDiv w:val="1"/>
      <w:marLeft w:val="0"/>
      <w:marRight w:val="0"/>
      <w:marTop w:val="0"/>
      <w:marBottom w:val="0"/>
      <w:divBdr>
        <w:top w:val="none" w:sz="0" w:space="0" w:color="auto"/>
        <w:left w:val="none" w:sz="0" w:space="0" w:color="auto"/>
        <w:bottom w:val="none" w:sz="0" w:space="0" w:color="auto"/>
        <w:right w:val="none" w:sz="0" w:space="0" w:color="auto"/>
      </w:divBdr>
    </w:div>
    <w:div w:id="493492027">
      <w:bodyDiv w:val="1"/>
      <w:marLeft w:val="0"/>
      <w:marRight w:val="0"/>
      <w:marTop w:val="0"/>
      <w:marBottom w:val="0"/>
      <w:divBdr>
        <w:top w:val="none" w:sz="0" w:space="0" w:color="auto"/>
        <w:left w:val="none" w:sz="0" w:space="0" w:color="auto"/>
        <w:bottom w:val="none" w:sz="0" w:space="0" w:color="auto"/>
        <w:right w:val="none" w:sz="0" w:space="0" w:color="auto"/>
      </w:divBdr>
    </w:div>
    <w:div w:id="495731388">
      <w:bodyDiv w:val="1"/>
      <w:marLeft w:val="0"/>
      <w:marRight w:val="0"/>
      <w:marTop w:val="0"/>
      <w:marBottom w:val="0"/>
      <w:divBdr>
        <w:top w:val="none" w:sz="0" w:space="0" w:color="auto"/>
        <w:left w:val="none" w:sz="0" w:space="0" w:color="auto"/>
        <w:bottom w:val="none" w:sz="0" w:space="0" w:color="auto"/>
        <w:right w:val="none" w:sz="0" w:space="0" w:color="auto"/>
      </w:divBdr>
    </w:div>
    <w:div w:id="507453131">
      <w:bodyDiv w:val="1"/>
      <w:marLeft w:val="0"/>
      <w:marRight w:val="0"/>
      <w:marTop w:val="0"/>
      <w:marBottom w:val="0"/>
      <w:divBdr>
        <w:top w:val="none" w:sz="0" w:space="0" w:color="auto"/>
        <w:left w:val="none" w:sz="0" w:space="0" w:color="auto"/>
        <w:bottom w:val="none" w:sz="0" w:space="0" w:color="auto"/>
        <w:right w:val="none" w:sz="0" w:space="0" w:color="auto"/>
      </w:divBdr>
    </w:div>
    <w:div w:id="532377308">
      <w:bodyDiv w:val="1"/>
      <w:marLeft w:val="0"/>
      <w:marRight w:val="0"/>
      <w:marTop w:val="0"/>
      <w:marBottom w:val="0"/>
      <w:divBdr>
        <w:top w:val="none" w:sz="0" w:space="0" w:color="auto"/>
        <w:left w:val="none" w:sz="0" w:space="0" w:color="auto"/>
        <w:bottom w:val="none" w:sz="0" w:space="0" w:color="auto"/>
        <w:right w:val="none" w:sz="0" w:space="0" w:color="auto"/>
      </w:divBdr>
    </w:div>
    <w:div w:id="546991151">
      <w:bodyDiv w:val="1"/>
      <w:marLeft w:val="0"/>
      <w:marRight w:val="0"/>
      <w:marTop w:val="0"/>
      <w:marBottom w:val="0"/>
      <w:divBdr>
        <w:top w:val="none" w:sz="0" w:space="0" w:color="auto"/>
        <w:left w:val="none" w:sz="0" w:space="0" w:color="auto"/>
        <w:bottom w:val="none" w:sz="0" w:space="0" w:color="auto"/>
        <w:right w:val="none" w:sz="0" w:space="0" w:color="auto"/>
      </w:divBdr>
    </w:div>
    <w:div w:id="548419087">
      <w:bodyDiv w:val="1"/>
      <w:marLeft w:val="0"/>
      <w:marRight w:val="0"/>
      <w:marTop w:val="0"/>
      <w:marBottom w:val="0"/>
      <w:divBdr>
        <w:top w:val="none" w:sz="0" w:space="0" w:color="auto"/>
        <w:left w:val="none" w:sz="0" w:space="0" w:color="auto"/>
        <w:bottom w:val="none" w:sz="0" w:space="0" w:color="auto"/>
        <w:right w:val="none" w:sz="0" w:space="0" w:color="auto"/>
      </w:divBdr>
    </w:div>
    <w:div w:id="566889678">
      <w:bodyDiv w:val="1"/>
      <w:marLeft w:val="0"/>
      <w:marRight w:val="0"/>
      <w:marTop w:val="0"/>
      <w:marBottom w:val="0"/>
      <w:divBdr>
        <w:top w:val="none" w:sz="0" w:space="0" w:color="auto"/>
        <w:left w:val="none" w:sz="0" w:space="0" w:color="auto"/>
        <w:bottom w:val="none" w:sz="0" w:space="0" w:color="auto"/>
        <w:right w:val="none" w:sz="0" w:space="0" w:color="auto"/>
      </w:divBdr>
    </w:div>
    <w:div w:id="578751689">
      <w:bodyDiv w:val="1"/>
      <w:marLeft w:val="0"/>
      <w:marRight w:val="0"/>
      <w:marTop w:val="0"/>
      <w:marBottom w:val="0"/>
      <w:divBdr>
        <w:top w:val="none" w:sz="0" w:space="0" w:color="auto"/>
        <w:left w:val="none" w:sz="0" w:space="0" w:color="auto"/>
        <w:bottom w:val="none" w:sz="0" w:space="0" w:color="auto"/>
        <w:right w:val="none" w:sz="0" w:space="0" w:color="auto"/>
      </w:divBdr>
    </w:div>
    <w:div w:id="594750244">
      <w:bodyDiv w:val="1"/>
      <w:marLeft w:val="0"/>
      <w:marRight w:val="0"/>
      <w:marTop w:val="0"/>
      <w:marBottom w:val="0"/>
      <w:divBdr>
        <w:top w:val="none" w:sz="0" w:space="0" w:color="auto"/>
        <w:left w:val="none" w:sz="0" w:space="0" w:color="auto"/>
        <w:bottom w:val="none" w:sz="0" w:space="0" w:color="auto"/>
        <w:right w:val="none" w:sz="0" w:space="0" w:color="auto"/>
      </w:divBdr>
    </w:div>
    <w:div w:id="605894392">
      <w:bodyDiv w:val="1"/>
      <w:marLeft w:val="0"/>
      <w:marRight w:val="0"/>
      <w:marTop w:val="0"/>
      <w:marBottom w:val="0"/>
      <w:divBdr>
        <w:top w:val="none" w:sz="0" w:space="0" w:color="auto"/>
        <w:left w:val="none" w:sz="0" w:space="0" w:color="auto"/>
        <w:bottom w:val="none" w:sz="0" w:space="0" w:color="auto"/>
        <w:right w:val="none" w:sz="0" w:space="0" w:color="auto"/>
      </w:divBdr>
    </w:div>
    <w:div w:id="611742026">
      <w:bodyDiv w:val="1"/>
      <w:marLeft w:val="0"/>
      <w:marRight w:val="0"/>
      <w:marTop w:val="0"/>
      <w:marBottom w:val="0"/>
      <w:divBdr>
        <w:top w:val="none" w:sz="0" w:space="0" w:color="auto"/>
        <w:left w:val="none" w:sz="0" w:space="0" w:color="auto"/>
        <w:bottom w:val="none" w:sz="0" w:space="0" w:color="auto"/>
        <w:right w:val="none" w:sz="0" w:space="0" w:color="auto"/>
      </w:divBdr>
    </w:div>
    <w:div w:id="612908923">
      <w:bodyDiv w:val="1"/>
      <w:marLeft w:val="0"/>
      <w:marRight w:val="0"/>
      <w:marTop w:val="0"/>
      <w:marBottom w:val="0"/>
      <w:divBdr>
        <w:top w:val="none" w:sz="0" w:space="0" w:color="auto"/>
        <w:left w:val="none" w:sz="0" w:space="0" w:color="auto"/>
        <w:bottom w:val="none" w:sz="0" w:space="0" w:color="auto"/>
        <w:right w:val="none" w:sz="0" w:space="0" w:color="auto"/>
      </w:divBdr>
    </w:div>
    <w:div w:id="619458800">
      <w:bodyDiv w:val="1"/>
      <w:marLeft w:val="0"/>
      <w:marRight w:val="0"/>
      <w:marTop w:val="0"/>
      <w:marBottom w:val="0"/>
      <w:divBdr>
        <w:top w:val="none" w:sz="0" w:space="0" w:color="auto"/>
        <w:left w:val="none" w:sz="0" w:space="0" w:color="auto"/>
        <w:bottom w:val="none" w:sz="0" w:space="0" w:color="auto"/>
        <w:right w:val="none" w:sz="0" w:space="0" w:color="auto"/>
      </w:divBdr>
    </w:div>
    <w:div w:id="620527044">
      <w:bodyDiv w:val="1"/>
      <w:marLeft w:val="0"/>
      <w:marRight w:val="0"/>
      <w:marTop w:val="0"/>
      <w:marBottom w:val="0"/>
      <w:divBdr>
        <w:top w:val="none" w:sz="0" w:space="0" w:color="auto"/>
        <w:left w:val="none" w:sz="0" w:space="0" w:color="auto"/>
        <w:bottom w:val="none" w:sz="0" w:space="0" w:color="auto"/>
        <w:right w:val="none" w:sz="0" w:space="0" w:color="auto"/>
      </w:divBdr>
    </w:div>
    <w:div w:id="627509255">
      <w:bodyDiv w:val="1"/>
      <w:marLeft w:val="0"/>
      <w:marRight w:val="0"/>
      <w:marTop w:val="0"/>
      <w:marBottom w:val="0"/>
      <w:divBdr>
        <w:top w:val="none" w:sz="0" w:space="0" w:color="auto"/>
        <w:left w:val="none" w:sz="0" w:space="0" w:color="auto"/>
        <w:bottom w:val="none" w:sz="0" w:space="0" w:color="auto"/>
        <w:right w:val="none" w:sz="0" w:space="0" w:color="auto"/>
      </w:divBdr>
    </w:div>
    <w:div w:id="630091899">
      <w:bodyDiv w:val="1"/>
      <w:marLeft w:val="0"/>
      <w:marRight w:val="0"/>
      <w:marTop w:val="0"/>
      <w:marBottom w:val="0"/>
      <w:divBdr>
        <w:top w:val="none" w:sz="0" w:space="0" w:color="auto"/>
        <w:left w:val="none" w:sz="0" w:space="0" w:color="auto"/>
        <w:bottom w:val="none" w:sz="0" w:space="0" w:color="auto"/>
        <w:right w:val="none" w:sz="0" w:space="0" w:color="auto"/>
      </w:divBdr>
    </w:div>
    <w:div w:id="635448150">
      <w:bodyDiv w:val="1"/>
      <w:marLeft w:val="0"/>
      <w:marRight w:val="0"/>
      <w:marTop w:val="0"/>
      <w:marBottom w:val="0"/>
      <w:divBdr>
        <w:top w:val="none" w:sz="0" w:space="0" w:color="auto"/>
        <w:left w:val="none" w:sz="0" w:space="0" w:color="auto"/>
        <w:bottom w:val="none" w:sz="0" w:space="0" w:color="auto"/>
        <w:right w:val="none" w:sz="0" w:space="0" w:color="auto"/>
      </w:divBdr>
    </w:div>
    <w:div w:id="636225009">
      <w:bodyDiv w:val="1"/>
      <w:marLeft w:val="0"/>
      <w:marRight w:val="0"/>
      <w:marTop w:val="0"/>
      <w:marBottom w:val="0"/>
      <w:divBdr>
        <w:top w:val="none" w:sz="0" w:space="0" w:color="auto"/>
        <w:left w:val="none" w:sz="0" w:space="0" w:color="auto"/>
        <w:bottom w:val="none" w:sz="0" w:space="0" w:color="auto"/>
        <w:right w:val="none" w:sz="0" w:space="0" w:color="auto"/>
      </w:divBdr>
    </w:div>
    <w:div w:id="640307042">
      <w:bodyDiv w:val="1"/>
      <w:marLeft w:val="0"/>
      <w:marRight w:val="0"/>
      <w:marTop w:val="0"/>
      <w:marBottom w:val="0"/>
      <w:divBdr>
        <w:top w:val="none" w:sz="0" w:space="0" w:color="auto"/>
        <w:left w:val="none" w:sz="0" w:space="0" w:color="auto"/>
        <w:bottom w:val="none" w:sz="0" w:space="0" w:color="auto"/>
        <w:right w:val="none" w:sz="0" w:space="0" w:color="auto"/>
      </w:divBdr>
    </w:div>
    <w:div w:id="644356682">
      <w:bodyDiv w:val="1"/>
      <w:marLeft w:val="0"/>
      <w:marRight w:val="0"/>
      <w:marTop w:val="0"/>
      <w:marBottom w:val="0"/>
      <w:divBdr>
        <w:top w:val="none" w:sz="0" w:space="0" w:color="auto"/>
        <w:left w:val="none" w:sz="0" w:space="0" w:color="auto"/>
        <w:bottom w:val="none" w:sz="0" w:space="0" w:color="auto"/>
        <w:right w:val="none" w:sz="0" w:space="0" w:color="auto"/>
      </w:divBdr>
    </w:div>
    <w:div w:id="649792428">
      <w:bodyDiv w:val="1"/>
      <w:marLeft w:val="0"/>
      <w:marRight w:val="0"/>
      <w:marTop w:val="0"/>
      <w:marBottom w:val="0"/>
      <w:divBdr>
        <w:top w:val="none" w:sz="0" w:space="0" w:color="auto"/>
        <w:left w:val="none" w:sz="0" w:space="0" w:color="auto"/>
        <w:bottom w:val="none" w:sz="0" w:space="0" w:color="auto"/>
        <w:right w:val="none" w:sz="0" w:space="0" w:color="auto"/>
      </w:divBdr>
    </w:div>
    <w:div w:id="69168748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
    <w:div w:id="735980811">
      <w:bodyDiv w:val="1"/>
      <w:marLeft w:val="0"/>
      <w:marRight w:val="0"/>
      <w:marTop w:val="0"/>
      <w:marBottom w:val="0"/>
      <w:divBdr>
        <w:top w:val="none" w:sz="0" w:space="0" w:color="auto"/>
        <w:left w:val="none" w:sz="0" w:space="0" w:color="auto"/>
        <w:bottom w:val="none" w:sz="0" w:space="0" w:color="auto"/>
        <w:right w:val="none" w:sz="0" w:space="0" w:color="auto"/>
      </w:divBdr>
    </w:div>
    <w:div w:id="776490717">
      <w:bodyDiv w:val="1"/>
      <w:marLeft w:val="0"/>
      <w:marRight w:val="0"/>
      <w:marTop w:val="0"/>
      <w:marBottom w:val="0"/>
      <w:divBdr>
        <w:top w:val="none" w:sz="0" w:space="0" w:color="auto"/>
        <w:left w:val="none" w:sz="0" w:space="0" w:color="auto"/>
        <w:bottom w:val="none" w:sz="0" w:space="0" w:color="auto"/>
        <w:right w:val="none" w:sz="0" w:space="0" w:color="auto"/>
      </w:divBdr>
    </w:div>
    <w:div w:id="781266749">
      <w:bodyDiv w:val="1"/>
      <w:marLeft w:val="0"/>
      <w:marRight w:val="0"/>
      <w:marTop w:val="0"/>
      <w:marBottom w:val="0"/>
      <w:divBdr>
        <w:top w:val="none" w:sz="0" w:space="0" w:color="auto"/>
        <w:left w:val="none" w:sz="0" w:space="0" w:color="auto"/>
        <w:bottom w:val="none" w:sz="0" w:space="0" w:color="auto"/>
        <w:right w:val="none" w:sz="0" w:space="0" w:color="auto"/>
      </w:divBdr>
    </w:div>
    <w:div w:id="788162176">
      <w:bodyDiv w:val="1"/>
      <w:marLeft w:val="0"/>
      <w:marRight w:val="0"/>
      <w:marTop w:val="0"/>
      <w:marBottom w:val="0"/>
      <w:divBdr>
        <w:top w:val="none" w:sz="0" w:space="0" w:color="auto"/>
        <w:left w:val="none" w:sz="0" w:space="0" w:color="auto"/>
        <w:bottom w:val="none" w:sz="0" w:space="0" w:color="auto"/>
        <w:right w:val="none" w:sz="0" w:space="0" w:color="auto"/>
      </w:divBdr>
    </w:div>
    <w:div w:id="790322250">
      <w:bodyDiv w:val="1"/>
      <w:marLeft w:val="0"/>
      <w:marRight w:val="0"/>
      <w:marTop w:val="0"/>
      <w:marBottom w:val="0"/>
      <w:divBdr>
        <w:top w:val="none" w:sz="0" w:space="0" w:color="auto"/>
        <w:left w:val="none" w:sz="0" w:space="0" w:color="auto"/>
        <w:bottom w:val="none" w:sz="0" w:space="0" w:color="auto"/>
        <w:right w:val="none" w:sz="0" w:space="0" w:color="auto"/>
      </w:divBdr>
    </w:div>
    <w:div w:id="794254557">
      <w:bodyDiv w:val="1"/>
      <w:marLeft w:val="0"/>
      <w:marRight w:val="0"/>
      <w:marTop w:val="0"/>
      <w:marBottom w:val="0"/>
      <w:divBdr>
        <w:top w:val="none" w:sz="0" w:space="0" w:color="auto"/>
        <w:left w:val="none" w:sz="0" w:space="0" w:color="auto"/>
        <w:bottom w:val="none" w:sz="0" w:space="0" w:color="auto"/>
        <w:right w:val="none" w:sz="0" w:space="0" w:color="auto"/>
      </w:divBdr>
    </w:div>
    <w:div w:id="799225681">
      <w:bodyDiv w:val="1"/>
      <w:marLeft w:val="0"/>
      <w:marRight w:val="0"/>
      <w:marTop w:val="0"/>
      <w:marBottom w:val="0"/>
      <w:divBdr>
        <w:top w:val="none" w:sz="0" w:space="0" w:color="auto"/>
        <w:left w:val="none" w:sz="0" w:space="0" w:color="auto"/>
        <w:bottom w:val="none" w:sz="0" w:space="0" w:color="auto"/>
        <w:right w:val="none" w:sz="0" w:space="0" w:color="auto"/>
      </w:divBdr>
    </w:div>
    <w:div w:id="801582632">
      <w:bodyDiv w:val="1"/>
      <w:marLeft w:val="0"/>
      <w:marRight w:val="0"/>
      <w:marTop w:val="0"/>
      <w:marBottom w:val="0"/>
      <w:divBdr>
        <w:top w:val="none" w:sz="0" w:space="0" w:color="auto"/>
        <w:left w:val="none" w:sz="0" w:space="0" w:color="auto"/>
        <w:bottom w:val="none" w:sz="0" w:space="0" w:color="auto"/>
        <w:right w:val="none" w:sz="0" w:space="0" w:color="auto"/>
      </w:divBdr>
    </w:div>
    <w:div w:id="815146309">
      <w:bodyDiv w:val="1"/>
      <w:marLeft w:val="0"/>
      <w:marRight w:val="0"/>
      <w:marTop w:val="0"/>
      <w:marBottom w:val="0"/>
      <w:divBdr>
        <w:top w:val="none" w:sz="0" w:space="0" w:color="auto"/>
        <w:left w:val="none" w:sz="0" w:space="0" w:color="auto"/>
        <w:bottom w:val="none" w:sz="0" w:space="0" w:color="auto"/>
        <w:right w:val="none" w:sz="0" w:space="0" w:color="auto"/>
      </w:divBdr>
    </w:div>
    <w:div w:id="829709570">
      <w:bodyDiv w:val="1"/>
      <w:marLeft w:val="0"/>
      <w:marRight w:val="0"/>
      <w:marTop w:val="0"/>
      <w:marBottom w:val="0"/>
      <w:divBdr>
        <w:top w:val="none" w:sz="0" w:space="0" w:color="auto"/>
        <w:left w:val="none" w:sz="0" w:space="0" w:color="auto"/>
        <w:bottom w:val="none" w:sz="0" w:space="0" w:color="auto"/>
        <w:right w:val="none" w:sz="0" w:space="0" w:color="auto"/>
      </w:divBdr>
    </w:div>
    <w:div w:id="875897341">
      <w:bodyDiv w:val="1"/>
      <w:marLeft w:val="0"/>
      <w:marRight w:val="0"/>
      <w:marTop w:val="0"/>
      <w:marBottom w:val="0"/>
      <w:divBdr>
        <w:top w:val="none" w:sz="0" w:space="0" w:color="auto"/>
        <w:left w:val="none" w:sz="0" w:space="0" w:color="auto"/>
        <w:bottom w:val="none" w:sz="0" w:space="0" w:color="auto"/>
        <w:right w:val="none" w:sz="0" w:space="0" w:color="auto"/>
      </w:divBdr>
    </w:div>
    <w:div w:id="878586354">
      <w:bodyDiv w:val="1"/>
      <w:marLeft w:val="0"/>
      <w:marRight w:val="0"/>
      <w:marTop w:val="0"/>
      <w:marBottom w:val="0"/>
      <w:divBdr>
        <w:top w:val="none" w:sz="0" w:space="0" w:color="auto"/>
        <w:left w:val="none" w:sz="0" w:space="0" w:color="auto"/>
        <w:bottom w:val="none" w:sz="0" w:space="0" w:color="auto"/>
        <w:right w:val="none" w:sz="0" w:space="0" w:color="auto"/>
      </w:divBdr>
    </w:div>
    <w:div w:id="893547442">
      <w:bodyDiv w:val="1"/>
      <w:marLeft w:val="0"/>
      <w:marRight w:val="0"/>
      <w:marTop w:val="0"/>
      <w:marBottom w:val="0"/>
      <w:divBdr>
        <w:top w:val="none" w:sz="0" w:space="0" w:color="auto"/>
        <w:left w:val="none" w:sz="0" w:space="0" w:color="auto"/>
        <w:bottom w:val="none" w:sz="0" w:space="0" w:color="auto"/>
        <w:right w:val="none" w:sz="0" w:space="0" w:color="auto"/>
      </w:divBdr>
    </w:div>
    <w:div w:id="900678957">
      <w:bodyDiv w:val="1"/>
      <w:marLeft w:val="0"/>
      <w:marRight w:val="0"/>
      <w:marTop w:val="0"/>
      <w:marBottom w:val="0"/>
      <w:divBdr>
        <w:top w:val="none" w:sz="0" w:space="0" w:color="auto"/>
        <w:left w:val="none" w:sz="0" w:space="0" w:color="auto"/>
        <w:bottom w:val="none" w:sz="0" w:space="0" w:color="auto"/>
        <w:right w:val="none" w:sz="0" w:space="0" w:color="auto"/>
      </w:divBdr>
    </w:div>
    <w:div w:id="918054734">
      <w:bodyDiv w:val="1"/>
      <w:marLeft w:val="0"/>
      <w:marRight w:val="0"/>
      <w:marTop w:val="0"/>
      <w:marBottom w:val="0"/>
      <w:divBdr>
        <w:top w:val="none" w:sz="0" w:space="0" w:color="auto"/>
        <w:left w:val="none" w:sz="0" w:space="0" w:color="auto"/>
        <w:bottom w:val="none" w:sz="0" w:space="0" w:color="auto"/>
        <w:right w:val="none" w:sz="0" w:space="0" w:color="auto"/>
      </w:divBdr>
    </w:div>
    <w:div w:id="918097171">
      <w:bodyDiv w:val="1"/>
      <w:marLeft w:val="0"/>
      <w:marRight w:val="0"/>
      <w:marTop w:val="0"/>
      <w:marBottom w:val="0"/>
      <w:divBdr>
        <w:top w:val="none" w:sz="0" w:space="0" w:color="auto"/>
        <w:left w:val="none" w:sz="0" w:space="0" w:color="auto"/>
        <w:bottom w:val="none" w:sz="0" w:space="0" w:color="auto"/>
        <w:right w:val="none" w:sz="0" w:space="0" w:color="auto"/>
      </w:divBdr>
    </w:div>
    <w:div w:id="919019748">
      <w:bodyDiv w:val="1"/>
      <w:marLeft w:val="0"/>
      <w:marRight w:val="0"/>
      <w:marTop w:val="0"/>
      <w:marBottom w:val="0"/>
      <w:divBdr>
        <w:top w:val="none" w:sz="0" w:space="0" w:color="auto"/>
        <w:left w:val="none" w:sz="0" w:space="0" w:color="auto"/>
        <w:bottom w:val="none" w:sz="0" w:space="0" w:color="auto"/>
        <w:right w:val="none" w:sz="0" w:space="0" w:color="auto"/>
      </w:divBdr>
    </w:div>
    <w:div w:id="925653769">
      <w:bodyDiv w:val="1"/>
      <w:marLeft w:val="0"/>
      <w:marRight w:val="0"/>
      <w:marTop w:val="0"/>
      <w:marBottom w:val="0"/>
      <w:divBdr>
        <w:top w:val="none" w:sz="0" w:space="0" w:color="auto"/>
        <w:left w:val="none" w:sz="0" w:space="0" w:color="auto"/>
        <w:bottom w:val="none" w:sz="0" w:space="0" w:color="auto"/>
        <w:right w:val="none" w:sz="0" w:space="0" w:color="auto"/>
      </w:divBdr>
    </w:div>
    <w:div w:id="938564654">
      <w:bodyDiv w:val="1"/>
      <w:marLeft w:val="0"/>
      <w:marRight w:val="0"/>
      <w:marTop w:val="0"/>
      <w:marBottom w:val="0"/>
      <w:divBdr>
        <w:top w:val="none" w:sz="0" w:space="0" w:color="auto"/>
        <w:left w:val="none" w:sz="0" w:space="0" w:color="auto"/>
        <w:bottom w:val="none" w:sz="0" w:space="0" w:color="auto"/>
        <w:right w:val="none" w:sz="0" w:space="0" w:color="auto"/>
      </w:divBdr>
    </w:div>
    <w:div w:id="962419080">
      <w:bodyDiv w:val="1"/>
      <w:marLeft w:val="0"/>
      <w:marRight w:val="0"/>
      <w:marTop w:val="0"/>
      <w:marBottom w:val="0"/>
      <w:divBdr>
        <w:top w:val="none" w:sz="0" w:space="0" w:color="auto"/>
        <w:left w:val="none" w:sz="0" w:space="0" w:color="auto"/>
        <w:bottom w:val="none" w:sz="0" w:space="0" w:color="auto"/>
        <w:right w:val="none" w:sz="0" w:space="0" w:color="auto"/>
      </w:divBdr>
    </w:div>
    <w:div w:id="962419475">
      <w:bodyDiv w:val="1"/>
      <w:marLeft w:val="0"/>
      <w:marRight w:val="0"/>
      <w:marTop w:val="0"/>
      <w:marBottom w:val="0"/>
      <w:divBdr>
        <w:top w:val="none" w:sz="0" w:space="0" w:color="auto"/>
        <w:left w:val="none" w:sz="0" w:space="0" w:color="auto"/>
        <w:bottom w:val="none" w:sz="0" w:space="0" w:color="auto"/>
        <w:right w:val="none" w:sz="0" w:space="0" w:color="auto"/>
      </w:divBdr>
    </w:div>
    <w:div w:id="978732466">
      <w:bodyDiv w:val="1"/>
      <w:marLeft w:val="0"/>
      <w:marRight w:val="0"/>
      <w:marTop w:val="0"/>
      <w:marBottom w:val="0"/>
      <w:divBdr>
        <w:top w:val="none" w:sz="0" w:space="0" w:color="auto"/>
        <w:left w:val="none" w:sz="0" w:space="0" w:color="auto"/>
        <w:bottom w:val="none" w:sz="0" w:space="0" w:color="auto"/>
        <w:right w:val="none" w:sz="0" w:space="0" w:color="auto"/>
      </w:divBdr>
    </w:div>
    <w:div w:id="981931612">
      <w:bodyDiv w:val="1"/>
      <w:marLeft w:val="0"/>
      <w:marRight w:val="0"/>
      <w:marTop w:val="0"/>
      <w:marBottom w:val="0"/>
      <w:divBdr>
        <w:top w:val="none" w:sz="0" w:space="0" w:color="auto"/>
        <w:left w:val="none" w:sz="0" w:space="0" w:color="auto"/>
        <w:bottom w:val="none" w:sz="0" w:space="0" w:color="auto"/>
        <w:right w:val="none" w:sz="0" w:space="0" w:color="auto"/>
      </w:divBdr>
    </w:div>
    <w:div w:id="983774465">
      <w:bodyDiv w:val="1"/>
      <w:marLeft w:val="0"/>
      <w:marRight w:val="0"/>
      <w:marTop w:val="0"/>
      <w:marBottom w:val="0"/>
      <w:divBdr>
        <w:top w:val="none" w:sz="0" w:space="0" w:color="auto"/>
        <w:left w:val="none" w:sz="0" w:space="0" w:color="auto"/>
        <w:bottom w:val="none" w:sz="0" w:space="0" w:color="auto"/>
        <w:right w:val="none" w:sz="0" w:space="0" w:color="auto"/>
      </w:divBdr>
    </w:div>
    <w:div w:id="1000933845">
      <w:bodyDiv w:val="1"/>
      <w:marLeft w:val="0"/>
      <w:marRight w:val="0"/>
      <w:marTop w:val="0"/>
      <w:marBottom w:val="0"/>
      <w:divBdr>
        <w:top w:val="none" w:sz="0" w:space="0" w:color="auto"/>
        <w:left w:val="none" w:sz="0" w:space="0" w:color="auto"/>
        <w:bottom w:val="none" w:sz="0" w:space="0" w:color="auto"/>
        <w:right w:val="none" w:sz="0" w:space="0" w:color="auto"/>
      </w:divBdr>
    </w:div>
    <w:div w:id="1003703357">
      <w:bodyDiv w:val="1"/>
      <w:marLeft w:val="0"/>
      <w:marRight w:val="0"/>
      <w:marTop w:val="0"/>
      <w:marBottom w:val="0"/>
      <w:divBdr>
        <w:top w:val="none" w:sz="0" w:space="0" w:color="auto"/>
        <w:left w:val="none" w:sz="0" w:space="0" w:color="auto"/>
        <w:bottom w:val="none" w:sz="0" w:space="0" w:color="auto"/>
        <w:right w:val="none" w:sz="0" w:space="0" w:color="auto"/>
      </w:divBdr>
    </w:div>
    <w:div w:id="1005134008">
      <w:bodyDiv w:val="1"/>
      <w:marLeft w:val="0"/>
      <w:marRight w:val="0"/>
      <w:marTop w:val="0"/>
      <w:marBottom w:val="0"/>
      <w:divBdr>
        <w:top w:val="none" w:sz="0" w:space="0" w:color="auto"/>
        <w:left w:val="none" w:sz="0" w:space="0" w:color="auto"/>
        <w:bottom w:val="none" w:sz="0" w:space="0" w:color="auto"/>
        <w:right w:val="none" w:sz="0" w:space="0" w:color="auto"/>
      </w:divBdr>
    </w:div>
    <w:div w:id="1010638227">
      <w:bodyDiv w:val="1"/>
      <w:marLeft w:val="0"/>
      <w:marRight w:val="0"/>
      <w:marTop w:val="0"/>
      <w:marBottom w:val="0"/>
      <w:divBdr>
        <w:top w:val="none" w:sz="0" w:space="0" w:color="auto"/>
        <w:left w:val="none" w:sz="0" w:space="0" w:color="auto"/>
        <w:bottom w:val="none" w:sz="0" w:space="0" w:color="auto"/>
        <w:right w:val="none" w:sz="0" w:space="0" w:color="auto"/>
      </w:divBdr>
    </w:div>
    <w:div w:id="1019820817">
      <w:bodyDiv w:val="1"/>
      <w:marLeft w:val="0"/>
      <w:marRight w:val="0"/>
      <w:marTop w:val="0"/>
      <w:marBottom w:val="0"/>
      <w:divBdr>
        <w:top w:val="none" w:sz="0" w:space="0" w:color="auto"/>
        <w:left w:val="none" w:sz="0" w:space="0" w:color="auto"/>
        <w:bottom w:val="none" w:sz="0" w:space="0" w:color="auto"/>
        <w:right w:val="none" w:sz="0" w:space="0" w:color="auto"/>
      </w:divBdr>
    </w:div>
    <w:div w:id="1025205355">
      <w:bodyDiv w:val="1"/>
      <w:marLeft w:val="0"/>
      <w:marRight w:val="0"/>
      <w:marTop w:val="0"/>
      <w:marBottom w:val="0"/>
      <w:divBdr>
        <w:top w:val="none" w:sz="0" w:space="0" w:color="auto"/>
        <w:left w:val="none" w:sz="0" w:space="0" w:color="auto"/>
        <w:bottom w:val="none" w:sz="0" w:space="0" w:color="auto"/>
        <w:right w:val="none" w:sz="0" w:space="0" w:color="auto"/>
      </w:divBdr>
    </w:div>
    <w:div w:id="1031421576">
      <w:bodyDiv w:val="1"/>
      <w:marLeft w:val="0"/>
      <w:marRight w:val="0"/>
      <w:marTop w:val="0"/>
      <w:marBottom w:val="0"/>
      <w:divBdr>
        <w:top w:val="none" w:sz="0" w:space="0" w:color="auto"/>
        <w:left w:val="none" w:sz="0" w:space="0" w:color="auto"/>
        <w:bottom w:val="none" w:sz="0" w:space="0" w:color="auto"/>
        <w:right w:val="none" w:sz="0" w:space="0" w:color="auto"/>
      </w:divBdr>
    </w:div>
    <w:div w:id="1061560807">
      <w:bodyDiv w:val="1"/>
      <w:marLeft w:val="0"/>
      <w:marRight w:val="0"/>
      <w:marTop w:val="0"/>
      <w:marBottom w:val="0"/>
      <w:divBdr>
        <w:top w:val="none" w:sz="0" w:space="0" w:color="auto"/>
        <w:left w:val="none" w:sz="0" w:space="0" w:color="auto"/>
        <w:bottom w:val="none" w:sz="0" w:space="0" w:color="auto"/>
        <w:right w:val="none" w:sz="0" w:space="0" w:color="auto"/>
      </w:divBdr>
    </w:div>
    <w:div w:id="1085300187">
      <w:bodyDiv w:val="1"/>
      <w:marLeft w:val="0"/>
      <w:marRight w:val="0"/>
      <w:marTop w:val="0"/>
      <w:marBottom w:val="0"/>
      <w:divBdr>
        <w:top w:val="none" w:sz="0" w:space="0" w:color="auto"/>
        <w:left w:val="none" w:sz="0" w:space="0" w:color="auto"/>
        <w:bottom w:val="none" w:sz="0" w:space="0" w:color="auto"/>
        <w:right w:val="none" w:sz="0" w:space="0" w:color="auto"/>
      </w:divBdr>
    </w:div>
    <w:div w:id="1087649160">
      <w:bodyDiv w:val="1"/>
      <w:marLeft w:val="0"/>
      <w:marRight w:val="0"/>
      <w:marTop w:val="0"/>
      <w:marBottom w:val="0"/>
      <w:divBdr>
        <w:top w:val="none" w:sz="0" w:space="0" w:color="auto"/>
        <w:left w:val="none" w:sz="0" w:space="0" w:color="auto"/>
        <w:bottom w:val="none" w:sz="0" w:space="0" w:color="auto"/>
        <w:right w:val="none" w:sz="0" w:space="0" w:color="auto"/>
      </w:divBdr>
    </w:div>
    <w:div w:id="1104301918">
      <w:bodyDiv w:val="1"/>
      <w:marLeft w:val="0"/>
      <w:marRight w:val="0"/>
      <w:marTop w:val="0"/>
      <w:marBottom w:val="0"/>
      <w:divBdr>
        <w:top w:val="none" w:sz="0" w:space="0" w:color="auto"/>
        <w:left w:val="none" w:sz="0" w:space="0" w:color="auto"/>
        <w:bottom w:val="none" w:sz="0" w:space="0" w:color="auto"/>
        <w:right w:val="none" w:sz="0" w:space="0" w:color="auto"/>
      </w:divBdr>
    </w:div>
    <w:div w:id="1128276547">
      <w:bodyDiv w:val="1"/>
      <w:marLeft w:val="0"/>
      <w:marRight w:val="0"/>
      <w:marTop w:val="0"/>
      <w:marBottom w:val="0"/>
      <w:divBdr>
        <w:top w:val="none" w:sz="0" w:space="0" w:color="auto"/>
        <w:left w:val="none" w:sz="0" w:space="0" w:color="auto"/>
        <w:bottom w:val="none" w:sz="0" w:space="0" w:color="auto"/>
        <w:right w:val="none" w:sz="0" w:space="0" w:color="auto"/>
      </w:divBdr>
    </w:div>
    <w:div w:id="1145585575">
      <w:bodyDiv w:val="1"/>
      <w:marLeft w:val="0"/>
      <w:marRight w:val="0"/>
      <w:marTop w:val="0"/>
      <w:marBottom w:val="0"/>
      <w:divBdr>
        <w:top w:val="none" w:sz="0" w:space="0" w:color="auto"/>
        <w:left w:val="none" w:sz="0" w:space="0" w:color="auto"/>
        <w:bottom w:val="none" w:sz="0" w:space="0" w:color="auto"/>
        <w:right w:val="none" w:sz="0" w:space="0" w:color="auto"/>
      </w:divBdr>
    </w:div>
    <w:div w:id="1160804669">
      <w:bodyDiv w:val="1"/>
      <w:marLeft w:val="0"/>
      <w:marRight w:val="0"/>
      <w:marTop w:val="0"/>
      <w:marBottom w:val="0"/>
      <w:divBdr>
        <w:top w:val="none" w:sz="0" w:space="0" w:color="auto"/>
        <w:left w:val="none" w:sz="0" w:space="0" w:color="auto"/>
        <w:bottom w:val="none" w:sz="0" w:space="0" w:color="auto"/>
        <w:right w:val="none" w:sz="0" w:space="0" w:color="auto"/>
      </w:divBdr>
    </w:div>
    <w:div w:id="1169519427">
      <w:bodyDiv w:val="1"/>
      <w:marLeft w:val="0"/>
      <w:marRight w:val="0"/>
      <w:marTop w:val="0"/>
      <w:marBottom w:val="0"/>
      <w:divBdr>
        <w:top w:val="none" w:sz="0" w:space="0" w:color="auto"/>
        <w:left w:val="none" w:sz="0" w:space="0" w:color="auto"/>
        <w:bottom w:val="none" w:sz="0" w:space="0" w:color="auto"/>
        <w:right w:val="none" w:sz="0" w:space="0" w:color="auto"/>
      </w:divBdr>
    </w:div>
    <w:div w:id="1181236834">
      <w:bodyDiv w:val="1"/>
      <w:marLeft w:val="0"/>
      <w:marRight w:val="0"/>
      <w:marTop w:val="0"/>
      <w:marBottom w:val="0"/>
      <w:divBdr>
        <w:top w:val="none" w:sz="0" w:space="0" w:color="auto"/>
        <w:left w:val="none" w:sz="0" w:space="0" w:color="auto"/>
        <w:bottom w:val="none" w:sz="0" w:space="0" w:color="auto"/>
        <w:right w:val="none" w:sz="0" w:space="0" w:color="auto"/>
      </w:divBdr>
    </w:div>
    <w:div w:id="1197541545">
      <w:bodyDiv w:val="1"/>
      <w:marLeft w:val="0"/>
      <w:marRight w:val="0"/>
      <w:marTop w:val="0"/>
      <w:marBottom w:val="0"/>
      <w:divBdr>
        <w:top w:val="none" w:sz="0" w:space="0" w:color="auto"/>
        <w:left w:val="none" w:sz="0" w:space="0" w:color="auto"/>
        <w:bottom w:val="none" w:sz="0" w:space="0" w:color="auto"/>
        <w:right w:val="none" w:sz="0" w:space="0" w:color="auto"/>
      </w:divBdr>
    </w:div>
    <w:div w:id="1237208227">
      <w:bodyDiv w:val="1"/>
      <w:marLeft w:val="0"/>
      <w:marRight w:val="0"/>
      <w:marTop w:val="0"/>
      <w:marBottom w:val="0"/>
      <w:divBdr>
        <w:top w:val="none" w:sz="0" w:space="0" w:color="auto"/>
        <w:left w:val="none" w:sz="0" w:space="0" w:color="auto"/>
        <w:bottom w:val="none" w:sz="0" w:space="0" w:color="auto"/>
        <w:right w:val="none" w:sz="0" w:space="0" w:color="auto"/>
      </w:divBdr>
    </w:div>
    <w:div w:id="1250191402">
      <w:bodyDiv w:val="1"/>
      <w:marLeft w:val="0"/>
      <w:marRight w:val="0"/>
      <w:marTop w:val="0"/>
      <w:marBottom w:val="0"/>
      <w:divBdr>
        <w:top w:val="none" w:sz="0" w:space="0" w:color="auto"/>
        <w:left w:val="none" w:sz="0" w:space="0" w:color="auto"/>
        <w:bottom w:val="none" w:sz="0" w:space="0" w:color="auto"/>
        <w:right w:val="none" w:sz="0" w:space="0" w:color="auto"/>
      </w:divBdr>
    </w:div>
    <w:div w:id="1282147318">
      <w:bodyDiv w:val="1"/>
      <w:marLeft w:val="0"/>
      <w:marRight w:val="0"/>
      <w:marTop w:val="0"/>
      <w:marBottom w:val="0"/>
      <w:divBdr>
        <w:top w:val="none" w:sz="0" w:space="0" w:color="auto"/>
        <w:left w:val="none" w:sz="0" w:space="0" w:color="auto"/>
        <w:bottom w:val="none" w:sz="0" w:space="0" w:color="auto"/>
        <w:right w:val="none" w:sz="0" w:space="0" w:color="auto"/>
      </w:divBdr>
    </w:div>
    <w:div w:id="1284194520">
      <w:bodyDiv w:val="1"/>
      <w:marLeft w:val="0"/>
      <w:marRight w:val="0"/>
      <w:marTop w:val="0"/>
      <w:marBottom w:val="0"/>
      <w:divBdr>
        <w:top w:val="none" w:sz="0" w:space="0" w:color="auto"/>
        <w:left w:val="none" w:sz="0" w:space="0" w:color="auto"/>
        <w:bottom w:val="none" w:sz="0" w:space="0" w:color="auto"/>
        <w:right w:val="none" w:sz="0" w:space="0" w:color="auto"/>
      </w:divBdr>
    </w:div>
    <w:div w:id="1292782128">
      <w:bodyDiv w:val="1"/>
      <w:marLeft w:val="0"/>
      <w:marRight w:val="0"/>
      <w:marTop w:val="0"/>
      <w:marBottom w:val="0"/>
      <w:divBdr>
        <w:top w:val="none" w:sz="0" w:space="0" w:color="auto"/>
        <w:left w:val="none" w:sz="0" w:space="0" w:color="auto"/>
        <w:bottom w:val="none" w:sz="0" w:space="0" w:color="auto"/>
        <w:right w:val="none" w:sz="0" w:space="0" w:color="auto"/>
      </w:divBdr>
    </w:div>
    <w:div w:id="1298757877">
      <w:bodyDiv w:val="1"/>
      <w:marLeft w:val="0"/>
      <w:marRight w:val="0"/>
      <w:marTop w:val="0"/>
      <w:marBottom w:val="0"/>
      <w:divBdr>
        <w:top w:val="none" w:sz="0" w:space="0" w:color="auto"/>
        <w:left w:val="none" w:sz="0" w:space="0" w:color="auto"/>
        <w:bottom w:val="none" w:sz="0" w:space="0" w:color="auto"/>
        <w:right w:val="none" w:sz="0" w:space="0" w:color="auto"/>
      </w:divBdr>
    </w:div>
    <w:div w:id="1306083109">
      <w:bodyDiv w:val="1"/>
      <w:marLeft w:val="0"/>
      <w:marRight w:val="0"/>
      <w:marTop w:val="0"/>
      <w:marBottom w:val="0"/>
      <w:divBdr>
        <w:top w:val="none" w:sz="0" w:space="0" w:color="auto"/>
        <w:left w:val="none" w:sz="0" w:space="0" w:color="auto"/>
        <w:bottom w:val="none" w:sz="0" w:space="0" w:color="auto"/>
        <w:right w:val="none" w:sz="0" w:space="0" w:color="auto"/>
      </w:divBdr>
    </w:div>
    <w:div w:id="1306815391">
      <w:bodyDiv w:val="1"/>
      <w:marLeft w:val="0"/>
      <w:marRight w:val="0"/>
      <w:marTop w:val="0"/>
      <w:marBottom w:val="0"/>
      <w:divBdr>
        <w:top w:val="none" w:sz="0" w:space="0" w:color="auto"/>
        <w:left w:val="none" w:sz="0" w:space="0" w:color="auto"/>
        <w:bottom w:val="none" w:sz="0" w:space="0" w:color="auto"/>
        <w:right w:val="none" w:sz="0" w:space="0" w:color="auto"/>
      </w:divBdr>
    </w:div>
    <w:div w:id="1335914027">
      <w:bodyDiv w:val="1"/>
      <w:marLeft w:val="0"/>
      <w:marRight w:val="0"/>
      <w:marTop w:val="0"/>
      <w:marBottom w:val="0"/>
      <w:divBdr>
        <w:top w:val="none" w:sz="0" w:space="0" w:color="auto"/>
        <w:left w:val="none" w:sz="0" w:space="0" w:color="auto"/>
        <w:bottom w:val="none" w:sz="0" w:space="0" w:color="auto"/>
        <w:right w:val="none" w:sz="0" w:space="0" w:color="auto"/>
      </w:divBdr>
    </w:div>
    <w:div w:id="1342126922">
      <w:bodyDiv w:val="1"/>
      <w:marLeft w:val="0"/>
      <w:marRight w:val="0"/>
      <w:marTop w:val="0"/>
      <w:marBottom w:val="0"/>
      <w:divBdr>
        <w:top w:val="none" w:sz="0" w:space="0" w:color="auto"/>
        <w:left w:val="none" w:sz="0" w:space="0" w:color="auto"/>
        <w:bottom w:val="none" w:sz="0" w:space="0" w:color="auto"/>
        <w:right w:val="none" w:sz="0" w:space="0" w:color="auto"/>
      </w:divBdr>
    </w:div>
    <w:div w:id="1349285750">
      <w:bodyDiv w:val="1"/>
      <w:marLeft w:val="0"/>
      <w:marRight w:val="0"/>
      <w:marTop w:val="0"/>
      <w:marBottom w:val="0"/>
      <w:divBdr>
        <w:top w:val="none" w:sz="0" w:space="0" w:color="auto"/>
        <w:left w:val="none" w:sz="0" w:space="0" w:color="auto"/>
        <w:bottom w:val="none" w:sz="0" w:space="0" w:color="auto"/>
        <w:right w:val="none" w:sz="0" w:space="0" w:color="auto"/>
      </w:divBdr>
    </w:div>
    <w:div w:id="1355111187">
      <w:bodyDiv w:val="1"/>
      <w:marLeft w:val="0"/>
      <w:marRight w:val="0"/>
      <w:marTop w:val="0"/>
      <w:marBottom w:val="0"/>
      <w:divBdr>
        <w:top w:val="none" w:sz="0" w:space="0" w:color="auto"/>
        <w:left w:val="none" w:sz="0" w:space="0" w:color="auto"/>
        <w:bottom w:val="none" w:sz="0" w:space="0" w:color="auto"/>
        <w:right w:val="none" w:sz="0" w:space="0" w:color="auto"/>
      </w:divBdr>
    </w:div>
    <w:div w:id="1366951474">
      <w:bodyDiv w:val="1"/>
      <w:marLeft w:val="0"/>
      <w:marRight w:val="0"/>
      <w:marTop w:val="0"/>
      <w:marBottom w:val="0"/>
      <w:divBdr>
        <w:top w:val="none" w:sz="0" w:space="0" w:color="auto"/>
        <w:left w:val="none" w:sz="0" w:space="0" w:color="auto"/>
        <w:bottom w:val="none" w:sz="0" w:space="0" w:color="auto"/>
        <w:right w:val="none" w:sz="0" w:space="0" w:color="auto"/>
      </w:divBdr>
    </w:div>
    <w:div w:id="1373069426">
      <w:bodyDiv w:val="1"/>
      <w:marLeft w:val="0"/>
      <w:marRight w:val="0"/>
      <w:marTop w:val="0"/>
      <w:marBottom w:val="0"/>
      <w:divBdr>
        <w:top w:val="none" w:sz="0" w:space="0" w:color="auto"/>
        <w:left w:val="none" w:sz="0" w:space="0" w:color="auto"/>
        <w:bottom w:val="none" w:sz="0" w:space="0" w:color="auto"/>
        <w:right w:val="none" w:sz="0" w:space="0" w:color="auto"/>
      </w:divBdr>
    </w:div>
    <w:div w:id="1387874308">
      <w:bodyDiv w:val="1"/>
      <w:marLeft w:val="0"/>
      <w:marRight w:val="0"/>
      <w:marTop w:val="0"/>
      <w:marBottom w:val="0"/>
      <w:divBdr>
        <w:top w:val="none" w:sz="0" w:space="0" w:color="auto"/>
        <w:left w:val="none" w:sz="0" w:space="0" w:color="auto"/>
        <w:bottom w:val="none" w:sz="0" w:space="0" w:color="auto"/>
        <w:right w:val="none" w:sz="0" w:space="0" w:color="auto"/>
      </w:divBdr>
    </w:div>
    <w:div w:id="1398361228">
      <w:bodyDiv w:val="1"/>
      <w:marLeft w:val="0"/>
      <w:marRight w:val="0"/>
      <w:marTop w:val="0"/>
      <w:marBottom w:val="0"/>
      <w:divBdr>
        <w:top w:val="none" w:sz="0" w:space="0" w:color="auto"/>
        <w:left w:val="none" w:sz="0" w:space="0" w:color="auto"/>
        <w:bottom w:val="none" w:sz="0" w:space="0" w:color="auto"/>
        <w:right w:val="none" w:sz="0" w:space="0" w:color="auto"/>
      </w:divBdr>
    </w:div>
    <w:div w:id="1404525503">
      <w:bodyDiv w:val="1"/>
      <w:marLeft w:val="0"/>
      <w:marRight w:val="0"/>
      <w:marTop w:val="0"/>
      <w:marBottom w:val="0"/>
      <w:divBdr>
        <w:top w:val="none" w:sz="0" w:space="0" w:color="auto"/>
        <w:left w:val="none" w:sz="0" w:space="0" w:color="auto"/>
        <w:bottom w:val="none" w:sz="0" w:space="0" w:color="auto"/>
        <w:right w:val="none" w:sz="0" w:space="0" w:color="auto"/>
      </w:divBdr>
    </w:div>
    <w:div w:id="1423835477">
      <w:bodyDiv w:val="1"/>
      <w:marLeft w:val="0"/>
      <w:marRight w:val="0"/>
      <w:marTop w:val="0"/>
      <w:marBottom w:val="0"/>
      <w:divBdr>
        <w:top w:val="none" w:sz="0" w:space="0" w:color="auto"/>
        <w:left w:val="none" w:sz="0" w:space="0" w:color="auto"/>
        <w:bottom w:val="none" w:sz="0" w:space="0" w:color="auto"/>
        <w:right w:val="none" w:sz="0" w:space="0" w:color="auto"/>
      </w:divBdr>
    </w:div>
    <w:div w:id="1424915706">
      <w:bodyDiv w:val="1"/>
      <w:marLeft w:val="0"/>
      <w:marRight w:val="0"/>
      <w:marTop w:val="0"/>
      <w:marBottom w:val="0"/>
      <w:divBdr>
        <w:top w:val="none" w:sz="0" w:space="0" w:color="auto"/>
        <w:left w:val="none" w:sz="0" w:space="0" w:color="auto"/>
        <w:bottom w:val="none" w:sz="0" w:space="0" w:color="auto"/>
        <w:right w:val="none" w:sz="0" w:space="0" w:color="auto"/>
      </w:divBdr>
    </w:div>
    <w:div w:id="1435320238">
      <w:bodyDiv w:val="1"/>
      <w:marLeft w:val="0"/>
      <w:marRight w:val="0"/>
      <w:marTop w:val="0"/>
      <w:marBottom w:val="0"/>
      <w:divBdr>
        <w:top w:val="none" w:sz="0" w:space="0" w:color="auto"/>
        <w:left w:val="none" w:sz="0" w:space="0" w:color="auto"/>
        <w:bottom w:val="none" w:sz="0" w:space="0" w:color="auto"/>
        <w:right w:val="none" w:sz="0" w:space="0" w:color="auto"/>
      </w:divBdr>
    </w:div>
    <w:div w:id="1438059413">
      <w:bodyDiv w:val="1"/>
      <w:marLeft w:val="0"/>
      <w:marRight w:val="0"/>
      <w:marTop w:val="0"/>
      <w:marBottom w:val="0"/>
      <w:divBdr>
        <w:top w:val="none" w:sz="0" w:space="0" w:color="auto"/>
        <w:left w:val="none" w:sz="0" w:space="0" w:color="auto"/>
        <w:bottom w:val="none" w:sz="0" w:space="0" w:color="auto"/>
        <w:right w:val="none" w:sz="0" w:space="0" w:color="auto"/>
      </w:divBdr>
    </w:div>
    <w:div w:id="1452477272">
      <w:bodyDiv w:val="1"/>
      <w:marLeft w:val="0"/>
      <w:marRight w:val="0"/>
      <w:marTop w:val="0"/>
      <w:marBottom w:val="0"/>
      <w:divBdr>
        <w:top w:val="none" w:sz="0" w:space="0" w:color="auto"/>
        <w:left w:val="none" w:sz="0" w:space="0" w:color="auto"/>
        <w:bottom w:val="none" w:sz="0" w:space="0" w:color="auto"/>
        <w:right w:val="none" w:sz="0" w:space="0" w:color="auto"/>
      </w:divBdr>
    </w:div>
    <w:div w:id="1471944669">
      <w:bodyDiv w:val="1"/>
      <w:marLeft w:val="0"/>
      <w:marRight w:val="0"/>
      <w:marTop w:val="0"/>
      <w:marBottom w:val="0"/>
      <w:divBdr>
        <w:top w:val="none" w:sz="0" w:space="0" w:color="auto"/>
        <w:left w:val="none" w:sz="0" w:space="0" w:color="auto"/>
        <w:bottom w:val="none" w:sz="0" w:space="0" w:color="auto"/>
        <w:right w:val="none" w:sz="0" w:space="0" w:color="auto"/>
      </w:divBdr>
    </w:div>
    <w:div w:id="1477456119">
      <w:bodyDiv w:val="1"/>
      <w:marLeft w:val="0"/>
      <w:marRight w:val="0"/>
      <w:marTop w:val="0"/>
      <w:marBottom w:val="0"/>
      <w:divBdr>
        <w:top w:val="none" w:sz="0" w:space="0" w:color="auto"/>
        <w:left w:val="none" w:sz="0" w:space="0" w:color="auto"/>
        <w:bottom w:val="none" w:sz="0" w:space="0" w:color="auto"/>
        <w:right w:val="none" w:sz="0" w:space="0" w:color="auto"/>
      </w:divBdr>
    </w:div>
    <w:div w:id="1524244512">
      <w:bodyDiv w:val="1"/>
      <w:marLeft w:val="0"/>
      <w:marRight w:val="0"/>
      <w:marTop w:val="0"/>
      <w:marBottom w:val="0"/>
      <w:divBdr>
        <w:top w:val="none" w:sz="0" w:space="0" w:color="auto"/>
        <w:left w:val="none" w:sz="0" w:space="0" w:color="auto"/>
        <w:bottom w:val="none" w:sz="0" w:space="0" w:color="auto"/>
        <w:right w:val="none" w:sz="0" w:space="0" w:color="auto"/>
      </w:divBdr>
    </w:div>
    <w:div w:id="1554729253">
      <w:bodyDiv w:val="1"/>
      <w:marLeft w:val="0"/>
      <w:marRight w:val="0"/>
      <w:marTop w:val="0"/>
      <w:marBottom w:val="0"/>
      <w:divBdr>
        <w:top w:val="none" w:sz="0" w:space="0" w:color="auto"/>
        <w:left w:val="none" w:sz="0" w:space="0" w:color="auto"/>
        <w:bottom w:val="none" w:sz="0" w:space="0" w:color="auto"/>
        <w:right w:val="none" w:sz="0" w:space="0" w:color="auto"/>
      </w:divBdr>
    </w:div>
    <w:div w:id="1563520154">
      <w:bodyDiv w:val="1"/>
      <w:marLeft w:val="0"/>
      <w:marRight w:val="0"/>
      <w:marTop w:val="0"/>
      <w:marBottom w:val="0"/>
      <w:divBdr>
        <w:top w:val="none" w:sz="0" w:space="0" w:color="auto"/>
        <w:left w:val="none" w:sz="0" w:space="0" w:color="auto"/>
        <w:bottom w:val="none" w:sz="0" w:space="0" w:color="auto"/>
        <w:right w:val="none" w:sz="0" w:space="0" w:color="auto"/>
      </w:divBdr>
    </w:div>
    <w:div w:id="1610089486">
      <w:bodyDiv w:val="1"/>
      <w:marLeft w:val="0"/>
      <w:marRight w:val="0"/>
      <w:marTop w:val="0"/>
      <w:marBottom w:val="0"/>
      <w:divBdr>
        <w:top w:val="none" w:sz="0" w:space="0" w:color="auto"/>
        <w:left w:val="none" w:sz="0" w:space="0" w:color="auto"/>
        <w:bottom w:val="none" w:sz="0" w:space="0" w:color="auto"/>
        <w:right w:val="none" w:sz="0" w:space="0" w:color="auto"/>
      </w:divBdr>
    </w:div>
    <w:div w:id="1613704923">
      <w:bodyDiv w:val="1"/>
      <w:marLeft w:val="0"/>
      <w:marRight w:val="0"/>
      <w:marTop w:val="0"/>
      <w:marBottom w:val="0"/>
      <w:divBdr>
        <w:top w:val="none" w:sz="0" w:space="0" w:color="auto"/>
        <w:left w:val="none" w:sz="0" w:space="0" w:color="auto"/>
        <w:bottom w:val="none" w:sz="0" w:space="0" w:color="auto"/>
        <w:right w:val="none" w:sz="0" w:space="0" w:color="auto"/>
      </w:divBdr>
    </w:div>
    <w:div w:id="1625186136">
      <w:bodyDiv w:val="1"/>
      <w:marLeft w:val="0"/>
      <w:marRight w:val="0"/>
      <w:marTop w:val="0"/>
      <w:marBottom w:val="0"/>
      <w:divBdr>
        <w:top w:val="none" w:sz="0" w:space="0" w:color="auto"/>
        <w:left w:val="none" w:sz="0" w:space="0" w:color="auto"/>
        <w:bottom w:val="none" w:sz="0" w:space="0" w:color="auto"/>
        <w:right w:val="none" w:sz="0" w:space="0" w:color="auto"/>
      </w:divBdr>
    </w:div>
    <w:div w:id="1629236013">
      <w:bodyDiv w:val="1"/>
      <w:marLeft w:val="0"/>
      <w:marRight w:val="0"/>
      <w:marTop w:val="0"/>
      <w:marBottom w:val="0"/>
      <w:divBdr>
        <w:top w:val="none" w:sz="0" w:space="0" w:color="auto"/>
        <w:left w:val="none" w:sz="0" w:space="0" w:color="auto"/>
        <w:bottom w:val="none" w:sz="0" w:space="0" w:color="auto"/>
        <w:right w:val="none" w:sz="0" w:space="0" w:color="auto"/>
      </w:divBdr>
    </w:div>
    <w:div w:id="1643581420">
      <w:bodyDiv w:val="1"/>
      <w:marLeft w:val="0"/>
      <w:marRight w:val="0"/>
      <w:marTop w:val="0"/>
      <w:marBottom w:val="0"/>
      <w:divBdr>
        <w:top w:val="none" w:sz="0" w:space="0" w:color="auto"/>
        <w:left w:val="none" w:sz="0" w:space="0" w:color="auto"/>
        <w:bottom w:val="none" w:sz="0" w:space="0" w:color="auto"/>
        <w:right w:val="none" w:sz="0" w:space="0" w:color="auto"/>
      </w:divBdr>
    </w:div>
    <w:div w:id="1652517825">
      <w:bodyDiv w:val="1"/>
      <w:marLeft w:val="0"/>
      <w:marRight w:val="0"/>
      <w:marTop w:val="0"/>
      <w:marBottom w:val="0"/>
      <w:divBdr>
        <w:top w:val="none" w:sz="0" w:space="0" w:color="auto"/>
        <w:left w:val="none" w:sz="0" w:space="0" w:color="auto"/>
        <w:bottom w:val="none" w:sz="0" w:space="0" w:color="auto"/>
        <w:right w:val="none" w:sz="0" w:space="0" w:color="auto"/>
      </w:divBdr>
    </w:div>
    <w:div w:id="1659118140">
      <w:bodyDiv w:val="1"/>
      <w:marLeft w:val="0"/>
      <w:marRight w:val="0"/>
      <w:marTop w:val="0"/>
      <w:marBottom w:val="0"/>
      <w:divBdr>
        <w:top w:val="none" w:sz="0" w:space="0" w:color="auto"/>
        <w:left w:val="none" w:sz="0" w:space="0" w:color="auto"/>
        <w:bottom w:val="none" w:sz="0" w:space="0" w:color="auto"/>
        <w:right w:val="none" w:sz="0" w:space="0" w:color="auto"/>
      </w:divBdr>
    </w:div>
    <w:div w:id="1671715264">
      <w:bodyDiv w:val="1"/>
      <w:marLeft w:val="0"/>
      <w:marRight w:val="0"/>
      <w:marTop w:val="0"/>
      <w:marBottom w:val="0"/>
      <w:divBdr>
        <w:top w:val="none" w:sz="0" w:space="0" w:color="auto"/>
        <w:left w:val="none" w:sz="0" w:space="0" w:color="auto"/>
        <w:bottom w:val="none" w:sz="0" w:space="0" w:color="auto"/>
        <w:right w:val="none" w:sz="0" w:space="0" w:color="auto"/>
      </w:divBdr>
    </w:div>
    <w:div w:id="1673530384">
      <w:bodyDiv w:val="1"/>
      <w:marLeft w:val="0"/>
      <w:marRight w:val="0"/>
      <w:marTop w:val="0"/>
      <w:marBottom w:val="0"/>
      <w:divBdr>
        <w:top w:val="none" w:sz="0" w:space="0" w:color="auto"/>
        <w:left w:val="none" w:sz="0" w:space="0" w:color="auto"/>
        <w:bottom w:val="none" w:sz="0" w:space="0" w:color="auto"/>
        <w:right w:val="none" w:sz="0" w:space="0" w:color="auto"/>
      </w:divBdr>
    </w:div>
    <w:div w:id="1681933981">
      <w:bodyDiv w:val="1"/>
      <w:marLeft w:val="0"/>
      <w:marRight w:val="0"/>
      <w:marTop w:val="0"/>
      <w:marBottom w:val="0"/>
      <w:divBdr>
        <w:top w:val="none" w:sz="0" w:space="0" w:color="auto"/>
        <w:left w:val="none" w:sz="0" w:space="0" w:color="auto"/>
        <w:bottom w:val="none" w:sz="0" w:space="0" w:color="auto"/>
        <w:right w:val="none" w:sz="0" w:space="0" w:color="auto"/>
      </w:divBdr>
    </w:div>
    <w:div w:id="1692761368">
      <w:bodyDiv w:val="1"/>
      <w:marLeft w:val="0"/>
      <w:marRight w:val="0"/>
      <w:marTop w:val="0"/>
      <w:marBottom w:val="0"/>
      <w:divBdr>
        <w:top w:val="none" w:sz="0" w:space="0" w:color="auto"/>
        <w:left w:val="none" w:sz="0" w:space="0" w:color="auto"/>
        <w:bottom w:val="none" w:sz="0" w:space="0" w:color="auto"/>
        <w:right w:val="none" w:sz="0" w:space="0" w:color="auto"/>
      </w:divBdr>
    </w:div>
    <w:div w:id="1738161089">
      <w:bodyDiv w:val="1"/>
      <w:marLeft w:val="0"/>
      <w:marRight w:val="0"/>
      <w:marTop w:val="0"/>
      <w:marBottom w:val="0"/>
      <w:divBdr>
        <w:top w:val="none" w:sz="0" w:space="0" w:color="auto"/>
        <w:left w:val="none" w:sz="0" w:space="0" w:color="auto"/>
        <w:bottom w:val="none" w:sz="0" w:space="0" w:color="auto"/>
        <w:right w:val="none" w:sz="0" w:space="0" w:color="auto"/>
      </w:divBdr>
    </w:div>
    <w:div w:id="1746954501">
      <w:bodyDiv w:val="1"/>
      <w:marLeft w:val="0"/>
      <w:marRight w:val="0"/>
      <w:marTop w:val="0"/>
      <w:marBottom w:val="0"/>
      <w:divBdr>
        <w:top w:val="none" w:sz="0" w:space="0" w:color="auto"/>
        <w:left w:val="none" w:sz="0" w:space="0" w:color="auto"/>
        <w:bottom w:val="none" w:sz="0" w:space="0" w:color="auto"/>
        <w:right w:val="none" w:sz="0" w:space="0" w:color="auto"/>
      </w:divBdr>
    </w:div>
    <w:div w:id="1786387421">
      <w:bodyDiv w:val="1"/>
      <w:marLeft w:val="0"/>
      <w:marRight w:val="0"/>
      <w:marTop w:val="0"/>
      <w:marBottom w:val="0"/>
      <w:divBdr>
        <w:top w:val="none" w:sz="0" w:space="0" w:color="auto"/>
        <w:left w:val="none" w:sz="0" w:space="0" w:color="auto"/>
        <w:bottom w:val="none" w:sz="0" w:space="0" w:color="auto"/>
        <w:right w:val="none" w:sz="0" w:space="0" w:color="auto"/>
      </w:divBdr>
    </w:div>
    <w:div w:id="1806780096">
      <w:bodyDiv w:val="1"/>
      <w:marLeft w:val="0"/>
      <w:marRight w:val="0"/>
      <w:marTop w:val="0"/>
      <w:marBottom w:val="0"/>
      <w:divBdr>
        <w:top w:val="none" w:sz="0" w:space="0" w:color="auto"/>
        <w:left w:val="none" w:sz="0" w:space="0" w:color="auto"/>
        <w:bottom w:val="none" w:sz="0" w:space="0" w:color="auto"/>
        <w:right w:val="none" w:sz="0" w:space="0" w:color="auto"/>
      </w:divBdr>
    </w:div>
    <w:div w:id="1811434013">
      <w:bodyDiv w:val="1"/>
      <w:marLeft w:val="0"/>
      <w:marRight w:val="0"/>
      <w:marTop w:val="0"/>
      <w:marBottom w:val="0"/>
      <w:divBdr>
        <w:top w:val="none" w:sz="0" w:space="0" w:color="auto"/>
        <w:left w:val="none" w:sz="0" w:space="0" w:color="auto"/>
        <w:bottom w:val="none" w:sz="0" w:space="0" w:color="auto"/>
        <w:right w:val="none" w:sz="0" w:space="0" w:color="auto"/>
      </w:divBdr>
    </w:div>
    <w:div w:id="1821923579">
      <w:bodyDiv w:val="1"/>
      <w:marLeft w:val="0"/>
      <w:marRight w:val="0"/>
      <w:marTop w:val="0"/>
      <w:marBottom w:val="0"/>
      <w:divBdr>
        <w:top w:val="none" w:sz="0" w:space="0" w:color="auto"/>
        <w:left w:val="none" w:sz="0" w:space="0" w:color="auto"/>
        <w:bottom w:val="none" w:sz="0" w:space="0" w:color="auto"/>
        <w:right w:val="none" w:sz="0" w:space="0" w:color="auto"/>
      </w:divBdr>
    </w:div>
    <w:div w:id="1823234068">
      <w:bodyDiv w:val="1"/>
      <w:marLeft w:val="0"/>
      <w:marRight w:val="0"/>
      <w:marTop w:val="0"/>
      <w:marBottom w:val="0"/>
      <w:divBdr>
        <w:top w:val="none" w:sz="0" w:space="0" w:color="auto"/>
        <w:left w:val="none" w:sz="0" w:space="0" w:color="auto"/>
        <w:bottom w:val="none" w:sz="0" w:space="0" w:color="auto"/>
        <w:right w:val="none" w:sz="0" w:space="0" w:color="auto"/>
      </w:divBdr>
    </w:div>
    <w:div w:id="1830170611">
      <w:bodyDiv w:val="1"/>
      <w:marLeft w:val="0"/>
      <w:marRight w:val="0"/>
      <w:marTop w:val="0"/>
      <w:marBottom w:val="0"/>
      <w:divBdr>
        <w:top w:val="none" w:sz="0" w:space="0" w:color="auto"/>
        <w:left w:val="none" w:sz="0" w:space="0" w:color="auto"/>
        <w:bottom w:val="none" w:sz="0" w:space="0" w:color="auto"/>
        <w:right w:val="none" w:sz="0" w:space="0" w:color="auto"/>
      </w:divBdr>
    </w:div>
    <w:div w:id="1840467071">
      <w:bodyDiv w:val="1"/>
      <w:marLeft w:val="0"/>
      <w:marRight w:val="0"/>
      <w:marTop w:val="0"/>
      <w:marBottom w:val="0"/>
      <w:divBdr>
        <w:top w:val="none" w:sz="0" w:space="0" w:color="auto"/>
        <w:left w:val="none" w:sz="0" w:space="0" w:color="auto"/>
        <w:bottom w:val="none" w:sz="0" w:space="0" w:color="auto"/>
        <w:right w:val="none" w:sz="0" w:space="0" w:color="auto"/>
      </w:divBdr>
    </w:div>
    <w:div w:id="1845896895">
      <w:bodyDiv w:val="1"/>
      <w:marLeft w:val="0"/>
      <w:marRight w:val="0"/>
      <w:marTop w:val="0"/>
      <w:marBottom w:val="0"/>
      <w:divBdr>
        <w:top w:val="none" w:sz="0" w:space="0" w:color="auto"/>
        <w:left w:val="none" w:sz="0" w:space="0" w:color="auto"/>
        <w:bottom w:val="none" w:sz="0" w:space="0" w:color="auto"/>
        <w:right w:val="none" w:sz="0" w:space="0" w:color="auto"/>
      </w:divBdr>
    </w:div>
    <w:div w:id="1848903530">
      <w:bodyDiv w:val="1"/>
      <w:marLeft w:val="0"/>
      <w:marRight w:val="0"/>
      <w:marTop w:val="0"/>
      <w:marBottom w:val="0"/>
      <w:divBdr>
        <w:top w:val="none" w:sz="0" w:space="0" w:color="auto"/>
        <w:left w:val="none" w:sz="0" w:space="0" w:color="auto"/>
        <w:bottom w:val="none" w:sz="0" w:space="0" w:color="auto"/>
        <w:right w:val="none" w:sz="0" w:space="0" w:color="auto"/>
      </w:divBdr>
    </w:div>
    <w:div w:id="1851984762">
      <w:bodyDiv w:val="1"/>
      <w:marLeft w:val="0"/>
      <w:marRight w:val="0"/>
      <w:marTop w:val="0"/>
      <w:marBottom w:val="0"/>
      <w:divBdr>
        <w:top w:val="none" w:sz="0" w:space="0" w:color="auto"/>
        <w:left w:val="none" w:sz="0" w:space="0" w:color="auto"/>
        <w:bottom w:val="none" w:sz="0" w:space="0" w:color="auto"/>
        <w:right w:val="none" w:sz="0" w:space="0" w:color="auto"/>
      </w:divBdr>
    </w:div>
    <w:div w:id="1881242899">
      <w:bodyDiv w:val="1"/>
      <w:marLeft w:val="0"/>
      <w:marRight w:val="0"/>
      <w:marTop w:val="0"/>
      <w:marBottom w:val="0"/>
      <w:divBdr>
        <w:top w:val="none" w:sz="0" w:space="0" w:color="auto"/>
        <w:left w:val="none" w:sz="0" w:space="0" w:color="auto"/>
        <w:bottom w:val="none" w:sz="0" w:space="0" w:color="auto"/>
        <w:right w:val="none" w:sz="0" w:space="0" w:color="auto"/>
      </w:divBdr>
    </w:div>
    <w:div w:id="1896162466">
      <w:bodyDiv w:val="1"/>
      <w:marLeft w:val="0"/>
      <w:marRight w:val="0"/>
      <w:marTop w:val="0"/>
      <w:marBottom w:val="0"/>
      <w:divBdr>
        <w:top w:val="none" w:sz="0" w:space="0" w:color="auto"/>
        <w:left w:val="none" w:sz="0" w:space="0" w:color="auto"/>
        <w:bottom w:val="none" w:sz="0" w:space="0" w:color="auto"/>
        <w:right w:val="none" w:sz="0" w:space="0" w:color="auto"/>
      </w:divBdr>
    </w:div>
    <w:div w:id="1907571383">
      <w:bodyDiv w:val="1"/>
      <w:marLeft w:val="0"/>
      <w:marRight w:val="0"/>
      <w:marTop w:val="0"/>
      <w:marBottom w:val="0"/>
      <w:divBdr>
        <w:top w:val="none" w:sz="0" w:space="0" w:color="auto"/>
        <w:left w:val="none" w:sz="0" w:space="0" w:color="auto"/>
        <w:bottom w:val="none" w:sz="0" w:space="0" w:color="auto"/>
        <w:right w:val="none" w:sz="0" w:space="0" w:color="auto"/>
      </w:divBdr>
    </w:div>
    <w:div w:id="1920751001">
      <w:bodyDiv w:val="1"/>
      <w:marLeft w:val="0"/>
      <w:marRight w:val="0"/>
      <w:marTop w:val="0"/>
      <w:marBottom w:val="0"/>
      <w:divBdr>
        <w:top w:val="none" w:sz="0" w:space="0" w:color="auto"/>
        <w:left w:val="none" w:sz="0" w:space="0" w:color="auto"/>
        <w:bottom w:val="none" w:sz="0" w:space="0" w:color="auto"/>
        <w:right w:val="none" w:sz="0" w:space="0" w:color="auto"/>
      </w:divBdr>
    </w:div>
    <w:div w:id="1921862741">
      <w:bodyDiv w:val="1"/>
      <w:marLeft w:val="0"/>
      <w:marRight w:val="0"/>
      <w:marTop w:val="0"/>
      <w:marBottom w:val="0"/>
      <w:divBdr>
        <w:top w:val="none" w:sz="0" w:space="0" w:color="auto"/>
        <w:left w:val="none" w:sz="0" w:space="0" w:color="auto"/>
        <w:bottom w:val="none" w:sz="0" w:space="0" w:color="auto"/>
        <w:right w:val="none" w:sz="0" w:space="0" w:color="auto"/>
      </w:divBdr>
    </w:div>
    <w:div w:id="1931356500">
      <w:bodyDiv w:val="1"/>
      <w:marLeft w:val="0"/>
      <w:marRight w:val="0"/>
      <w:marTop w:val="0"/>
      <w:marBottom w:val="0"/>
      <w:divBdr>
        <w:top w:val="none" w:sz="0" w:space="0" w:color="auto"/>
        <w:left w:val="none" w:sz="0" w:space="0" w:color="auto"/>
        <w:bottom w:val="none" w:sz="0" w:space="0" w:color="auto"/>
        <w:right w:val="none" w:sz="0" w:space="0" w:color="auto"/>
      </w:divBdr>
    </w:div>
    <w:div w:id="1942757707">
      <w:bodyDiv w:val="1"/>
      <w:marLeft w:val="0"/>
      <w:marRight w:val="0"/>
      <w:marTop w:val="0"/>
      <w:marBottom w:val="0"/>
      <w:divBdr>
        <w:top w:val="none" w:sz="0" w:space="0" w:color="auto"/>
        <w:left w:val="none" w:sz="0" w:space="0" w:color="auto"/>
        <w:bottom w:val="none" w:sz="0" w:space="0" w:color="auto"/>
        <w:right w:val="none" w:sz="0" w:space="0" w:color="auto"/>
      </w:divBdr>
    </w:div>
    <w:div w:id="1949316730">
      <w:bodyDiv w:val="1"/>
      <w:marLeft w:val="0"/>
      <w:marRight w:val="0"/>
      <w:marTop w:val="0"/>
      <w:marBottom w:val="0"/>
      <w:divBdr>
        <w:top w:val="none" w:sz="0" w:space="0" w:color="auto"/>
        <w:left w:val="none" w:sz="0" w:space="0" w:color="auto"/>
        <w:bottom w:val="none" w:sz="0" w:space="0" w:color="auto"/>
        <w:right w:val="none" w:sz="0" w:space="0" w:color="auto"/>
      </w:divBdr>
    </w:div>
    <w:div w:id="1957592502">
      <w:bodyDiv w:val="1"/>
      <w:marLeft w:val="0"/>
      <w:marRight w:val="0"/>
      <w:marTop w:val="0"/>
      <w:marBottom w:val="0"/>
      <w:divBdr>
        <w:top w:val="none" w:sz="0" w:space="0" w:color="auto"/>
        <w:left w:val="none" w:sz="0" w:space="0" w:color="auto"/>
        <w:bottom w:val="none" w:sz="0" w:space="0" w:color="auto"/>
        <w:right w:val="none" w:sz="0" w:space="0" w:color="auto"/>
      </w:divBdr>
    </w:div>
    <w:div w:id="1960599045">
      <w:bodyDiv w:val="1"/>
      <w:marLeft w:val="0"/>
      <w:marRight w:val="0"/>
      <w:marTop w:val="0"/>
      <w:marBottom w:val="0"/>
      <w:divBdr>
        <w:top w:val="none" w:sz="0" w:space="0" w:color="auto"/>
        <w:left w:val="none" w:sz="0" w:space="0" w:color="auto"/>
        <w:bottom w:val="none" w:sz="0" w:space="0" w:color="auto"/>
        <w:right w:val="none" w:sz="0" w:space="0" w:color="auto"/>
      </w:divBdr>
    </w:div>
    <w:div w:id="1994984025">
      <w:bodyDiv w:val="1"/>
      <w:marLeft w:val="0"/>
      <w:marRight w:val="0"/>
      <w:marTop w:val="0"/>
      <w:marBottom w:val="0"/>
      <w:divBdr>
        <w:top w:val="none" w:sz="0" w:space="0" w:color="auto"/>
        <w:left w:val="none" w:sz="0" w:space="0" w:color="auto"/>
        <w:bottom w:val="none" w:sz="0" w:space="0" w:color="auto"/>
        <w:right w:val="none" w:sz="0" w:space="0" w:color="auto"/>
      </w:divBdr>
    </w:div>
    <w:div w:id="2004623651">
      <w:bodyDiv w:val="1"/>
      <w:marLeft w:val="0"/>
      <w:marRight w:val="0"/>
      <w:marTop w:val="0"/>
      <w:marBottom w:val="0"/>
      <w:divBdr>
        <w:top w:val="none" w:sz="0" w:space="0" w:color="auto"/>
        <w:left w:val="none" w:sz="0" w:space="0" w:color="auto"/>
        <w:bottom w:val="none" w:sz="0" w:space="0" w:color="auto"/>
        <w:right w:val="none" w:sz="0" w:space="0" w:color="auto"/>
      </w:divBdr>
    </w:div>
    <w:div w:id="2027513215">
      <w:bodyDiv w:val="1"/>
      <w:marLeft w:val="0"/>
      <w:marRight w:val="0"/>
      <w:marTop w:val="0"/>
      <w:marBottom w:val="0"/>
      <w:divBdr>
        <w:top w:val="none" w:sz="0" w:space="0" w:color="auto"/>
        <w:left w:val="none" w:sz="0" w:space="0" w:color="auto"/>
        <w:bottom w:val="none" w:sz="0" w:space="0" w:color="auto"/>
        <w:right w:val="none" w:sz="0" w:space="0" w:color="auto"/>
      </w:divBdr>
    </w:div>
    <w:div w:id="2030330401">
      <w:bodyDiv w:val="1"/>
      <w:marLeft w:val="0"/>
      <w:marRight w:val="0"/>
      <w:marTop w:val="0"/>
      <w:marBottom w:val="0"/>
      <w:divBdr>
        <w:top w:val="none" w:sz="0" w:space="0" w:color="auto"/>
        <w:left w:val="none" w:sz="0" w:space="0" w:color="auto"/>
        <w:bottom w:val="none" w:sz="0" w:space="0" w:color="auto"/>
        <w:right w:val="none" w:sz="0" w:space="0" w:color="auto"/>
      </w:divBdr>
    </w:div>
    <w:div w:id="2039163266">
      <w:bodyDiv w:val="1"/>
      <w:marLeft w:val="0"/>
      <w:marRight w:val="0"/>
      <w:marTop w:val="0"/>
      <w:marBottom w:val="0"/>
      <w:divBdr>
        <w:top w:val="none" w:sz="0" w:space="0" w:color="auto"/>
        <w:left w:val="none" w:sz="0" w:space="0" w:color="auto"/>
        <w:bottom w:val="none" w:sz="0" w:space="0" w:color="auto"/>
        <w:right w:val="none" w:sz="0" w:space="0" w:color="auto"/>
      </w:divBdr>
    </w:div>
    <w:div w:id="2054619202">
      <w:bodyDiv w:val="1"/>
      <w:marLeft w:val="0"/>
      <w:marRight w:val="0"/>
      <w:marTop w:val="0"/>
      <w:marBottom w:val="0"/>
      <w:divBdr>
        <w:top w:val="none" w:sz="0" w:space="0" w:color="auto"/>
        <w:left w:val="none" w:sz="0" w:space="0" w:color="auto"/>
        <w:bottom w:val="none" w:sz="0" w:space="0" w:color="auto"/>
        <w:right w:val="none" w:sz="0" w:space="0" w:color="auto"/>
      </w:divBdr>
    </w:div>
    <w:div w:id="2062241196">
      <w:bodyDiv w:val="1"/>
      <w:marLeft w:val="0"/>
      <w:marRight w:val="0"/>
      <w:marTop w:val="0"/>
      <w:marBottom w:val="0"/>
      <w:divBdr>
        <w:top w:val="none" w:sz="0" w:space="0" w:color="auto"/>
        <w:left w:val="none" w:sz="0" w:space="0" w:color="auto"/>
        <w:bottom w:val="none" w:sz="0" w:space="0" w:color="auto"/>
        <w:right w:val="none" w:sz="0" w:space="0" w:color="auto"/>
      </w:divBdr>
    </w:div>
    <w:div w:id="2068333741">
      <w:bodyDiv w:val="1"/>
      <w:marLeft w:val="0"/>
      <w:marRight w:val="0"/>
      <w:marTop w:val="0"/>
      <w:marBottom w:val="0"/>
      <w:divBdr>
        <w:top w:val="none" w:sz="0" w:space="0" w:color="auto"/>
        <w:left w:val="none" w:sz="0" w:space="0" w:color="auto"/>
        <w:bottom w:val="none" w:sz="0" w:space="0" w:color="auto"/>
        <w:right w:val="none" w:sz="0" w:space="0" w:color="auto"/>
      </w:divBdr>
    </w:div>
    <w:div w:id="2083479788">
      <w:bodyDiv w:val="1"/>
      <w:marLeft w:val="0"/>
      <w:marRight w:val="0"/>
      <w:marTop w:val="0"/>
      <w:marBottom w:val="0"/>
      <w:divBdr>
        <w:top w:val="none" w:sz="0" w:space="0" w:color="auto"/>
        <w:left w:val="none" w:sz="0" w:space="0" w:color="auto"/>
        <w:bottom w:val="none" w:sz="0" w:space="0" w:color="auto"/>
        <w:right w:val="none" w:sz="0" w:space="0" w:color="auto"/>
      </w:divBdr>
    </w:div>
    <w:div w:id="2099279310">
      <w:bodyDiv w:val="1"/>
      <w:marLeft w:val="0"/>
      <w:marRight w:val="0"/>
      <w:marTop w:val="0"/>
      <w:marBottom w:val="0"/>
      <w:divBdr>
        <w:top w:val="none" w:sz="0" w:space="0" w:color="auto"/>
        <w:left w:val="none" w:sz="0" w:space="0" w:color="auto"/>
        <w:bottom w:val="none" w:sz="0" w:space="0" w:color="auto"/>
        <w:right w:val="none" w:sz="0" w:space="0" w:color="auto"/>
      </w:divBdr>
    </w:div>
    <w:div w:id="2107774545">
      <w:bodyDiv w:val="1"/>
      <w:marLeft w:val="0"/>
      <w:marRight w:val="0"/>
      <w:marTop w:val="0"/>
      <w:marBottom w:val="0"/>
      <w:divBdr>
        <w:top w:val="none" w:sz="0" w:space="0" w:color="auto"/>
        <w:left w:val="none" w:sz="0" w:space="0" w:color="auto"/>
        <w:bottom w:val="none" w:sz="0" w:space="0" w:color="auto"/>
        <w:right w:val="none" w:sz="0" w:space="0" w:color="auto"/>
      </w:divBdr>
    </w:div>
    <w:div w:id="2123375046">
      <w:bodyDiv w:val="1"/>
      <w:marLeft w:val="0"/>
      <w:marRight w:val="0"/>
      <w:marTop w:val="0"/>
      <w:marBottom w:val="0"/>
      <w:divBdr>
        <w:top w:val="none" w:sz="0" w:space="0" w:color="auto"/>
        <w:left w:val="none" w:sz="0" w:space="0" w:color="auto"/>
        <w:bottom w:val="none" w:sz="0" w:space="0" w:color="auto"/>
        <w:right w:val="none" w:sz="0" w:space="0" w:color="auto"/>
      </w:divBdr>
    </w:div>
    <w:div w:id="2126534210">
      <w:bodyDiv w:val="1"/>
      <w:marLeft w:val="0"/>
      <w:marRight w:val="0"/>
      <w:marTop w:val="0"/>
      <w:marBottom w:val="0"/>
      <w:divBdr>
        <w:top w:val="none" w:sz="0" w:space="0" w:color="auto"/>
        <w:left w:val="none" w:sz="0" w:space="0" w:color="auto"/>
        <w:bottom w:val="none" w:sz="0" w:space="0" w:color="auto"/>
        <w:right w:val="none" w:sz="0" w:space="0" w:color="auto"/>
      </w:divBdr>
    </w:div>
    <w:div w:id="2138524092">
      <w:bodyDiv w:val="1"/>
      <w:marLeft w:val="0"/>
      <w:marRight w:val="0"/>
      <w:marTop w:val="0"/>
      <w:marBottom w:val="0"/>
      <w:divBdr>
        <w:top w:val="none" w:sz="0" w:space="0" w:color="auto"/>
        <w:left w:val="none" w:sz="0" w:space="0" w:color="auto"/>
        <w:bottom w:val="none" w:sz="0" w:space="0" w:color="auto"/>
        <w:right w:val="none" w:sz="0" w:space="0" w:color="auto"/>
      </w:divBdr>
    </w:div>
    <w:div w:id="214526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s://www.col.gob.mx/armonizacionv3/index.php/detalle/contenido/NDY0Ng==" TargetMode="Externa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DACD1-26F6-4F76-9294-279893C0A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7001</TotalTime>
  <Pages>154</Pages>
  <Words>64357</Words>
  <Characters>353967</Characters>
  <Application>Microsoft Office Word</Application>
  <DocSecurity>0</DocSecurity>
  <Lines>2949</Lines>
  <Paragraphs>834</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417490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Antonio Munguia Rangel</dc:creator>
  <cp:keywords/>
  <dc:description/>
  <cp:lastModifiedBy>Dirección de Presupuesto Secretaría de Planeación, Finanzas y Administración</cp:lastModifiedBy>
  <cp:revision>313</cp:revision>
  <cp:lastPrinted>2024-10-31T17:17:00Z</cp:lastPrinted>
  <dcterms:created xsi:type="dcterms:W3CDTF">2023-10-28T16:38:00Z</dcterms:created>
  <dcterms:modified xsi:type="dcterms:W3CDTF">2024-10-31T17:53:00Z</dcterms:modified>
</cp:coreProperties>
</file>